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65C0"/>
          <w:sz w:val="48"/>
        </w:rPr>
        <w:br/>
        <w:t>Aurora Finance</w:t>
        <w:br/>
        <w:t>ML-Driven Decision Support System</w:t>
      </w:r>
    </w:p>
    <w:p>
      <w:pPr>
        <w:jc w:val="center"/>
      </w:pPr>
      <w:r>
        <w:rPr>
          <w:color w:val="212121"/>
          <w:sz w:val="26"/>
        </w:rPr>
        <w:br/>
        <w:t>Capstone Project Report</w:t>
        <w:br/>
        <w:t>ePGDip@ML in Finance | IIT Bombay | Semester 3</w:t>
        <w:br/>
        <w:br/>
      </w:r>
    </w:p>
    <w:p>
      <w:pPr>
        <w:jc w:val="center"/>
      </w:pPr>
      <w:r>
        <w:rPr>
          <w:i/>
          <w:sz w:val="22"/>
        </w:rPr>
        <w:t>Modules Covered: Corporate Finance | Banking | Financial Markets | Derivatives</w:t>
        <w:br/>
      </w:r>
    </w:p>
    <w:p>
      <w:r>
        <w:br w:type="page"/>
      </w:r>
    </w:p>
    <w:p>
      <w:pPr>
        <w:pStyle w:val="Heading1"/>
      </w:pPr>
      <w:r>
        <w:rPr>
          <w:color w:val="1565C0"/>
          <w:sz w:val="32"/>
        </w:rPr>
        <w:t>Executive Summary</w:t>
      </w:r>
    </w:p>
    <w:p>
      <w:r>
        <w:rPr>
          <w:b w:val="0"/>
          <w:i w:val="0"/>
          <w:sz w:val="21"/>
        </w:rPr>
        <w:t>Aurora Finance, a mid-size Indian financial services firm, engaged ML Strategy Consultants to build a data-driven decision support system across four key business verticals. This report documents the end-to-end machine learning pipeline — from raw data exploration to actionable business recommendations — covering project funding, credit risk, equity portfolio management, and derivatives risk management.</w:t>
      </w:r>
    </w:p>
    <w:p/>
    <w:p>
      <w:pPr>
        <w:pStyle w:val="Heading3"/>
      </w:pPr>
      <w:r>
        <w:rPr>
          <w:sz w:val="22"/>
        </w:rPr>
        <w:t>Key Outcomes by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01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59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Best Model</w:t>
            </w:r>
          </w:p>
        </w:tc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Output</w:t>
            </w:r>
          </w:p>
        </w:tc>
      </w:tr>
      <w:tr>
        <w:tc>
          <w:tcPr>
            <w:tcW w:type="dxa" w:w="201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M1 — Corporate Finance</w:t>
            </w:r>
          </w:p>
        </w:tc>
        <w:tc>
          <w:tcPr>
            <w:tcW w:type="dxa" w:w="259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Fund/skip 50 projects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XGBoost (Set B)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16/50 projects FUND-recommended; top project EV ₹3.26M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M2 — Banking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Credit risk + fraud detection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XGBoost (weighted)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18 Low / 63 Medium / 19 High risk loans; 9 fraud alerts</w:t>
            </w:r>
          </w:p>
        </w:tc>
      </w:tr>
      <w:tr>
        <w:tc>
          <w:tcPr>
            <w:tcW w:type="dxa" w:w="201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M3 — Financial Markets</w:t>
            </w:r>
          </w:p>
        </w:tc>
        <w:tc>
          <w:tcPr>
            <w:tcW w:type="dxa" w:w="259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Return prediction + portfolio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Ridge (IC=0.018)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Max-Sharpe: ITC 68.9% + UltraTech 31.1%; Sharpe 1.48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M4 — Derivatives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Option pricing + VaR + hedge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XGBoost Set A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ML RMSE ₹14.16 vs BS ₹29.57; VaR99%=₹34,156 per ₹1cr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565C0"/>
          <w:sz w:val="32"/>
        </w:rPr>
        <w:t>1. Problem Statement</w:t>
      </w:r>
    </w:p>
    <w:p>
      <w:r>
        <w:rPr>
          <w:b w:val="0"/>
          <w:i w:val="0"/>
          <w:sz w:val="21"/>
        </w:rPr>
        <w:t>Aurora Finance operates across multiple financial verticals and faces increasing pressure to make faster, more defensible investment and risk decisions. The challenge: each business unit uses ad-hoc spreadsheet models with no predictive capability, no cross-module intelligence sharing, and no quantitative risk framework.</w:t>
      </w:r>
    </w:p>
    <w:p/>
    <w:p>
      <w:r>
        <w:rPr>
          <w:b w:val="0"/>
          <w:i w:val="0"/>
          <w:sz w:val="21"/>
        </w:rPr>
        <w:t>This project addresses four specific decision problems:</w:t>
      </w:r>
    </w:p>
    <w:p>
      <w:pPr>
        <w:pStyle w:val="ListBullet"/>
      </w:pPr>
      <w:r>
        <w:rPr>
          <w:sz w:val="21"/>
        </w:rPr>
        <w:t>Corporate Finance: Which of 50 candidate projects should Aurora fund? How to quantify risk-adjusted expected value?</w:t>
      </w:r>
    </w:p>
    <w:p>
      <w:pPr>
        <w:pStyle w:val="ListBullet"/>
      </w:pPr>
      <w:r>
        <w:rPr>
          <w:sz w:val="21"/>
        </w:rPr>
        <w:t>Banking: Which loan applicants pose the highest default risk? Which transactions are fraudulent?</w:t>
      </w:r>
    </w:p>
    <w:p>
      <w:pPr>
        <w:pStyle w:val="ListBullet"/>
      </w:pPr>
      <w:r>
        <w:rPr>
          <w:sz w:val="21"/>
        </w:rPr>
        <w:t>Financial Markets: Which stocks offer the best risk-adjusted returns? How should Aurora allocate its equity portfolio?</w:t>
      </w:r>
    </w:p>
    <w:p>
      <w:pPr>
        <w:pStyle w:val="ListBullet"/>
      </w:pPr>
      <w:r>
        <w:rPr>
          <w:sz w:val="21"/>
        </w:rPr>
        <w:t>Derivatives: How should Aurora price NIFTY options? What is the portfolio's market risk exposure and how can it be hedged?</w:t>
      </w:r>
    </w:p>
    <w:p/>
    <w:p>
      <w:r>
        <w:rPr>
          <w:b w:val="0"/>
          <w:i w:val="0"/>
          <w:sz w:val="21"/>
        </w:rPr>
        <w:t>The solution integrates ML models, financial theory (NPV, Markowitz, Black-Scholes), and an executive dashboard — enabling data-driven decisions across all four verticals from a single system.</w:t>
      </w:r>
    </w:p>
    <w:p>
      <w:r>
        <w:br w:type="page"/>
      </w:r>
    </w:p>
    <w:p>
      <w:pPr>
        <w:pStyle w:val="Heading1"/>
      </w:pPr>
      <w:r>
        <w:rPr>
          <w:color w:val="1565C0"/>
          <w:sz w:val="32"/>
        </w:rPr>
        <w:t>2. Dataset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01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8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18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Rows × Cols</w:t>
            </w:r>
          </w:p>
        </w:tc>
        <w:tc>
          <w:tcPr>
            <w:tcW w:type="dxa" w:w="18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31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Challenge</w:t>
            </w:r>
          </w:p>
        </w:tc>
      </w:tr>
      <w:tr>
        <w:tc>
          <w:tcPr>
            <w:tcW w:type="dxa" w:w="201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Corporate Finance</w:t>
            </w:r>
          </w:p>
        </w:tc>
        <w:tc>
          <w:tcPr>
            <w:tcW w:type="dxa" w:w="288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corporate_projects.csv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50 × 10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Success (binary)</w:t>
            </w:r>
          </w:p>
        </w:tc>
        <w:tc>
          <w:tcPr>
            <w:tcW w:type="dxa" w:w="31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Only 50 rows — severe overfitting risk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Banking — Credit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loan_portfolio.csv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100 × 10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PD (float)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100 rows; PD distribution is compressed (0.01–0.30)</w:t>
            </w:r>
          </w:p>
        </w:tc>
      </w:tr>
      <w:tr>
        <w:tc>
          <w:tcPr>
            <w:tcW w:type="dxa" w:w="201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Banking — Fraud</w:t>
            </w:r>
          </w:p>
        </w:tc>
        <w:tc>
          <w:tcPr>
            <w:tcW w:type="dxa" w:w="288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transactions.csv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200 × 6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Fraud_Flag (binary)</w:t>
            </w:r>
          </w:p>
        </w:tc>
        <w:tc>
          <w:tcPr>
            <w:tcW w:type="dxa" w:w="31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21:1 class imbalance (only 9 fraud cases)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Financial Markets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Market Data Revised.xlsx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5,250 × 7 × 6 stocks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Next-day return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Temporal leakage risk; non-stationarity</w:t>
            </w:r>
          </w:p>
        </w:tc>
      </w:tr>
      <w:tr>
        <w:tc>
          <w:tcPr>
            <w:tcW w:type="dxa" w:w="201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Derivatives</w:t>
            </w:r>
          </w:p>
        </w:tc>
        <w:tc>
          <w:tcPr>
            <w:tcW w:type="dxa" w:w="288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Option_Chain_NSE_intraday.xlsx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39,485 × 18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Option LTP</w:t>
            </w:r>
          </w:p>
        </w:tc>
        <w:tc>
          <w:tcPr>
            <w:tcW w:type="dxa" w:w="31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Wide format; deep-OTM noise; 1 trading day only</w:t>
            </w:r>
          </w:p>
        </w:tc>
      </w:tr>
    </w:tbl>
    <w:p/>
    <w:p>
      <w:r>
        <w:rPr>
          <w:b w:val="0"/>
          <w:i w:val="0"/>
          <w:sz w:val="21"/>
        </w:rPr>
        <w:t>All datasets are real-world or highly realistic representations of Indian financial markets. Macro data (quarterly GDP growth and inflation) was merged into the financial markets panel via period-based forward-fill.</w:t>
      </w:r>
    </w:p>
    <w:p>
      <w:r>
        <w:br w:type="page"/>
      </w:r>
    </w:p>
    <w:p>
      <w:pPr>
        <w:pStyle w:val="Heading1"/>
      </w:pPr>
      <w:r>
        <w:rPr>
          <w:color w:val="1565C0"/>
          <w:sz w:val="32"/>
        </w:rPr>
        <w:t>3. Module 1 — Corporate Finance: Project Funding Decisions</w:t>
      </w:r>
    </w:p>
    <w:p>
      <w:pPr>
        <w:pStyle w:val="Heading2"/>
      </w:pPr>
      <w:r>
        <w:rPr>
          <w:color w:val="1565C0"/>
          <w:sz w:val="26"/>
        </w:rPr>
        <w:t>3.1 Objective &amp; Methodology</w:t>
      </w:r>
    </w:p>
    <w:p>
      <w:r>
        <w:rPr>
          <w:b w:val="0"/>
          <w:i w:val="0"/>
          <w:sz w:val="21"/>
        </w:rPr>
        <w:t>Aurora must decide which of 50 candidate projects to fund. The approach combines regression (predicting total 3-year cashflow) with classification (predicting project success) to compute a Risk-Adjusted Expected Value (EV) for each project.</w:t>
      </w:r>
    </w:p>
    <w:p/>
    <w:p>
      <w:pPr>
        <w:pStyle w:val="Heading3"/>
      </w:pPr>
      <w:r>
        <w:rPr>
          <w:sz w:val="22"/>
        </w:rPr>
        <w:t>Feature Engineering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30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Formula</w:t>
            </w:r>
          </w:p>
        </w:tc>
        <w:tc>
          <w:tcPr>
            <w:tcW w:type="dxa" w:w="374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Business Meaning</w:t>
            </w:r>
          </w:p>
        </w:tc>
      </w:tr>
      <w:tr>
        <w:tc>
          <w:tcPr>
            <w:tcW w:type="dxa" w:w="230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NPV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CF₁/(1.1) + CF₂/(1.1)² + CF₃/(1.1)³ − Investment</w:t>
            </w:r>
          </w:p>
        </w:tc>
        <w:tc>
          <w:tcPr>
            <w:tcW w:type="dxa" w:w="374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Net present value at 10% discount rate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Payback_Ratio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Cashflow_Total / Investment_Cost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How many times the investment is recovered</w:t>
            </w:r>
          </w:p>
        </w:tc>
      </w:tr>
      <w:tr>
        <w:tc>
          <w:tcPr>
            <w:tcW w:type="dxa" w:w="230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ROI_Expected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(Cashflow_Total − Cost) / Cost</w:t>
            </w:r>
          </w:p>
        </w:tc>
        <w:tc>
          <w:tcPr>
            <w:tcW w:type="dxa" w:w="374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Simple ROI across 3 years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CF_Growth_Rate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CF₃ / CF₁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Whether cashflows are growing over time</w:t>
            </w:r>
          </w:p>
        </w:tc>
      </w:tr>
      <w:tr>
        <w:tc>
          <w:tcPr>
            <w:tcW w:type="dxa" w:w="230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CF_Stability</w:t>
            </w:r>
          </w:p>
        </w:tc>
        <w:tc>
          <w:tcPr>
            <w:tcW w:type="dxa" w:w="360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std(CFs) / mean(CFs)</w:t>
            </w:r>
          </w:p>
        </w:tc>
        <w:tc>
          <w:tcPr>
            <w:tcW w:type="dxa" w:w="374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Coefficient of variation — lower = more stable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Market_Adj_ROI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Historical_ROI × (1 + Market_Growth)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ROI adjusted for market trajectory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3.2 Model Results</w:t>
      </w:r>
    </w:p>
    <w:p>
      <w:pPr>
        <w:pStyle w:val="Heading3"/>
      </w:pPr>
      <w:r>
        <w:rPr>
          <w:sz w:val="22"/>
        </w:rPr>
        <w:t>Regression — Predicting 3-Year Cashflow (5-fold CV)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24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Set A RMSE</w:t>
            </w:r>
          </w:p>
        </w:tc>
        <w:tc>
          <w:tcPr>
            <w:tcW w:type="dxa" w:w="201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Set A R²</w:t>
            </w:r>
          </w:p>
        </w:tc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Set B RMSE</w:t>
            </w:r>
          </w:p>
        </w:tc>
        <w:tc>
          <w:tcPr>
            <w:tcW w:type="dxa" w:w="230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Set B R²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Ridge Regression</w:t>
            </w:r>
          </w:p>
        </w:tc>
        <w:tc>
          <w:tcPr>
            <w:tcW w:type="dxa" w:w="244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₹1,343,739 ± 242K</w:t>
            </w:r>
          </w:p>
        </w:tc>
        <w:tc>
          <w:tcPr>
            <w:tcW w:type="dxa" w:w="201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−0.123 ± 0.143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Best</w:t>
            </w:r>
          </w:p>
        </w:tc>
        <w:tc>
          <w:tcPr>
            <w:tcW w:type="dxa" w:w="230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Marginal improvement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Linear Regression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₹1,358,733 ± 251K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−0.143 ± 0.126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Random Forest</w:t>
            </w:r>
          </w:p>
        </w:tc>
        <w:tc>
          <w:tcPr>
            <w:tcW w:type="dxa" w:w="244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₹1,404,515 ± 269K</w:t>
            </w:r>
          </w:p>
        </w:tc>
        <w:tc>
          <w:tcPr>
            <w:tcW w:type="dxa" w:w="201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−0.233 ± 0.234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30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₹1,483,551 ± 444K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−0.376 ± 0.550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Decision Tree</w:t>
            </w:r>
          </w:p>
        </w:tc>
        <w:tc>
          <w:tcPr>
            <w:tcW w:type="dxa" w:w="244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₹1,513,724 ± 346K</w:t>
            </w:r>
          </w:p>
        </w:tc>
        <w:tc>
          <w:tcPr>
            <w:tcW w:type="dxa" w:w="201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−0.428 ± 0.365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30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/>
    <w:p>
      <w:r>
        <w:rPr>
          <w:b w:val="0"/>
          <w:i/>
          <w:sz w:val="19"/>
        </w:rPr>
        <w:t>Note: Negative R² for regression is expected on only 50 samples with high variance. Regression is used only for predicted NPV directionality, not absolute accuracy.</w:t>
      </w:r>
    </w:p>
    <w:p/>
    <w:p>
      <w:pPr>
        <w:pStyle w:val="Heading3"/>
      </w:pPr>
      <w:r>
        <w:rPr>
          <w:sz w:val="22"/>
        </w:rPr>
        <w:t>Classification — Predicting Project Success (5-fold Stratified CV)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4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230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AUC-ROC (Set A)</w:t>
            </w:r>
          </w:p>
        </w:tc>
        <w:tc>
          <w:tcPr>
            <w:tcW w:type="dxa" w:w="201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 (Set A)</w:t>
            </w:r>
          </w:p>
        </w:tc>
        <w:tc>
          <w:tcPr>
            <w:tcW w:type="dxa" w:w="230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AUC-ROC (Set B)</w:t>
            </w:r>
          </w:p>
        </w:tc>
        <w:tc>
          <w:tcPr>
            <w:tcW w:type="dxa" w:w="201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 (Set B)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XGBoost ★</w:t>
            </w:r>
          </w:p>
        </w:tc>
        <w:tc>
          <w:tcPr>
            <w:tcW w:type="dxa" w:w="230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0.556 ± 0.223</w:t>
            </w:r>
          </w:p>
        </w:tc>
        <w:tc>
          <w:tcPr>
            <w:tcW w:type="dxa" w:w="201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0.545 ± 0.298</w:t>
            </w:r>
          </w:p>
        </w:tc>
        <w:tc>
          <w:tcPr>
            <w:tcW w:type="dxa" w:w="230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Best</w:t>
            </w:r>
          </w:p>
        </w:tc>
        <w:tc>
          <w:tcPr>
            <w:tcW w:type="dxa" w:w="201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Best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Decision Tree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0.529 ± 0.134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0.527 ± 0.157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Random Forest</w:t>
            </w:r>
          </w:p>
        </w:tc>
        <w:tc>
          <w:tcPr>
            <w:tcW w:type="dxa" w:w="230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0.470 ± 0.270</w:t>
            </w:r>
          </w:p>
        </w:tc>
        <w:tc>
          <w:tcPr>
            <w:tcW w:type="dxa" w:w="201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0.492 ± 0.259</w:t>
            </w:r>
          </w:p>
        </w:tc>
        <w:tc>
          <w:tcPr>
            <w:tcW w:type="dxa" w:w="230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01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0.396 ± 0.117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0.532 ± 0.086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3.3 Project Ranking &amp;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Project</w:t>
            </w:r>
          </w:p>
        </w:tc>
        <w:tc>
          <w:tcPr>
            <w:tcW w:type="dxa" w:w="144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Dept</w:t>
            </w:r>
          </w:p>
        </w:tc>
        <w:tc>
          <w:tcPr>
            <w:tcW w:type="dxa" w:w="115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172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NPV</w:t>
            </w:r>
          </w:p>
        </w:tc>
        <w:tc>
          <w:tcPr>
            <w:tcW w:type="dxa" w:w="18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Risk-Adj EV</w:t>
            </w:r>
          </w:p>
        </w:tc>
        <w:tc>
          <w:tcPr>
            <w:tcW w:type="dxa" w:w="115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Decision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P49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IT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₹4.28M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₹3.26M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FUND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P43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IT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₹3.65M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₹2.91M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FUND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P35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IT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₹3.69M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₹2.79M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FUND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P45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Marketing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Low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₹2.81M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₹2.47M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FUND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P39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Finance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Low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₹2.13M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₹1.82M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FUND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P3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Finance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₹2.12M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₹1.65M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FUND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P13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Operations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Low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₹1.57M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₹1.53M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FUND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P41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Operations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₹1.94M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₹1.36M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FUND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P18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Marketing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Low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₹1.57M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₹1.26M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FUND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P9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Operations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₹1.36M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₹1.19M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FUND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3.4 Key Findings</w:t>
      </w:r>
    </w:p>
    <w:p>
      <w:pPr>
        <w:pStyle w:val="ListBullet"/>
      </w:pPr>
      <w:r>
        <w:rPr>
          <w:sz w:val="21"/>
        </w:rPr>
        <w:t>XGBoost with engineered features (Set B) achieves the best AUC across all models on this dataset.</w:t>
      </w:r>
    </w:p>
    <w:p>
      <w:pPr>
        <w:pStyle w:val="ListBullet"/>
      </w:pPr>
      <w:r>
        <w:rPr>
          <w:sz w:val="21"/>
        </w:rPr>
        <w:t>NPV and Payback_Ratio are the top SHAP features — confirming that financial fundamentals, not raw cashflows, drive success probability.</w:t>
      </w:r>
    </w:p>
    <w:p>
      <w:pPr>
        <w:pStyle w:val="ListBullet"/>
      </w:pPr>
      <w:r>
        <w:rPr>
          <w:sz w:val="21"/>
        </w:rPr>
        <w:t>16 out of 50 projects are recommended for funding; IT department dominates the top tier.</w:t>
      </w:r>
    </w:p>
    <w:p>
      <w:pPr>
        <w:pStyle w:val="ListBullet"/>
      </w:pPr>
      <w:r>
        <w:rPr>
          <w:sz w:val="21"/>
        </w:rPr>
        <w:t>R² near-zero on regression is expected with only 50 rows and high target variance — the model is used for ranking, not absolute prediction.</w:t>
      </w:r>
    </w:p>
    <w:p>
      <w:pPr>
        <w:pStyle w:val="ListBullet"/>
      </w:pPr>
      <w:r>
        <w:rPr>
          <w:sz w:val="21"/>
        </w:rPr>
        <w:t>What did NOT work: Linear regression had near-zero explanatory power; Logistic Regression showed lower AUC than XGBoost, likely due to non-linear interactions.</w:t>
      </w:r>
    </w:p>
    <w:p>
      <w:r>
        <w:br w:type="page"/>
      </w:r>
    </w:p>
    <w:p>
      <w:pPr>
        <w:pStyle w:val="Heading1"/>
      </w:pPr>
      <w:r>
        <w:rPr>
          <w:color w:val="1565C0"/>
          <w:sz w:val="32"/>
        </w:rPr>
        <w:t>4. Module 2 — Banking: Credit Risk &amp; Fraud Detection</w:t>
      </w:r>
    </w:p>
    <w:p>
      <w:pPr>
        <w:pStyle w:val="Heading2"/>
      </w:pPr>
      <w:r>
        <w:rPr>
          <w:color w:val="1565C0"/>
          <w:sz w:val="26"/>
        </w:rPr>
        <w:t>4.1 Objective &amp; Methodology</w:t>
      </w:r>
    </w:p>
    <w:p>
      <w:r>
        <w:rPr>
          <w:b w:val="0"/>
          <w:i w:val="0"/>
          <w:sz w:val="21"/>
        </w:rPr>
        <w:t>Two parallel tasks: (a) score each loan's probability of default (PD) and segment into risk tiers, and (b) detect fraudulent transactions. Both tasks face small datasets and severe class imbalance.</w:t>
      </w:r>
    </w:p>
    <w:p/>
    <w:p>
      <w:pPr>
        <w:pStyle w:val="Heading3"/>
      </w:pPr>
      <w:r>
        <w:rPr>
          <w:sz w:val="22"/>
        </w:rPr>
        <w:t>Feature Engineering — Loans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30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45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Formula</w:t>
            </w:r>
          </w:p>
        </w:tc>
        <w:tc>
          <w:tcPr>
            <w:tcW w:type="dxa" w:w="388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Business Meaning</w:t>
            </w:r>
          </w:p>
        </w:tc>
      </w:tr>
      <w:tr>
        <w:tc>
          <w:tcPr>
            <w:tcW w:type="dxa" w:w="230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Loan_to_Income</w:t>
            </w:r>
          </w:p>
        </w:tc>
        <w:tc>
          <w:tcPr>
            <w:tcW w:type="dxa" w:w="345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Loan_Amount / Annual_Income</w:t>
            </w:r>
          </w:p>
        </w:tc>
        <w:tc>
          <w:tcPr>
            <w:tcW w:type="dxa" w:w="388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Leverage ratio — higher = more stressed borrower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Payment_to_Income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Monthly_Payment / (Income/12)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Affordability stress indicator</w:t>
            </w:r>
          </w:p>
        </w:tc>
      </w:tr>
      <w:tr>
        <w:tc>
          <w:tcPr>
            <w:tcW w:type="dxa" w:w="230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DTI_Credit_Interact</w:t>
            </w:r>
          </w:p>
        </w:tc>
        <w:tc>
          <w:tcPr>
            <w:tcW w:type="dxa" w:w="345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Debt_to_Income / (CHL + 1)</w:t>
            </w:r>
          </w:p>
        </w:tc>
        <w:tc>
          <w:tcPr>
            <w:tcW w:type="dxa" w:w="388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Combined leverage + credit history weakness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Risk_Index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0.5×DTI + 0.3×Past_Default + 0.2×(1/(CHL+1))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Composite risk score</w:t>
            </w:r>
          </w:p>
        </w:tc>
      </w:tr>
      <w:tr>
        <w:tc>
          <w:tcPr>
            <w:tcW w:type="dxa" w:w="230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Rate_Sensitivity</w:t>
            </w:r>
          </w:p>
        </w:tc>
        <w:tc>
          <w:tcPr>
            <w:tcW w:type="dxa" w:w="345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Interest_Rate × Loan_Term / 12</w:t>
            </w:r>
          </w:p>
        </w:tc>
        <w:tc>
          <w:tcPr>
            <w:tcW w:type="dxa" w:w="388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Total interest burden proxy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4.2 Credit Risk Model Results (5-fold CV)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4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230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RMSE (Set A)</w:t>
            </w:r>
          </w:p>
        </w:tc>
        <w:tc>
          <w:tcPr>
            <w:tcW w:type="dxa" w:w="201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R² (Set A)</w:t>
            </w:r>
          </w:p>
        </w:tc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Classifier AUC</w:t>
            </w:r>
          </w:p>
        </w:tc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Tier Accuracy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Random Forest ★</w:t>
            </w:r>
          </w:p>
        </w:tc>
        <w:tc>
          <w:tcPr>
            <w:tcW w:type="dxa" w:w="230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0.0910 ± 0.0103</w:t>
            </w:r>
          </w:p>
        </w:tc>
        <w:tc>
          <w:tcPr>
            <w:tcW w:type="dxa" w:w="201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−0.094 ± 0.166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1.000 ± 0.000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0.0918 ± 0.0107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−0.120 ± 0.207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1.000 ± 0.000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Ridge Regression</w:t>
            </w:r>
          </w:p>
        </w:tc>
        <w:tc>
          <w:tcPr>
            <w:tcW w:type="dxa" w:w="230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0.0947 ± 0.0112</w:t>
            </w:r>
          </w:p>
        </w:tc>
        <w:tc>
          <w:tcPr>
            <w:tcW w:type="dxa" w:w="201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−0.180 ± 0.160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1.000 ± 0.000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Decision Tree</w:t>
            </w:r>
          </w:p>
        </w:tc>
        <w:tc>
          <w:tcPr>
            <w:tcW w:type="dxa" w:w="230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0.1012 ± 0.0204</w:t>
            </w:r>
          </w:p>
        </w:tc>
        <w:tc>
          <w:tcPr>
            <w:tcW w:type="dxa" w:w="201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−0.371 ± 0.437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1.000 ± 0.000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</w:tr>
    </w:tbl>
    <w:p/>
    <w:p>
      <w:r>
        <w:rPr>
          <w:b w:val="0"/>
          <w:i/>
          <w:sz w:val="19"/>
        </w:rPr>
        <w:t>Note: AUC=1.0 for Past_Default classification is expected — PD is a direct linear transformation of Past_Default in this dataset. The more meaningful output is the continuous PD prediction and tiering.</w:t>
      </w:r>
    </w:p>
    <w:p/>
    <w:p>
      <w:pPr>
        <w:pStyle w:val="Heading2"/>
      </w:pPr>
      <w:r>
        <w:rPr>
          <w:color w:val="1565C0"/>
          <w:sz w:val="26"/>
        </w:rPr>
        <w:t>4.3 Fraud Detection Results</w:t>
      </w:r>
    </w:p>
    <w:p>
      <w:r>
        <w:rPr>
          <w:b w:val="0"/>
          <w:i w:val="0"/>
          <w:sz w:val="21"/>
        </w:rPr>
        <w:t>With only 9 fraud cases (4.5%) in 200 transactions, this is an extreme imbalance problem. Precision-Recall AUC is the correct metric — ROC AUC is misleading with such imbalance.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7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PR-AUC (Set B)</w:t>
            </w:r>
          </w:p>
        </w:tc>
        <w:tc>
          <w:tcPr>
            <w:tcW w:type="dxa" w:w="172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302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Technique</w:t>
            </w:r>
          </w:p>
        </w:tc>
      </w:tr>
      <w:tr>
        <w:tc>
          <w:tcPr>
            <w:tcW w:type="dxa" w:w="273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XGBoost (weighted) ★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0.162 ± 0.173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0.067 ± 0.133</w:t>
            </w:r>
          </w:p>
        </w:tc>
        <w:tc>
          <w:tcPr>
            <w:tcW w:type="dxa" w:w="302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scale_pos_weight=21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Gradient Boosting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0.170 ± 0.169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0.000 ± 0.000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class_weight=balanced</w:t>
            </w:r>
          </w:p>
        </w:tc>
      </w:tr>
      <w:tr>
        <w:tc>
          <w:tcPr>
            <w:tcW w:type="dxa" w:w="273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Random Forest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0.135 ± 0.113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0.000 ± 0.000</w:t>
            </w:r>
          </w:p>
        </w:tc>
        <w:tc>
          <w:tcPr>
            <w:tcW w:type="dxa" w:w="302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class_weight=balanced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0.061 ± 0.013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0.049 ± 0.043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class_weight=balanced</w:t>
            </w:r>
          </w:p>
        </w:tc>
      </w:tr>
      <w:tr>
        <w:tc>
          <w:tcPr>
            <w:tcW w:type="dxa" w:w="273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Isolation Forest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0.045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type="dxa" w:w="302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contamination=0.045 (unsupervised)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XGBoost + SMOTE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0.139 ± 0.126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0.080 ± 0.179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SMOTE oversampling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4.4 Risk Tier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44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144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type="dxa" w:w="18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PD Range</w:t>
            </w:r>
          </w:p>
        </w:tc>
        <w:tc>
          <w:tcPr>
            <w:tcW w:type="dxa" w:w="63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Low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18 loans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&lt; 10%</w:t>
            </w:r>
          </w:p>
        </w:tc>
        <w:tc>
          <w:tcPr>
            <w:tcW w:type="dxa" w:w="633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Standard approval — monitor quarterly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63 loans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10–20%</w:t>
            </w:r>
          </w:p>
        </w:tc>
        <w:tc>
          <w:tcPr>
            <w:tcW w:type="dxa" w:w="63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Enhanced monitoring — require collateral review</w:t>
            </w:r>
          </w:p>
        </w:tc>
      </w:tr>
      <w:tr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19 loans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&gt; 20%</w:t>
            </w:r>
          </w:p>
        </w:tc>
        <w:tc>
          <w:tcPr>
            <w:tcW w:type="dxa" w:w="633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Reject or require credit enhancement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4.5 Key Findings</w:t>
      </w:r>
    </w:p>
    <w:p>
      <w:pPr>
        <w:pStyle w:val="ListBullet"/>
      </w:pPr>
      <w:r>
        <w:rPr>
          <w:sz w:val="21"/>
        </w:rPr>
        <w:t>Random Forest performed best on PD regression; XGBoost on classification — both benefit from feature engineering.</w:t>
      </w:r>
    </w:p>
    <w:p>
      <w:pPr>
        <w:pStyle w:val="ListBullet"/>
      </w:pPr>
      <w:r>
        <w:rPr>
          <w:sz w:val="21"/>
        </w:rPr>
        <w:t>Fraud detection is inherently difficult with 9 positive cases: no model achieves meaningful F1 in CV. The best strategy is XGBoost with scale_pos_weight.</w:t>
      </w:r>
    </w:p>
    <w:p>
      <w:pPr>
        <w:pStyle w:val="ListBullet"/>
      </w:pPr>
      <w:r>
        <w:rPr>
          <w:sz w:val="21"/>
        </w:rPr>
        <w:t>Isolation Forest (unsupervised) showed near-zero PR-AUC — unsupervised methods alone are insufficient for this dataset; supervised labels are essential.</w:t>
      </w:r>
    </w:p>
    <w:p>
      <w:pPr>
        <w:pStyle w:val="ListBullet"/>
      </w:pPr>
      <w:r>
        <w:rPr>
          <w:sz w:val="21"/>
        </w:rPr>
        <w:t>SMOTE did not improve results — generating synthetic minority samples on a 200-row dataset introduces noise.</w:t>
      </w:r>
    </w:p>
    <w:p>
      <w:pPr>
        <w:pStyle w:val="ListBullet"/>
      </w:pPr>
      <w:r>
        <w:rPr>
          <w:sz w:val="21"/>
        </w:rPr>
        <w:t>63 of 100 loans fall in the Medium-risk tier — Aurora should prioritise this segment for active monitoring.</w:t>
      </w:r>
    </w:p>
    <w:p>
      <w:r>
        <w:br w:type="page"/>
      </w:r>
    </w:p>
    <w:p>
      <w:pPr>
        <w:pStyle w:val="Heading1"/>
      </w:pPr>
      <w:r>
        <w:rPr>
          <w:color w:val="1565C0"/>
          <w:sz w:val="32"/>
        </w:rPr>
        <w:t>5. Module 3 — Financial Markets: Portfolio Strategy</w:t>
      </w:r>
    </w:p>
    <w:p>
      <w:pPr>
        <w:pStyle w:val="Heading2"/>
      </w:pPr>
      <w:r>
        <w:rPr>
          <w:color w:val="1565C0"/>
          <w:sz w:val="26"/>
        </w:rPr>
        <w:t>5.1 Objective &amp; Dataset</w:t>
      </w:r>
    </w:p>
    <w:p>
      <w:r>
        <w:rPr>
          <w:b w:val="0"/>
          <w:i w:val="0"/>
          <w:sz w:val="21"/>
        </w:rPr>
        <w:t>6 Indian large-cap stocks (Asian Paints, Cipla, HDFC Bank, ITC, TCS, UltraTech Cement) with 5,250 daily OHLCV rows each from 2005 to 2026 (20+ years). Goal: predict next-day returns, rank stocks, optimise portfolio weights, and backtest.</w:t>
      </w:r>
    </w:p>
    <w:p/>
    <w:p>
      <w:pPr>
        <w:pStyle w:val="Heading3"/>
      </w:pPr>
      <w:r>
        <w:rPr>
          <w:sz w:val="22"/>
        </w:rPr>
        <w:t>20-Year Stock Summary (2005–2026)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30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Stock</w:t>
            </w:r>
          </w:p>
        </w:tc>
        <w:tc>
          <w:tcPr>
            <w:tcW w:type="dxa" w:w="172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Gain</w:t>
            </w:r>
          </w:p>
        </w:tc>
        <w:tc>
          <w:tcPr>
            <w:tcW w:type="dxa" w:w="18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Ann. Return</w:t>
            </w:r>
          </w:p>
        </w:tc>
        <w:tc>
          <w:tcPr>
            <w:tcW w:type="dxa" w:w="158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Ann. Vol</w:t>
            </w:r>
          </w:p>
        </w:tc>
        <w:tc>
          <w:tcPr>
            <w:tcW w:type="dxa" w:w="144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Sharpe</w:t>
            </w:r>
          </w:p>
        </w:tc>
      </w:tr>
      <w:tr>
        <w:tc>
          <w:tcPr>
            <w:tcW w:type="dxa" w:w="230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ASIANPAINT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645%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19.9%</w:t>
            </w:r>
          </w:p>
        </w:tc>
        <w:tc>
          <w:tcPr>
            <w:tcW w:type="dxa" w:w="158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33.0%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0.41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CIPLA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323%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12.4%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31.2%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0.19</w:t>
            </w:r>
          </w:p>
        </w:tc>
      </w:tr>
      <w:tr>
        <w:tc>
          <w:tcPr>
            <w:tcW w:type="dxa" w:w="230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HDFCBANK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69%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12.2%</w:t>
            </w:r>
          </w:p>
        </w:tc>
        <w:tc>
          <w:tcPr>
            <w:tcW w:type="dxa" w:w="158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36.5%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0.16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ITC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−76%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−6.4%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~30%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230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TCS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95%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~10%</w:t>
            </w:r>
          </w:p>
        </w:tc>
        <w:tc>
          <w:tcPr>
            <w:tcW w:type="dxa" w:w="158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~28%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0.15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ULTRACEMCO ★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3,651%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~28%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~25%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Best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5.2 Feature Engineering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 Set</w:t>
            </w:r>
          </w:p>
        </w:tc>
        <w:tc>
          <w:tcPr>
            <w:tcW w:type="dxa" w:w="64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Features Included</w:t>
            </w:r>
          </w:p>
        </w:tc>
        <w:tc>
          <w:tcPr>
            <w:tcW w:type="dxa" w:w="115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Count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Set A — Technical</w:t>
            </w:r>
          </w:p>
        </w:tc>
        <w:tc>
          <w:tcPr>
            <w:tcW w:type="dxa" w:w="648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ret_5d, ret_10d, ret_21d, mom_63d, vol_10d, vol_21d, ma_ratio_20, ma_ratio_50, rel_volume, log_volume, hl_range + ticker dummies</w:t>
            </w:r>
          </w:p>
        </w:tc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Set B — Technical + Macro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Set A + gdp_growth (quarterly) + inflation (quarterly)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5.3 Return Prediction Results (5-fold TimeSeriesSplit)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4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IC Set A</w:t>
            </w:r>
          </w:p>
        </w:tc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IC Set B</w:t>
            </w:r>
          </w:p>
        </w:tc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Dir.Acc. Set A</w:t>
            </w:r>
          </w:p>
        </w:tc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Dir.Acc. Set B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Ridge ★ (Set A)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0.0181 ± 0.0145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0.0171 ± 0.0157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50.6% ± 0.7%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50.4% ± 0.6%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Linear Regression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0.0178 ± 0.0118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0.0175 ± 0.0131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50.7% ± 0.6%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50.5% ± 0.9%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GradientBoosting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0.0070 ± 0.0161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0.0086 ± 0.0131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50.7% ± 0.7%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50.6% ± 0.6%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Random Forest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0.0057 ± 0.0092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0.0046 ± 0.0088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50.8% ± 0.5%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50.8% ± 0.6%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−0.0003 ± 0.0139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0.0052 ± 0.0170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50.2% ± 0.2%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50.6% ± 0.8%</w:t>
            </w:r>
          </w:p>
        </w:tc>
      </w:tr>
    </w:tbl>
    <w:p/>
    <w:p>
      <w:r>
        <w:rPr>
          <w:b w:val="0"/>
          <w:i/>
          <w:sz w:val="19"/>
        </w:rPr>
        <w:t>R² is near-zero or negative — expected for stock return prediction. IC (Spearman rank correlation) and Directional Accuracy (&gt;50%) are the appropriate metrics. Both are positive and above the random baseline, confirming a weak but real predictive signal.</w:t>
      </w:r>
    </w:p>
    <w:p/>
    <w:p>
      <w:pPr>
        <w:pStyle w:val="Heading2"/>
      </w:pPr>
      <w:r>
        <w:rPr>
          <w:color w:val="1565C0"/>
          <w:sz w:val="26"/>
        </w:rPr>
        <w:t>5.4 Portfolio Optimisation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Portfolio</w:t>
            </w:r>
          </w:p>
        </w:tc>
        <w:tc>
          <w:tcPr>
            <w:tcW w:type="dxa" w:w="432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Allocation</w:t>
            </w:r>
          </w:p>
        </w:tc>
        <w:tc>
          <w:tcPr>
            <w:tcW w:type="dxa" w:w="18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Expected Return</w:t>
            </w:r>
          </w:p>
        </w:tc>
        <w:tc>
          <w:tcPr>
            <w:tcW w:type="dxa" w:w="158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Volatility</w:t>
            </w:r>
          </w:p>
        </w:tc>
        <w:tc>
          <w:tcPr>
            <w:tcW w:type="dxa" w:w="144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Sharpe Ratio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Min-Variance</w:t>
            </w:r>
          </w:p>
        </w:tc>
        <w:tc>
          <w:tcPr>
            <w:tcW w:type="dxa" w:w="432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ITC 26.9%, UltraTech 21.8%, TCS 19.7%, Cipla 16.5%, AsianPaints 12.2%, HDFC 3.0%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16.34%</w:t>
            </w:r>
          </w:p>
        </w:tc>
        <w:tc>
          <w:tcPr>
            <w:tcW w:type="dxa" w:w="158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11.93%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0.82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Max-Sharpe ★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ITC 68.9%, UltraTech 31.1%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29.04%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15.26%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1.48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Equal-Weight</w:t>
            </w:r>
          </w:p>
        </w:tc>
        <w:tc>
          <w:tcPr>
            <w:tcW w:type="dxa" w:w="432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16.7% each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13.42%</w:t>
            </w:r>
          </w:p>
        </w:tc>
        <w:tc>
          <w:tcPr>
            <w:tcW w:type="dxa" w:w="158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14.12%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0.48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5.5 Backtest Results (2024–2026)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8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Strategy</w:t>
            </w:r>
          </w:p>
        </w:tc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Ann. Return</w:t>
            </w:r>
          </w:p>
        </w:tc>
        <w:tc>
          <w:tcPr>
            <w:tcW w:type="dxa" w:w="18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Ann. Vol</w:t>
            </w:r>
          </w:p>
        </w:tc>
        <w:tc>
          <w:tcPr>
            <w:tcW w:type="dxa" w:w="172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Sharpe</w:t>
            </w:r>
          </w:p>
        </w:tc>
        <w:tc>
          <w:tcPr>
            <w:tcW w:type="dxa" w:w="24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Max Drawdown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ML Max-Sharpe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−22.83%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18.01%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−1.63</w:t>
            </w:r>
          </w:p>
        </w:tc>
        <w:tc>
          <w:tcPr>
            <w:tcW w:type="dxa" w:w="244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−41.93%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Equal-Weight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−6.30%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13.32%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−0.96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−25.00%</w:t>
            </w:r>
          </w:p>
        </w:tc>
      </w:tr>
    </w:tbl>
    <w:p/>
    <w:p>
      <w:r>
        <w:rPr>
          <w:b w:val="0"/>
          <w:i/>
          <w:sz w:val="19"/>
        </w:rPr>
        <w:t>Both strategies were negative during 2024–2026 — reflecting challenging Indian equity market conditions, particularly a broad mid-cap correction and rate environment. The ML Max-Sharpe portfolio's higher concentration in ITC (68.9%) increased volatility and drawdown. This highlights that ML-based portfolio construction requires regular rebalancing and regime-aware constraints to avoid over-concentration.</w:t>
      </w:r>
    </w:p>
    <w:p/>
    <w:p>
      <w:pPr>
        <w:pStyle w:val="Heading2"/>
      </w:pPr>
      <w:r>
        <w:rPr>
          <w:color w:val="1565C0"/>
          <w:sz w:val="26"/>
        </w:rPr>
        <w:t>5.6 Key Findings</w:t>
      </w:r>
    </w:p>
    <w:p>
      <w:pPr>
        <w:pStyle w:val="ListBullet"/>
      </w:pPr>
      <w:r>
        <w:rPr>
          <w:sz w:val="21"/>
        </w:rPr>
        <w:t>Best IC model: Ridge on Set A (IC=0.018) — linear models preserve more signal than overfitting tree ensembles on this panel.</w:t>
      </w:r>
    </w:p>
    <w:p>
      <w:pPr>
        <w:pStyle w:val="ListBullet"/>
      </w:pPr>
      <w:r>
        <w:rPr>
          <w:sz w:val="21"/>
        </w:rPr>
        <w:t>Macro features (GDP growth, inflation) provided marginal improvement over pure technical features in IC.</w:t>
      </w:r>
    </w:p>
    <w:p>
      <w:pPr>
        <w:pStyle w:val="ListBullet"/>
      </w:pPr>
      <w:r>
        <w:rPr>
          <w:sz w:val="21"/>
        </w:rPr>
        <w:t>Markowitz Max-Sharpe heavily concentrates in ITC and UltraTech — two stocks with highest ML-predicted returns.</w:t>
      </w:r>
    </w:p>
    <w:p>
      <w:pPr>
        <w:pStyle w:val="ListBullet"/>
      </w:pPr>
      <w:r>
        <w:rPr>
          <w:sz w:val="21"/>
        </w:rPr>
        <w:t>Backtest shows both strategies lost money in 2024–2026 — ITC had a significant multi-year downtrend in this period.</w:t>
      </w:r>
    </w:p>
    <w:p>
      <w:pPr>
        <w:pStyle w:val="ListBullet"/>
      </w:pPr>
      <w:r>
        <w:rPr>
          <w:sz w:val="21"/>
        </w:rPr>
        <w:t>What did NOT work: XGBoost overfits on the small per-stock training window, yielding near-zero IC. Linear models generalize better for return prediction.</w:t>
      </w:r>
    </w:p>
    <w:p>
      <w:r>
        <w:br w:type="page"/>
      </w:r>
    </w:p>
    <w:p>
      <w:pPr>
        <w:pStyle w:val="Heading1"/>
      </w:pPr>
      <w:r>
        <w:rPr>
          <w:color w:val="1565C0"/>
          <w:sz w:val="32"/>
        </w:rPr>
        <w:t>6. Module 4 — Derivatives: Option Pricing, Greeks &amp; Risk Management</w:t>
      </w:r>
    </w:p>
    <w:p>
      <w:pPr>
        <w:pStyle w:val="Heading2"/>
      </w:pPr>
      <w:r>
        <w:rPr>
          <w:color w:val="1565C0"/>
          <w:sz w:val="26"/>
        </w:rPr>
        <w:t>6.1 Objective &amp; Dataset</w:t>
      </w:r>
    </w:p>
    <w:p>
      <w:r>
        <w:rPr>
          <w:b w:val="0"/>
          <w:i w:val="0"/>
          <w:sz w:val="21"/>
        </w:rPr>
        <w:t>Using NIFTY 50 intraday option chain data from 2 February 2024 (39,485 rows, 75 time snapshots, 6 expiry dates, 114 strikes), the objective is to price options with ML, compare to Black-Scholes, analyse the IV surface, and compute VaR and a delta-neutral hedge for Aurora's equity portfolio.</w:t>
      </w:r>
    </w:p>
    <w:p/>
    <w:p>
      <w:pPr>
        <w:pStyle w:val="Heading2"/>
      </w:pPr>
      <w:r>
        <w:rPr>
          <w:color w:val="1565C0"/>
          <w:sz w:val="26"/>
        </w:rPr>
        <w:t>6.2 Black-Scholes vs ML Option Pricing</w:t>
      </w:r>
    </w:p>
    <w:p>
      <w:r>
        <w:rPr>
          <w:b w:val="0"/>
          <w:i w:val="0"/>
          <w:sz w:val="21"/>
        </w:rPr>
        <w:t>Near-the-money (±10% of spot) contracts were filtered for clean ML training. Black-Scholes was computed using market IV as σ — representing the theoretical baseline.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8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72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RMSE (INR)</w:t>
            </w:r>
          </w:p>
        </w:tc>
        <w:tc>
          <w:tcPr>
            <w:tcW w:type="dxa" w:w="158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MAE (INR)</w:t>
            </w:r>
          </w:p>
        </w:tc>
        <w:tc>
          <w:tcPr>
            <w:tcW w:type="dxa" w:w="18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R²</w:t>
            </w:r>
          </w:p>
        </w:tc>
        <w:tc>
          <w:tcPr>
            <w:tcW w:type="dxa" w:w="374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Black-Scholes (market IV)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29.57</w:t>
            </w:r>
          </w:p>
        </w:tc>
        <w:tc>
          <w:tcPr>
            <w:tcW w:type="dxa" w:w="158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19.05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0.9947</w:t>
            </w:r>
          </w:p>
        </w:tc>
        <w:tc>
          <w:tcPr>
            <w:tcW w:type="dxa" w:w="374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Theoretical baseline using market IV as input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XGBoost — Set A ★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14.16 ± 0.48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8.26 ± 0.06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0.9988 ± 0.0001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Structural features only — beats BS by 52%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XGBoost — Set B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15.15 ± 0.49</w:t>
            </w:r>
          </w:p>
        </w:tc>
        <w:tc>
          <w:tcPr>
            <w:tcW w:type="dxa" w:w="158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9.61 ± 0.22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0.9986 ± 0.0001</w:t>
            </w:r>
          </w:p>
        </w:tc>
        <w:tc>
          <w:tcPr>
            <w:tcW w:type="dxa" w:w="374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+ microstructure (bid-ask, volume)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Gradient Boosting — Set A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18.01 ± 0.51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11.49 ± 0.21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0.9980 ± 0.0001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Second best model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Random Forest — Set A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26.89 ± 0.78</w:t>
            </w:r>
          </w:p>
        </w:tc>
        <w:tc>
          <w:tcPr>
            <w:tcW w:type="dxa" w:w="158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16.38 ± 0.33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0.9956 ± 0.0003</w:t>
            </w:r>
          </w:p>
        </w:tc>
        <w:tc>
          <w:tcPr>
            <w:tcW w:type="dxa" w:w="374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Comparable to BS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Linear Regression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100.85 ± 0.83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80.07 ± 0.43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0.9383 ± 0.0015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Fails — option pricing is non-linear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6.3 Implied Volatility Surface</w:t>
      </w:r>
    </w:p>
    <w:p>
      <w:pPr>
        <w:pStyle w:val="ListBullet"/>
      </w:pPr>
      <w:r>
        <w:rPr>
          <w:sz w:val="21"/>
        </w:rPr>
        <w:t>Volatility smile confirmed: both OTM calls and OTM puts carry higher IV than ATM options.</w:t>
      </w:r>
    </w:p>
    <w:p>
      <w:pPr>
        <w:pStyle w:val="ListBullet"/>
      </w:pPr>
      <w:r>
        <w:rPr>
          <w:sz w:val="21"/>
        </w:rPr>
        <w:t>Put skew: OTM puts have systematically higher IV than OTM calls — reflecting downside crash fear in Indian markets.</w:t>
      </w:r>
    </w:p>
    <w:p>
      <w:pPr>
        <w:pStyle w:val="ListBullet"/>
      </w:pPr>
      <w:r>
        <w:rPr>
          <w:sz w:val="21"/>
        </w:rPr>
        <w:t>Term structure: shorter-dated options (6-day expiry) show higher IV due to near-term event risk.</w:t>
      </w:r>
    </w:p>
    <w:p>
      <w:pPr>
        <w:pStyle w:val="ListBullet"/>
      </w:pPr>
      <w:r>
        <w:rPr>
          <w:sz w:val="21"/>
        </w:rPr>
        <w:t>Gamma is highest for ATM near-expiry options — risk of rapid delta changes for short-option positions.</w:t>
      </w:r>
    </w:p>
    <w:p/>
    <w:p>
      <w:pPr>
        <w:pStyle w:val="Heading2"/>
      </w:pPr>
      <w:r>
        <w:rPr>
          <w:color w:val="1565C0"/>
          <w:sz w:val="26"/>
        </w:rPr>
        <w:t>6.4 Value-at-Risk (Historical Simulation)</w:t>
      </w:r>
    </w:p>
    <w:p>
      <w:r>
        <w:rPr>
          <w:b w:val="0"/>
          <w:i w:val="0"/>
          <w:sz w:val="21"/>
        </w:rPr>
        <w:t>Using 74 intraday 5-minute return observations from the NIFTY spot series on 2 Feb 2024: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01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8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% Return</w:t>
            </w:r>
          </w:p>
        </w:tc>
        <w:tc>
          <w:tcPr>
            <w:tcW w:type="dxa" w:w="31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₹ Loss (₹1 Crore position)</w:t>
            </w:r>
          </w:p>
        </w:tc>
        <w:tc>
          <w:tcPr>
            <w:tcW w:type="dxa" w:w="475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Interpretation</w:t>
            </w:r>
          </w:p>
        </w:tc>
      </w:tr>
      <w:tr>
        <w:tc>
          <w:tcPr>
            <w:tcW w:type="dxa" w:w="201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VaR 95%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−0.149%</w:t>
            </w:r>
          </w:p>
        </w:tc>
        <w:tc>
          <w:tcPr>
            <w:tcW w:type="dxa" w:w="31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₹14,921</w:t>
            </w:r>
          </w:p>
        </w:tc>
        <w:tc>
          <w:tcPr>
            <w:tcW w:type="dxa" w:w="475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5% chance of losing more per 5-min interval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VaR 99%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−0.342%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₹34,156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1% chance of losing more per 5-min interval</w:t>
            </w:r>
          </w:p>
        </w:tc>
      </w:tr>
      <w:tr>
        <w:tc>
          <w:tcPr>
            <w:tcW w:type="dxa" w:w="201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CVaR 95%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−0.291%</w:t>
            </w:r>
          </w:p>
        </w:tc>
        <w:tc>
          <w:tcPr>
            <w:tcW w:type="dxa" w:w="31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₹29,073</w:t>
            </w:r>
          </w:p>
        </w:tc>
        <w:tc>
          <w:tcPr>
            <w:tcW w:type="dxa" w:w="475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Expected loss when VaR 95% is breached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CVaR 99%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−0.605%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₹60,510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Expected loss in worst 1% of scenarios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6.5 Delta-Neutral Hedge</w:t>
      </w:r>
    </w:p>
    <w:p>
      <w:r>
        <w:rPr>
          <w:b w:val="0"/>
          <w:i w:val="0"/>
          <w:sz w:val="21"/>
        </w:rPr>
        <w:t>Aurora's Max-Sharpe equity portfolio (₹1 crore) has a beta-weighted NIFTY delta exposure of ₹7,466,043 (portfolio beta = 0.747). To neutralise this systematic risk using NIFTY put options: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67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Portfolio Beta (weighted avg)</w:t>
            </w:r>
          </w:p>
        </w:tc>
        <w:tc>
          <w:tcPr>
            <w:tcW w:type="dxa" w:w="67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0.747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NIFTY Delta Exposure</w:t>
            </w:r>
          </w:p>
        </w:tc>
        <w:tc>
          <w:tcPr>
            <w:tcW w:type="dxa" w:w="67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₹7,466,043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Hedge Instrument</w:t>
            </w:r>
          </w:p>
        </w:tc>
        <w:tc>
          <w:tcPr>
            <w:tcW w:type="dxa" w:w="67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NIFTY Put @ Strike 21,850 (8 Feb 2024 expiry)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Put Delta</w:t>
            </w:r>
          </w:p>
        </w:tc>
        <w:tc>
          <w:tcPr>
            <w:tcW w:type="dxa" w:w="67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−0.449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Contracts Required</w:t>
            </w:r>
          </w:p>
        </w:tc>
        <w:tc>
          <w:tcPr>
            <w:tcW w:type="dxa" w:w="67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15 lots (50 shares/lot)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Option Premium per Lot</w:t>
            </w:r>
          </w:p>
        </w:tc>
        <w:tc>
          <w:tcPr>
            <w:tcW w:type="dxa" w:w="67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₹130.90 × 50 = ₹6,545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Total Hedge Cost</w:t>
            </w:r>
          </w:p>
        </w:tc>
        <w:tc>
          <w:tcPr>
            <w:tcW w:type="dxa" w:w="67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₹98,175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Hedge Cost % of AUM</w:t>
            </w:r>
          </w:p>
        </w:tc>
        <w:tc>
          <w:tcPr>
            <w:tcW w:type="dxa" w:w="67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0.98%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6.6 Key Findings</w:t>
      </w:r>
    </w:p>
    <w:p>
      <w:pPr>
        <w:pStyle w:val="ListBullet"/>
      </w:pPr>
      <w:r>
        <w:rPr>
          <w:sz w:val="21"/>
        </w:rPr>
        <w:t>XGBoost (Set A) reduces RMSE by 52% vs Black-Scholes — the biggest winner in this module.</w:t>
      </w:r>
    </w:p>
    <w:p>
      <w:pPr>
        <w:pStyle w:val="ListBullet"/>
      </w:pPr>
      <w:r>
        <w:rPr>
          <w:sz w:val="21"/>
        </w:rPr>
        <w:t>SHAP analysis confirms Intrinsic value, Log-Moneyness, IV, and TTE_years as the dominant pricing factors.</w:t>
      </w:r>
    </w:p>
    <w:p>
      <w:pPr>
        <w:pStyle w:val="ListBullet"/>
      </w:pPr>
      <w:r>
        <w:rPr>
          <w:sz w:val="21"/>
        </w:rPr>
        <w:t>Linear regression fails completely — confirming the non-linear nature of option pricing.</w:t>
      </w:r>
    </w:p>
    <w:p>
      <w:pPr>
        <w:pStyle w:val="ListBullet"/>
      </w:pPr>
      <w:r>
        <w:rPr>
          <w:sz w:val="21"/>
        </w:rPr>
        <w:t>Microstructure features (Set B) did not improve over pure structural features (Set A) — liquidity signals add noise rather than signal at this dataset scale.</w:t>
      </w:r>
    </w:p>
    <w:p>
      <w:pPr>
        <w:pStyle w:val="ListBullet"/>
      </w:pPr>
      <w:r>
        <w:rPr>
          <w:sz w:val="21"/>
        </w:rPr>
        <w:t>A 0.98% AUM hedge cost is modest — delta neutrality is achievable without significant portfolio drag.</w:t>
      </w:r>
    </w:p>
    <w:p>
      <w:r>
        <w:br w:type="page"/>
      </w:r>
    </w:p>
    <w:p>
      <w:pPr>
        <w:pStyle w:val="Heading1"/>
      </w:pPr>
      <w:r>
        <w:rPr>
          <w:color w:val="1565C0"/>
          <w:sz w:val="32"/>
        </w:rPr>
        <w:t>7. Cross-Module Integration</w:t>
      </w:r>
    </w:p>
    <w:p>
      <w:r>
        <w:rPr>
          <w:b w:val="0"/>
          <w:i w:val="0"/>
          <w:sz w:val="21"/>
        </w:rPr>
        <w:t>A key strength of this project is the deliberate linkage of outputs across modules to form a coherent, firm-wide decision support system: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From Module</w:t>
            </w:r>
          </w:p>
        </w:tc>
        <w:tc>
          <w:tcPr>
            <w:tcW w:type="dxa" w:w="28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Output Used</w:t>
            </w:r>
          </w:p>
        </w:tc>
        <w:tc>
          <w:tcPr>
            <w:tcW w:type="dxa" w:w="18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 Module</w:t>
            </w:r>
          </w:p>
        </w:tc>
        <w:tc>
          <w:tcPr>
            <w:tcW w:type="dxa" w:w="432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How Used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M1 — Corporate Finance</w:t>
            </w:r>
          </w:p>
        </w:tc>
        <w:tc>
          <w:tcPr>
            <w:tcW w:type="dxa" w:w="288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ranked_projects.csv (EV, recommendations)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M5 Dashboard</w:t>
            </w:r>
          </w:p>
        </w:tc>
        <w:tc>
          <w:tcPr>
            <w:tcW w:type="dxa" w:w="432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Top-10 project bar chart; FUND/SKIP decisions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M2 — Banking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risk_scored_loans.csv + fraud_alerts.csv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M5 Dashboard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Risk tier donut + fraud alert table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M3 — Financial Markets</w:t>
            </w:r>
          </w:p>
        </w:tc>
        <w:tc>
          <w:tcPr>
            <w:tcW w:type="dxa" w:w="288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portfolio_weights.csv (max_sharpe_weight)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M4 Derivatives</w:t>
            </w:r>
          </w:p>
        </w:tc>
        <w:tc>
          <w:tcPr>
            <w:tcW w:type="dxa" w:w="432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Portfolio beta calculation → delta hedge sizing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M3 — Financial Markets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backtest_returns.csv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M5 Dashboard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Equity curve panel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M4 — Derivatives</w:t>
            </w:r>
          </w:p>
        </w:tc>
        <w:tc>
          <w:tcPr>
            <w:tcW w:type="dxa" w:w="288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var_results.csv + delta_hedge_table.csv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M5 Dashboard</w:t>
            </w:r>
          </w:p>
        </w:tc>
        <w:tc>
          <w:tcPr>
            <w:tcW w:type="dxa" w:w="432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VaR gauge + hedge summary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M1–M4 all modules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All CSVs + chart PNGs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M5 Dashboard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Unified interactive HTML + Excel for executives</w:t>
            </w:r>
          </w:p>
        </w:tc>
      </w:tr>
    </w:tbl>
    <w:p/>
    <w:p>
      <w:r>
        <w:rPr>
          <w:b w:val="0"/>
          <w:i w:val="0"/>
          <w:sz w:val="21"/>
        </w:rPr>
        <w:t>The Module 3→4 linkage is particularly notable: Aurora's equity portfolio weights (ITC 68.9%, UltraTech 31.1%) directly determine how many NIFTY put contracts are needed for the delta hedge. This quantitatively demonstrates how an ML-driven equity strategy can feed a quantitative risk management decision.</w:t>
      </w:r>
    </w:p>
    <w:p>
      <w:r>
        <w:br w:type="page"/>
      </w:r>
    </w:p>
    <w:p>
      <w:pPr>
        <w:pStyle w:val="Heading1"/>
      </w:pPr>
      <w:r>
        <w:rPr>
          <w:color w:val="1565C0"/>
          <w:sz w:val="32"/>
        </w:rPr>
        <w:t>8. Conclusion &amp; Business Recommendations</w:t>
      </w:r>
    </w:p>
    <w:p>
      <w:pPr>
        <w:pStyle w:val="Heading2"/>
      </w:pPr>
      <w:r>
        <w:rPr>
          <w:color w:val="1565C0"/>
          <w:sz w:val="26"/>
        </w:rPr>
        <w:t>8.1 What Worked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31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Best Approach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Takeaway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M1 Corp Finance</w:t>
            </w:r>
          </w:p>
        </w:tc>
        <w:tc>
          <w:tcPr>
            <w:tcW w:type="dxa" w:w="31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XGBoost + engineered NPV/Payback features</w:t>
            </w:r>
          </w:p>
        </w:tc>
        <w:tc>
          <w:tcPr>
            <w:tcW w:type="dxa" w:w="57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Financial engineering beats raw cashflows as model inputs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M2 Credit Risk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Random Forest on engineered loan ratios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Leverage ratios (Loan-to-Income, DTI) are the best PD predictors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M2 Fraud</w:t>
            </w:r>
          </w:p>
        </w:tc>
        <w:tc>
          <w:tcPr>
            <w:tcW w:type="dxa" w:w="31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XGBoost with scale_pos_weight</w:t>
            </w:r>
          </w:p>
        </w:tc>
        <w:tc>
          <w:tcPr>
            <w:tcW w:type="dxa" w:w="57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Supervised class weighting outperforms all unsupervised approaches on small datasets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M3 Markets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Ridge with technical features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Linear models generalise better than XGBoost for return prediction on short windows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M4 Derivatives</w:t>
            </w:r>
          </w:p>
        </w:tc>
        <w:tc>
          <w:tcPr>
            <w:tcW w:type="dxa" w:w="3168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XGBoost (Set A: structural)</w:t>
            </w:r>
          </w:p>
        </w:tc>
        <w:tc>
          <w:tcPr>
            <w:tcW w:type="dxa" w:w="576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Option pricing is highly non-linear — tree ensembles beat BS by capturing smile/skew implicitly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8.2 What Did NOT Work</w:t>
      </w:r>
    </w:p>
    <w:p>
      <w:pPr>
        <w:pStyle w:val="ListBullet"/>
      </w:pPr>
      <w:r>
        <w:rPr>
          <w:sz w:val="21"/>
        </w:rPr>
        <w:t>Isolation Forest (unsupervised) for fraud detection — near-zero PR-AUC on only 9 positive cases.</w:t>
      </w:r>
    </w:p>
    <w:p>
      <w:pPr>
        <w:pStyle w:val="ListBullet"/>
      </w:pPr>
      <w:r>
        <w:rPr>
          <w:sz w:val="21"/>
        </w:rPr>
        <w:t>SMOTE oversampling — increased noise on small datasets rather than improving recall.</w:t>
      </w:r>
    </w:p>
    <w:p>
      <w:pPr>
        <w:pStyle w:val="ListBullet"/>
      </w:pPr>
      <w:r>
        <w:rPr>
          <w:sz w:val="21"/>
        </w:rPr>
        <w:t>XGBoost for return prediction — overfits on short training windows; linear models generalise better.</w:t>
      </w:r>
    </w:p>
    <w:p>
      <w:pPr>
        <w:pStyle w:val="ListBullet"/>
      </w:pPr>
      <w:r>
        <w:rPr>
          <w:sz w:val="21"/>
        </w:rPr>
        <w:t>Microstructure features in option pricing — did not improve over structural features due to dataset scope.</w:t>
      </w:r>
    </w:p>
    <w:p>
      <w:pPr>
        <w:pStyle w:val="ListBullet"/>
      </w:pPr>
      <w:r>
        <w:rPr>
          <w:sz w:val="21"/>
        </w:rPr>
        <w:t>Concentrated Max-Sharpe portfolio during a market downturn — ML predictions based on recent momentum can backfire in regime shifts.</w:t>
      </w:r>
    </w:p>
    <w:p/>
    <w:p>
      <w:pPr>
        <w:pStyle w:val="Heading2"/>
      </w:pPr>
      <w:r>
        <w:rPr>
          <w:color w:val="1565C0"/>
          <w:sz w:val="26"/>
        </w:rPr>
        <w:t>8.3 Business Recommendations for Aurora Finance</w:t>
      </w:r>
    </w:p>
    <w:p>
      <w:pPr>
        <w:pStyle w:val="ListBullet"/>
      </w:pPr>
      <w:r>
        <w:rPr>
          <w:sz w:val="21"/>
        </w:rPr>
        <w:t>Fund 16 of 50 projects, prioritising IT-department projects with NPV &gt; ₹2M and P(success) &gt; 80%.</w:t>
      </w:r>
    </w:p>
    <w:p>
      <w:pPr>
        <w:pStyle w:val="ListBullet"/>
      </w:pPr>
      <w:r>
        <w:rPr>
          <w:sz w:val="21"/>
        </w:rPr>
        <w:t>Classify 19 high-risk loans for credit enhancement review immediately; escalate 9 fraud transactions to compliance.</w:t>
      </w:r>
    </w:p>
    <w:p>
      <w:pPr>
        <w:pStyle w:val="ListBullet"/>
      </w:pPr>
      <w:r>
        <w:rPr>
          <w:sz w:val="21"/>
        </w:rPr>
        <w:t>Adopt the Min-Variance portfolio (Sharpe=0.82) as the conservative allocation; use Max-Sharpe (Sharpe=1.48) as the aggressive overlay.</w:t>
      </w:r>
    </w:p>
    <w:p>
      <w:pPr>
        <w:pStyle w:val="ListBullet"/>
      </w:pPr>
      <w:r>
        <w:rPr>
          <w:sz w:val="21"/>
        </w:rPr>
        <w:t>Implement a 15-lot NIFTY put hedge for the equity portfolio; renew monthly to maintain delta neutrality.</w:t>
      </w:r>
    </w:p>
    <w:p>
      <w:pPr>
        <w:pStyle w:val="ListBullet"/>
      </w:pPr>
      <w:r>
        <w:rPr>
          <w:sz w:val="21"/>
        </w:rPr>
        <w:t>Deploy the integrated dashboard (Module 5) for weekly executive reporting — it requires no ML expertise to interpret.</w:t>
      </w:r>
    </w:p>
    <w:p/>
    <w:p>
      <w:pPr>
        <w:pStyle w:val="Heading2"/>
      </w:pPr>
      <w:r>
        <w:rPr>
          <w:color w:val="1565C0"/>
          <w:sz w:val="26"/>
        </w:rPr>
        <w:t>8.4 Limitations &amp; Future Work</w:t>
      </w:r>
    </w:p>
    <w:p>
      <w:pPr>
        <w:pStyle w:val="ListBullet"/>
      </w:pPr>
      <w:r>
        <w:rPr>
          <w:sz w:val="21"/>
        </w:rPr>
        <w:t>All datasets are small (50–200 rows for M1/M2) — results should be validated on larger real-world data before production deployment.</w:t>
      </w:r>
    </w:p>
    <w:p>
      <w:pPr>
        <w:pStyle w:val="ListBullet"/>
      </w:pPr>
      <w:r>
        <w:rPr>
          <w:sz w:val="21"/>
        </w:rPr>
        <w:t>Module 4 covers only a single trading day — a multi-day or multi-week option chain would enable better IV surface modelling.</w:t>
      </w:r>
    </w:p>
    <w:p>
      <w:pPr>
        <w:pStyle w:val="ListBullet"/>
      </w:pPr>
      <w:r>
        <w:rPr>
          <w:sz w:val="21"/>
        </w:rPr>
        <w:t>Module 3 return prediction has IC ≈ 0.018 — real-world quant strategies typically target IC &gt; 0.05 with longer history and more features.</w:t>
      </w:r>
    </w:p>
    <w:p>
      <w:pPr>
        <w:pStyle w:val="ListBullet"/>
      </w:pPr>
      <w:r>
        <w:rPr>
          <w:sz w:val="21"/>
        </w:rPr>
        <w:t>Future work: incorporate alternative data (news sentiment, F&amp;O open interest) to improve return prediction IC.</w:t>
      </w:r>
    </w:p>
    <w:p>
      <w:pPr>
        <w:pStyle w:val="ListBullet"/>
      </w:pPr>
      <w:r>
        <w:rPr>
          <w:sz w:val="21"/>
        </w:rPr>
        <w:t>Regime detection (HMM or clustering) could prevent the concentrated Max-Sharpe portfolio from being deployed in bear markets.</w:t>
      </w:r>
    </w:p>
    <w:p>
      <w:r>
        <w:br w:type="page"/>
      </w:r>
    </w:p>
    <w:p>
      <w:pPr>
        <w:pStyle w:val="Heading1"/>
      </w:pPr>
      <w:r>
        <w:rPr>
          <w:color w:val="1565C0"/>
          <w:sz w:val="32"/>
        </w:rPr>
        <w:t>Appendix — Technical Notes</w:t>
      </w:r>
    </w:p>
    <w:p>
      <w:pPr>
        <w:pStyle w:val="Heading2"/>
      </w:pPr>
      <w:r>
        <w:rPr>
          <w:color w:val="1565C0"/>
          <w:sz w:val="26"/>
        </w:rPr>
        <w:t>A. Model Validation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30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8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CV Method</w:t>
            </w:r>
          </w:p>
        </w:tc>
        <w:tc>
          <w:tcPr>
            <w:tcW w:type="dxa" w:w="590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230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M1 Corp Finance</w:t>
            </w:r>
          </w:p>
        </w:tc>
        <w:tc>
          <w:tcPr>
            <w:tcW w:type="dxa" w:w="288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5-fold StratifiedKFold</w:t>
            </w:r>
          </w:p>
        </w:tc>
        <w:tc>
          <w:tcPr>
            <w:tcW w:type="dxa" w:w="590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Preserves class balance with only 50 rows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M2 Banking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5-fold StratifiedKFold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Preserves fraud minority class in each fold</w:t>
            </w:r>
          </w:p>
        </w:tc>
      </w:tr>
      <w:tr>
        <w:tc>
          <w:tcPr>
            <w:tcW w:type="dxa" w:w="230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M3 Markets</w:t>
            </w:r>
          </w:p>
        </w:tc>
        <w:tc>
          <w:tcPr>
            <w:tcW w:type="dxa" w:w="288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5-fold TimeSeriesSplit</w:t>
            </w:r>
          </w:p>
        </w:tc>
        <w:tc>
          <w:tcPr>
            <w:tcW w:type="dxa" w:w="5904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Prevents temporal leakage — future cannot inform past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M4 Derivatives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5-fold KFold (shuffled)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Breaks intraday autocorrelation; no temporal ordering needed for cross-sectional pricing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B. Constants Used Across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Constant</w:t>
            </w:r>
          </w:p>
        </w:tc>
        <w:tc>
          <w:tcPr>
            <w:tcW w:type="dxa" w:w="18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63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Justification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Discount Rate (M1)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633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Aurora internal hurdle rate for project evaluation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Risk-Free Rate (M3)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6.5%</w:t>
            </w:r>
          </w:p>
        </w:tc>
        <w:tc>
          <w:tcPr>
            <w:tcW w:type="dxa" w:w="63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India 10-year Government Securities yield (2024)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Risk-Free Rate (M4)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7.0%</w:t>
            </w:r>
          </w:p>
        </w:tc>
        <w:tc>
          <w:tcPr>
            <w:tcW w:type="dxa" w:w="633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Indian T-bill proxy used for Black-Scholes pricing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NIFTY Lot Size (M4)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63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NSE standard contract lot size for NIFTY options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Random State</w:t>
            </w:r>
          </w:p>
        </w:tc>
        <w:tc>
          <w:tcPr>
            <w:tcW w:type="dxa" w:w="1872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6336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Used consistently across all scikit-learn / XGBoost models</w:t>
            </w:r>
          </w:p>
        </w:tc>
      </w:tr>
    </w:tbl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