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7B53" w14:textId="50C49F15" w:rsidR="00286C33" w:rsidRPr="00286C33" w:rsidRDefault="00286C33" w:rsidP="00286C33">
      <w:pPr>
        <w:pStyle w:val="Title"/>
        <w:jc w:val="center"/>
        <w:rPr>
          <w:rFonts w:ascii="Times New Roman" w:hAnsi="Times New Roman" w:cs="Times New Roman"/>
          <w:b/>
          <w:bCs/>
        </w:rPr>
      </w:pPr>
      <w:r w:rsidRPr="00286C33">
        <w:rPr>
          <w:rFonts w:ascii="Times New Roman" w:hAnsi="Times New Roman" w:cs="Times New Roman"/>
          <w:b/>
          <w:bCs/>
        </w:rPr>
        <w:t>STOCK MARKET FUNDAMENTALS AND FINANCIAL ST</w:t>
      </w:r>
      <w:r>
        <w:rPr>
          <w:rFonts w:ascii="Times New Roman" w:hAnsi="Times New Roman" w:cs="Times New Roman"/>
          <w:b/>
          <w:bCs/>
        </w:rPr>
        <w:t xml:space="preserve"> </w:t>
      </w:r>
      <w:r w:rsidRPr="00286C33">
        <w:rPr>
          <w:rFonts w:ascii="Times New Roman" w:hAnsi="Times New Roman" w:cs="Times New Roman"/>
          <w:b/>
          <w:bCs/>
        </w:rPr>
        <w:t>ATEMENT ANALYSIS</w:t>
      </w:r>
    </w:p>
    <w:p w14:paraId="1F395E7F" w14:textId="77777777" w:rsidR="00286C33" w:rsidRDefault="00286C33" w:rsidP="00286C33"/>
    <w:p w14:paraId="2D6DA3BB" w14:textId="77777777" w:rsidR="00286C33" w:rsidRPr="00286C33" w:rsidRDefault="00286C33" w:rsidP="00286C33">
      <w:pPr>
        <w:pStyle w:val="Subtitle"/>
        <w:jc w:val="center"/>
        <w:rPr>
          <w:rFonts w:ascii="Times New Roman" w:hAnsi="Times New Roman" w:cs="Times New Roman"/>
        </w:rPr>
      </w:pPr>
    </w:p>
    <w:p w14:paraId="5088F698" w14:textId="77777777" w:rsidR="00286C33" w:rsidRPr="00286C33" w:rsidRDefault="00286C33" w:rsidP="00286C33">
      <w:pPr>
        <w:pStyle w:val="Subtitle"/>
        <w:jc w:val="center"/>
        <w:rPr>
          <w:rFonts w:ascii="Times New Roman" w:hAnsi="Times New Roman" w:cs="Times New Roman"/>
          <w:b/>
          <w:bCs/>
        </w:rPr>
      </w:pPr>
      <w:r w:rsidRPr="00286C33">
        <w:rPr>
          <w:rFonts w:ascii="Times New Roman" w:hAnsi="Times New Roman" w:cs="Times New Roman"/>
          <w:b/>
          <w:bCs/>
        </w:rPr>
        <w:t>Prepared by</w:t>
      </w:r>
    </w:p>
    <w:p w14:paraId="3168FE16" w14:textId="77777777" w:rsidR="00286C33" w:rsidRPr="00286C33" w:rsidRDefault="00286C33" w:rsidP="00286C33">
      <w:pPr>
        <w:pStyle w:val="Subtitle"/>
        <w:jc w:val="center"/>
        <w:rPr>
          <w:rFonts w:ascii="Times New Roman" w:hAnsi="Times New Roman" w:cs="Times New Roman"/>
        </w:rPr>
      </w:pPr>
      <w:r w:rsidRPr="00286C33">
        <w:rPr>
          <w:rFonts w:ascii="Times New Roman" w:hAnsi="Times New Roman" w:cs="Times New Roman"/>
          <w:b/>
          <w:bCs/>
        </w:rPr>
        <w:t>S. Bhavana</w:t>
      </w:r>
    </w:p>
    <w:p w14:paraId="393AF9DE" w14:textId="622F1905" w:rsidR="00286C33" w:rsidRDefault="00286C33">
      <w:r>
        <w:br w:type="page"/>
      </w:r>
    </w:p>
    <w:p w14:paraId="43DFB7B9" w14:textId="6C2A46FF" w:rsidR="00C9110D" w:rsidRPr="00286C33" w:rsidRDefault="00286C33" w:rsidP="00286C33">
      <w:pPr>
        <w:pStyle w:val="Heading2"/>
        <w:jc w:val="center"/>
        <w:rPr>
          <w:b/>
          <w:bCs/>
          <w:color w:val="000000" w:themeColor="text1"/>
          <w:sz w:val="40"/>
          <w:szCs w:val="40"/>
        </w:rPr>
      </w:pPr>
      <w:r w:rsidRPr="00286C33">
        <w:rPr>
          <w:b/>
          <w:bCs/>
          <w:color w:val="000000" w:themeColor="text1"/>
          <w:sz w:val="40"/>
          <w:szCs w:val="40"/>
        </w:rPr>
        <w:lastRenderedPageBreak/>
        <w:t xml:space="preserve">PART </w:t>
      </w:r>
      <w:r>
        <w:rPr>
          <w:b/>
          <w:bCs/>
          <w:color w:val="000000" w:themeColor="text1"/>
          <w:sz w:val="40"/>
          <w:szCs w:val="40"/>
        </w:rPr>
        <w:t xml:space="preserve">- </w:t>
      </w:r>
      <w:r w:rsidRPr="00286C33">
        <w:rPr>
          <w:b/>
          <w:bCs/>
          <w:color w:val="000000" w:themeColor="text1"/>
          <w:sz w:val="40"/>
          <w:szCs w:val="40"/>
        </w:rPr>
        <w:t>A</w:t>
      </w:r>
    </w:p>
    <w:p w14:paraId="7BC35FD1" w14:textId="01359612" w:rsidR="00286C33" w:rsidRDefault="00286C33" w:rsidP="00286C33">
      <w:pPr>
        <w:pStyle w:val="Subtitle"/>
        <w:jc w:val="center"/>
        <w:rPr>
          <w:b/>
          <w:bCs/>
        </w:rPr>
      </w:pPr>
      <w:r w:rsidRPr="00286C33">
        <w:rPr>
          <w:b/>
          <w:bCs/>
        </w:rPr>
        <w:t>STOCK MARKET FUNDAMENTALS</w:t>
      </w:r>
    </w:p>
    <w:p w14:paraId="10FAE5EA" w14:textId="77777777" w:rsidR="00286C33" w:rsidRDefault="00286C33" w:rsidP="00286C33">
      <w:pPr>
        <w:rPr>
          <w:rFonts w:eastAsiaTheme="majorEastAsia" w:cstheme="majorBidi"/>
          <w:b/>
          <w:bCs/>
          <w:color w:val="595959" w:themeColor="text1" w:themeTint="A6"/>
          <w:spacing w:val="15"/>
          <w:sz w:val="28"/>
          <w:szCs w:val="28"/>
        </w:rPr>
      </w:pPr>
    </w:p>
    <w:p w14:paraId="79945828"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 What is a Stock Market?</w:t>
      </w:r>
    </w:p>
    <w:p w14:paraId="4B06F3BC"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 stock market is a financial marketplace where shares of publicly listed companies are bought and sold. When a person purchases a company's share, they become a shareholder and own a small portion of that company.</w:t>
      </w:r>
    </w:p>
    <w:p w14:paraId="64C1613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Companies use the stock market to raise money for business expansion, while investors use it to buy and sell shares and potentially earn returns.</w:t>
      </w:r>
    </w:p>
    <w:p w14:paraId="5560CF0D" w14:textId="37DD5A7F"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The Indian stock market is mainly represented by two major stock exchanges: the </w:t>
      </w:r>
      <w:r w:rsidRPr="00286C33">
        <w:rPr>
          <w:rFonts w:ascii="Times New Roman" w:hAnsi="Times New Roman" w:cs="Times New Roman"/>
          <w:b/>
          <w:bCs/>
        </w:rPr>
        <w:t>National Stock Exchange (NSE)</w:t>
      </w:r>
      <w:r w:rsidRPr="00286C33">
        <w:rPr>
          <w:rFonts w:ascii="Times New Roman" w:hAnsi="Times New Roman" w:cs="Times New Roman"/>
        </w:rPr>
        <w:t xml:space="preserve"> and the </w:t>
      </w:r>
      <w:r w:rsidRPr="00286C33">
        <w:rPr>
          <w:rFonts w:ascii="Times New Roman" w:hAnsi="Times New Roman" w:cs="Times New Roman"/>
          <w:b/>
          <w:bCs/>
        </w:rPr>
        <w:t>BSE Ltd. (BSE)</w:t>
      </w:r>
      <w:r w:rsidRPr="00286C33">
        <w:rPr>
          <w:rFonts w:ascii="Times New Roman" w:hAnsi="Times New Roman" w:cs="Times New Roman"/>
        </w:rPr>
        <w:t>.</w:t>
      </w:r>
    </w:p>
    <w:p w14:paraId="7DF40B9F"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2. NSE and BSE</w:t>
      </w:r>
    </w:p>
    <w:p w14:paraId="166ED42A"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NSE – National Stock Exchange</w:t>
      </w:r>
    </w:p>
    <w:p w14:paraId="34CE1D6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National Stock Exchange of India is one of India's major stock exchanges. It provides an electronic platform for trading securities such as equities, derivatives and other financial instruments.</w:t>
      </w:r>
    </w:p>
    <w:p w14:paraId="624B09ED"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The major stock market index associated with NSE is the </w:t>
      </w:r>
      <w:r w:rsidRPr="00286C33">
        <w:rPr>
          <w:rFonts w:ascii="Times New Roman" w:hAnsi="Times New Roman" w:cs="Times New Roman"/>
          <w:b/>
          <w:bCs/>
        </w:rPr>
        <w:t>Nifty 50</w:t>
      </w:r>
      <w:r w:rsidRPr="00286C33">
        <w:rPr>
          <w:rFonts w:ascii="Times New Roman" w:hAnsi="Times New Roman" w:cs="Times New Roman"/>
        </w:rPr>
        <w:t>.</w:t>
      </w:r>
    </w:p>
    <w:p w14:paraId="73C8BF8E"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BSE – Bombay Stock Exchange</w:t>
      </w:r>
    </w:p>
    <w:p w14:paraId="7769B17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BSE is one of India's oldest stock exchanges. It provides a platform for buying and selling securities.</w:t>
      </w:r>
    </w:p>
    <w:p w14:paraId="2CC9AD8C"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The major index associated with BSE is the </w:t>
      </w:r>
      <w:r w:rsidRPr="00286C33">
        <w:rPr>
          <w:rFonts w:ascii="Times New Roman" w:hAnsi="Times New Roman" w:cs="Times New Roman"/>
          <w:b/>
          <w:bCs/>
        </w:rPr>
        <w:t>Sensex</w:t>
      </w:r>
      <w:r w:rsidRPr="00286C33">
        <w:rPr>
          <w:rFonts w:ascii="Times New Roman" w:hAnsi="Times New Roman" w:cs="Times New Roman"/>
        </w:rPr>
        <w:t>, which tracks 30 major companies listed on the exchange.</w:t>
      </w:r>
    </w:p>
    <w:p w14:paraId="501397D2"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Difference between NSE and BSE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500"/>
        <w:gridCol w:w="2502"/>
      </w:tblGrid>
      <w:tr w:rsidR="00286C33" w:rsidRPr="00286C33" w14:paraId="33B27B17" w14:textId="77777777">
        <w:trPr>
          <w:tblHeader/>
          <w:tblCellSpacing w:w="15" w:type="dxa"/>
        </w:trPr>
        <w:tc>
          <w:tcPr>
            <w:tcW w:w="0" w:type="auto"/>
            <w:vAlign w:val="center"/>
            <w:hideMark/>
          </w:tcPr>
          <w:p w14:paraId="1AB42377"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Feature</w:t>
            </w:r>
          </w:p>
        </w:tc>
        <w:tc>
          <w:tcPr>
            <w:tcW w:w="0" w:type="auto"/>
            <w:vAlign w:val="center"/>
            <w:hideMark/>
          </w:tcPr>
          <w:p w14:paraId="0BC14D59"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NSE</w:t>
            </w:r>
          </w:p>
        </w:tc>
        <w:tc>
          <w:tcPr>
            <w:tcW w:w="0" w:type="auto"/>
            <w:vAlign w:val="center"/>
            <w:hideMark/>
          </w:tcPr>
          <w:p w14:paraId="11C0FCE4"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BSE</w:t>
            </w:r>
          </w:p>
        </w:tc>
      </w:tr>
      <w:tr w:rsidR="00286C33" w:rsidRPr="00286C33" w14:paraId="2B3EED09" w14:textId="77777777">
        <w:trPr>
          <w:tblCellSpacing w:w="15" w:type="dxa"/>
        </w:trPr>
        <w:tc>
          <w:tcPr>
            <w:tcW w:w="0" w:type="auto"/>
            <w:vAlign w:val="center"/>
            <w:hideMark/>
          </w:tcPr>
          <w:p w14:paraId="6128E70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Full Form</w:t>
            </w:r>
          </w:p>
        </w:tc>
        <w:tc>
          <w:tcPr>
            <w:tcW w:w="0" w:type="auto"/>
            <w:vAlign w:val="center"/>
            <w:hideMark/>
          </w:tcPr>
          <w:p w14:paraId="7934419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National Stock Exchange</w:t>
            </w:r>
          </w:p>
        </w:tc>
        <w:tc>
          <w:tcPr>
            <w:tcW w:w="0" w:type="auto"/>
            <w:vAlign w:val="center"/>
            <w:hideMark/>
          </w:tcPr>
          <w:p w14:paraId="64C66C8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Bombay Stock Exchange</w:t>
            </w:r>
          </w:p>
        </w:tc>
      </w:tr>
      <w:tr w:rsidR="00286C33" w:rsidRPr="00286C33" w14:paraId="33588232" w14:textId="77777777">
        <w:trPr>
          <w:tblCellSpacing w:w="15" w:type="dxa"/>
        </w:trPr>
        <w:tc>
          <w:tcPr>
            <w:tcW w:w="0" w:type="auto"/>
            <w:vAlign w:val="center"/>
            <w:hideMark/>
          </w:tcPr>
          <w:p w14:paraId="28183243"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Major Index</w:t>
            </w:r>
          </w:p>
        </w:tc>
        <w:tc>
          <w:tcPr>
            <w:tcW w:w="0" w:type="auto"/>
            <w:vAlign w:val="center"/>
            <w:hideMark/>
          </w:tcPr>
          <w:p w14:paraId="434CEC76"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Nifty 50</w:t>
            </w:r>
          </w:p>
        </w:tc>
        <w:tc>
          <w:tcPr>
            <w:tcW w:w="0" w:type="auto"/>
            <w:vAlign w:val="center"/>
            <w:hideMark/>
          </w:tcPr>
          <w:p w14:paraId="7918469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Sensex</w:t>
            </w:r>
          </w:p>
        </w:tc>
      </w:tr>
      <w:tr w:rsidR="00286C33" w:rsidRPr="00286C33" w14:paraId="08975570" w14:textId="77777777">
        <w:trPr>
          <w:tblCellSpacing w:w="15" w:type="dxa"/>
        </w:trPr>
        <w:tc>
          <w:tcPr>
            <w:tcW w:w="0" w:type="auto"/>
            <w:vAlign w:val="center"/>
            <w:hideMark/>
          </w:tcPr>
          <w:p w14:paraId="6587775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Location</w:t>
            </w:r>
          </w:p>
        </w:tc>
        <w:tc>
          <w:tcPr>
            <w:tcW w:w="0" w:type="auto"/>
            <w:vAlign w:val="center"/>
            <w:hideMark/>
          </w:tcPr>
          <w:p w14:paraId="18F9B01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Mumbai, India</w:t>
            </w:r>
          </w:p>
        </w:tc>
        <w:tc>
          <w:tcPr>
            <w:tcW w:w="0" w:type="auto"/>
            <w:vAlign w:val="center"/>
            <w:hideMark/>
          </w:tcPr>
          <w:p w14:paraId="3DE4AB9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Mumbai, India</w:t>
            </w:r>
          </w:p>
        </w:tc>
      </w:tr>
      <w:tr w:rsidR="00286C33" w:rsidRPr="00286C33" w14:paraId="4BD0FDDD" w14:textId="77777777">
        <w:trPr>
          <w:tblCellSpacing w:w="15" w:type="dxa"/>
        </w:trPr>
        <w:tc>
          <w:tcPr>
            <w:tcW w:w="0" w:type="auto"/>
            <w:vAlign w:val="center"/>
            <w:hideMark/>
          </w:tcPr>
          <w:p w14:paraId="30B5692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Main Activity</w:t>
            </w:r>
          </w:p>
        </w:tc>
        <w:tc>
          <w:tcPr>
            <w:tcW w:w="0" w:type="auto"/>
            <w:vAlign w:val="center"/>
            <w:hideMark/>
          </w:tcPr>
          <w:p w14:paraId="3A8FD13D"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Trading of securities</w:t>
            </w:r>
          </w:p>
        </w:tc>
        <w:tc>
          <w:tcPr>
            <w:tcW w:w="0" w:type="auto"/>
            <w:vAlign w:val="center"/>
            <w:hideMark/>
          </w:tcPr>
          <w:p w14:paraId="3A5AE35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Trading of securities</w:t>
            </w:r>
          </w:p>
        </w:tc>
      </w:tr>
      <w:tr w:rsidR="00286C33" w:rsidRPr="00286C33" w14:paraId="095CDB8D" w14:textId="77777777">
        <w:trPr>
          <w:tblCellSpacing w:w="15" w:type="dxa"/>
        </w:trPr>
        <w:tc>
          <w:tcPr>
            <w:tcW w:w="0" w:type="auto"/>
            <w:vAlign w:val="center"/>
            <w:hideMark/>
          </w:tcPr>
          <w:p w14:paraId="2BA7DF0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Technology</w:t>
            </w:r>
          </w:p>
        </w:tc>
        <w:tc>
          <w:tcPr>
            <w:tcW w:w="0" w:type="auto"/>
            <w:vAlign w:val="center"/>
            <w:hideMark/>
          </w:tcPr>
          <w:p w14:paraId="6223DDE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Electronic trading</w:t>
            </w:r>
          </w:p>
        </w:tc>
        <w:tc>
          <w:tcPr>
            <w:tcW w:w="0" w:type="auto"/>
            <w:vAlign w:val="center"/>
            <w:hideMark/>
          </w:tcPr>
          <w:p w14:paraId="15055A10"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Electronic trading</w:t>
            </w:r>
          </w:p>
        </w:tc>
      </w:tr>
    </w:tbl>
    <w:p w14:paraId="4A5F6B7E" w14:textId="765BB937" w:rsidR="00286C33" w:rsidRPr="00286C33" w:rsidRDefault="00286C33" w:rsidP="00286C33">
      <w:pPr>
        <w:rPr>
          <w:rFonts w:ascii="Times New Roman" w:hAnsi="Times New Roman" w:cs="Times New Roman"/>
        </w:rPr>
      </w:pPr>
    </w:p>
    <w:p w14:paraId="49AB8E40"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3. Nifty and Sensex</w:t>
      </w:r>
    </w:p>
    <w:p w14:paraId="557D000B"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lastRenderedPageBreak/>
        <w:t>Nifty 50</w:t>
      </w:r>
    </w:p>
    <w:p w14:paraId="37779B2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Nifty 50 is a stock market index representing 50 major companies listed on the NSE. It is commonly used as an indicator of the performance of large Indian companies and the broader market.</w:t>
      </w:r>
    </w:p>
    <w:p w14:paraId="02893737"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Sensex</w:t>
      </w:r>
    </w:p>
    <w:p w14:paraId="6517E3FD"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Sensex is the benchmark index of BSE. It consists of 30 major and actively traded companies from different sectors.</w:t>
      </w:r>
    </w:p>
    <w:p w14:paraId="609244CA"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Simple Difference</w:t>
      </w:r>
    </w:p>
    <w:p w14:paraId="6665EF18"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Nifty 50 → NSE → 50 companies</w:t>
      </w:r>
    </w:p>
    <w:p w14:paraId="6F925344"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Sensex → BSE → 30 companies</w:t>
      </w:r>
    </w:p>
    <w:p w14:paraId="416404F4"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4. IPO and SME IPO</w:t>
      </w:r>
    </w:p>
    <w:p w14:paraId="351EEC91"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IPO – Initial Public Offering</w:t>
      </w:r>
    </w:p>
    <w:p w14:paraId="7E664E0A"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An Initial Public Offering is the process through which a private company offers its shares to the public for the first time.</w:t>
      </w:r>
    </w:p>
    <w:p w14:paraId="35CCCDE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An IPO allows a company to raise capital from investors and become publicly listed.</w:t>
      </w:r>
    </w:p>
    <w:p w14:paraId="0D039233"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SME IPO</w:t>
      </w:r>
    </w:p>
    <w:p w14:paraId="5D0C775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An SME IPO is an IPO conducted by a </w:t>
      </w:r>
      <w:r w:rsidRPr="00286C33">
        <w:rPr>
          <w:rFonts w:ascii="Times New Roman" w:hAnsi="Times New Roman" w:cs="Times New Roman"/>
          <w:b/>
          <w:bCs/>
        </w:rPr>
        <w:t>Small and Medium Enterprise</w:t>
      </w:r>
      <w:r w:rsidRPr="00286C33">
        <w:rPr>
          <w:rFonts w:ascii="Times New Roman" w:hAnsi="Times New Roman" w:cs="Times New Roman"/>
        </w:rPr>
        <w:t>. It allows eligible smaller companies to raise funds from the public and become listed on an exchange's SME platform.</w:t>
      </w:r>
    </w:p>
    <w:p w14:paraId="424BCD2D" w14:textId="0BA254C3" w:rsidR="00286C33" w:rsidRPr="00286C33" w:rsidRDefault="00286C33" w:rsidP="00286C33">
      <w:pPr>
        <w:rPr>
          <w:rFonts w:ascii="Times New Roman" w:hAnsi="Times New Roman" w:cs="Times New Roman"/>
        </w:rPr>
      </w:pPr>
    </w:p>
    <w:p w14:paraId="710B1F7F"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5. Market Capitalization</w:t>
      </w:r>
    </w:p>
    <w:p w14:paraId="52C43768"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Market capitalization represents the total market value of a company's outstanding shares.</w:t>
      </w:r>
    </w:p>
    <w:p w14:paraId="4C8E7CC1"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Formula</w:t>
      </w:r>
    </w:p>
    <w:p w14:paraId="1154C824"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Market Capitalization = Current Share Price × Total Outstanding Shares</w:t>
      </w:r>
    </w:p>
    <w:p w14:paraId="7C8EC040"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Companies are commonly grouped into categories such as:</w:t>
      </w:r>
    </w:p>
    <w:p w14:paraId="0B7259C7" w14:textId="77777777" w:rsidR="00286C33" w:rsidRPr="00286C33" w:rsidRDefault="00286C33" w:rsidP="00286C33">
      <w:pPr>
        <w:numPr>
          <w:ilvl w:val="0"/>
          <w:numId w:val="1"/>
        </w:numPr>
        <w:rPr>
          <w:rFonts w:ascii="Times New Roman" w:hAnsi="Times New Roman" w:cs="Times New Roman"/>
        </w:rPr>
      </w:pPr>
      <w:r w:rsidRPr="00286C33">
        <w:rPr>
          <w:rFonts w:ascii="Times New Roman" w:hAnsi="Times New Roman" w:cs="Times New Roman"/>
        </w:rPr>
        <w:t xml:space="preserve">Large Cap </w:t>
      </w:r>
    </w:p>
    <w:p w14:paraId="3CEAEAF4" w14:textId="77777777" w:rsidR="00286C33" w:rsidRPr="00286C33" w:rsidRDefault="00286C33" w:rsidP="00286C33">
      <w:pPr>
        <w:numPr>
          <w:ilvl w:val="0"/>
          <w:numId w:val="1"/>
        </w:numPr>
        <w:rPr>
          <w:rFonts w:ascii="Times New Roman" w:hAnsi="Times New Roman" w:cs="Times New Roman"/>
        </w:rPr>
      </w:pPr>
      <w:r w:rsidRPr="00286C33">
        <w:rPr>
          <w:rFonts w:ascii="Times New Roman" w:hAnsi="Times New Roman" w:cs="Times New Roman"/>
        </w:rPr>
        <w:t xml:space="preserve">Mid Cap </w:t>
      </w:r>
    </w:p>
    <w:p w14:paraId="1B446D4E" w14:textId="77777777" w:rsidR="00286C33" w:rsidRPr="00286C33" w:rsidRDefault="00286C33" w:rsidP="00286C33">
      <w:pPr>
        <w:numPr>
          <w:ilvl w:val="0"/>
          <w:numId w:val="1"/>
        </w:numPr>
        <w:rPr>
          <w:rFonts w:ascii="Times New Roman" w:hAnsi="Times New Roman" w:cs="Times New Roman"/>
        </w:rPr>
      </w:pPr>
      <w:r w:rsidRPr="00286C33">
        <w:rPr>
          <w:rFonts w:ascii="Times New Roman" w:hAnsi="Times New Roman" w:cs="Times New Roman"/>
        </w:rPr>
        <w:t xml:space="preserve">Small Cap </w:t>
      </w:r>
    </w:p>
    <w:p w14:paraId="2B221AE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Market capitalization helps investors understand the approximate size of a company in the stock market.</w:t>
      </w:r>
    </w:p>
    <w:p w14:paraId="5670153F" w14:textId="6D9A7542" w:rsidR="00286C33" w:rsidRPr="00286C33" w:rsidRDefault="00286C33" w:rsidP="00286C33">
      <w:pPr>
        <w:rPr>
          <w:rFonts w:ascii="Times New Roman" w:hAnsi="Times New Roman" w:cs="Times New Roman"/>
        </w:rPr>
      </w:pPr>
    </w:p>
    <w:p w14:paraId="3898D642" w14:textId="77777777" w:rsidR="00286C33" w:rsidRDefault="00286C33" w:rsidP="00286C33">
      <w:pPr>
        <w:rPr>
          <w:rFonts w:ascii="Times New Roman" w:hAnsi="Times New Roman" w:cs="Times New Roman"/>
          <w:b/>
          <w:bCs/>
        </w:rPr>
      </w:pPr>
    </w:p>
    <w:p w14:paraId="3EB21E2E" w14:textId="77777777" w:rsidR="00286C33" w:rsidRDefault="00286C33" w:rsidP="00286C33">
      <w:pPr>
        <w:rPr>
          <w:rFonts w:ascii="Times New Roman" w:hAnsi="Times New Roman" w:cs="Times New Roman"/>
          <w:b/>
          <w:bCs/>
        </w:rPr>
      </w:pPr>
    </w:p>
    <w:p w14:paraId="24EBE43C" w14:textId="5A606290" w:rsidR="00286C33" w:rsidRPr="00286C33" w:rsidRDefault="00286C33" w:rsidP="00286C33">
      <w:pPr>
        <w:rPr>
          <w:rFonts w:ascii="Times New Roman" w:hAnsi="Times New Roman" w:cs="Times New Roman"/>
          <w:b/>
          <w:bCs/>
        </w:rPr>
      </w:pPr>
      <w:r w:rsidRPr="00286C33">
        <w:rPr>
          <w:rFonts w:ascii="Times New Roman" w:hAnsi="Times New Roman" w:cs="Times New Roman"/>
          <w:b/>
          <w:bCs/>
        </w:rPr>
        <w:lastRenderedPageBreak/>
        <w:t>6. P/E Ratio</w:t>
      </w:r>
    </w:p>
    <w:p w14:paraId="089F9D2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P/E stands for </w:t>
      </w:r>
      <w:r w:rsidRPr="00286C33">
        <w:rPr>
          <w:rFonts w:ascii="Times New Roman" w:hAnsi="Times New Roman" w:cs="Times New Roman"/>
          <w:b/>
          <w:bCs/>
        </w:rPr>
        <w:t>Price-to-Earnings Ratio</w:t>
      </w:r>
      <w:r w:rsidRPr="00286C33">
        <w:rPr>
          <w:rFonts w:ascii="Times New Roman" w:hAnsi="Times New Roman" w:cs="Times New Roman"/>
        </w:rPr>
        <w:t>.</w:t>
      </w:r>
    </w:p>
    <w:p w14:paraId="6E5D96D8"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compares the market price of a company's share with its earnings per share.</w:t>
      </w:r>
    </w:p>
    <w:p w14:paraId="1770D1F6"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Formula</w:t>
      </w:r>
    </w:p>
    <w:p w14:paraId="5E3376A6"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P/E Ratio = Market Price per Share / Earnings per Share</w:t>
      </w:r>
    </w:p>
    <w:p w14:paraId="775BA58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For example, if a company has a share price of ₹1,500 and EPS of ₹75:</w:t>
      </w:r>
    </w:p>
    <w:p w14:paraId="11EB1DF8"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P/E = 1,500 / 75 = 20</w:t>
      </w:r>
    </w:p>
    <w:p w14:paraId="03E95D6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This means investors are paying ₹20 for every ₹1 of annual earnings represented by the EPS.</w:t>
      </w:r>
    </w:p>
    <w:p w14:paraId="3BFDDD1C"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7. P/B Ratio</w:t>
      </w:r>
    </w:p>
    <w:p w14:paraId="1518527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P/B stands for </w:t>
      </w:r>
      <w:r w:rsidRPr="00286C33">
        <w:rPr>
          <w:rFonts w:ascii="Times New Roman" w:hAnsi="Times New Roman" w:cs="Times New Roman"/>
          <w:b/>
          <w:bCs/>
        </w:rPr>
        <w:t>Price-to-Book Ratio</w:t>
      </w:r>
      <w:r w:rsidRPr="00286C33">
        <w:rPr>
          <w:rFonts w:ascii="Times New Roman" w:hAnsi="Times New Roman" w:cs="Times New Roman"/>
        </w:rPr>
        <w:t>.</w:t>
      </w:r>
    </w:p>
    <w:p w14:paraId="61206A28"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compares the market price of a share with its book value per share.</w:t>
      </w:r>
    </w:p>
    <w:p w14:paraId="339572F3"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Formula</w:t>
      </w:r>
    </w:p>
    <w:p w14:paraId="076795C5"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P/B Ratio = Market Price per Share / Book Value per Share</w:t>
      </w:r>
    </w:p>
    <w:p w14:paraId="2BE9509A"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helps compare the market value of a company with the accounting value of its net assets.</w:t>
      </w:r>
    </w:p>
    <w:p w14:paraId="30C5F9F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3F323403">
          <v:rect id="_x0000_i1115" style="width:0;height:1.5pt" o:hralign="center" o:hrstd="t" o:hr="t" fillcolor="#a0a0a0" stroked="f"/>
        </w:pict>
      </w:r>
    </w:p>
    <w:p w14:paraId="3613404A"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8. EPS</w:t>
      </w:r>
    </w:p>
    <w:p w14:paraId="1B961C4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EPS stands for </w:t>
      </w:r>
      <w:r w:rsidRPr="00286C33">
        <w:rPr>
          <w:rFonts w:ascii="Times New Roman" w:hAnsi="Times New Roman" w:cs="Times New Roman"/>
          <w:b/>
          <w:bCs/>
        </w:rPr>
        <w:t>Earnings Per Share</w:t>
      </w:r>
      <w:r w:rsidRPr="00286C33">
        <w:rPr>
          <w:rFonts w:ascii="Times New Roman" w:hAnsi="Times New Roman" w:cs="Times New Roman"/>
        </w:rPr>
        <w:t>.</w:t>
      </w:r>
    </w:p>
    <w:p w14:paraId="68C73E2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represents the portion of a company's profit attributable to each ordinary share.</w:t>
      </w:r>
    </w:p>
    <w:p w14:paraId="3EA976FA"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Formula</w:t>
      </w:r>
    </w:p>
    <w:p w14:paraId="06462FDD"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EPS = Profit Available to Equity Shareholders / Weighted Average Number of Equity Shares</w:t>
      </w:r>
    </w:p>
    <w:p w14:paraId="4DA6D8FF"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 higher EPS generally indicates higher earnings attributable to each share, although EPS should always be analysed together with other financial measures.</w:t>
      </w:r>
    </w:p>
    <w:p w14:paraId="14DF92D2"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040235BA">
          <v:rect id="_x0000_i1116" style="width:0;height:1.5pt" o:hralign="center" o:hrstd="t" o:hr="t" fillcolor="#a0a0a0" stroked="f"/>
        </w:pict>
      </w:r>
    </w:p>
    <w:p w14:paraId="60103025"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9. Dividend</w:t>
      </w:r>
    </w:p>
    <w:p w14:paraId="6813DB93"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 dividend is a portion of a company's profits distributed to shareholders.</w:t>
      </w:r>
    </w:p>
    <w:p w14:paraId="5CDB71F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For example, if a company declares a dividend of ₹20 per share and an investor owns 100 shares:</w:t>
      </w:r>
    </w:p>
    <w:p w14:paraId="69AFE938" w14:textId="77777777" w:rsidR="00286C33" w:rsidRPr="00286C33" w:rsidRDefault="00286C33" w:rsidP="00286C33">
      <w:pPr>
        <w:rPr>
          <w:rFonts w:ascii="Times New Roman" w:hAnsi="Times New Roman" w:cs="Times New Roman"/>
        </w:rPr>
      </w:pPr>
      <w:r w:rsidRPr="00286C33">
        <w:rPr>
          <w:rFonts w:ascii="Times New Roman" w:hAnsi="Times New Roman" w:cs="Times New Roman"/>
          <w:b/>
          <w:bCs/>
        </w:rPr>
        <w:t>Dividend received = 100 × ₹20 = ₹2,000</w:t>
      </w:r>
    </w:p>
    <w:p w14:paraId="1C92F70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Companies may distribute dividends when they decide to return part of their earnings to shareholders.</w:t>
      </w:r>
    </w:p>
    <w:p w14:paraId="4D1C117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63D3E3DB">
          <v:rect id="_x0000_i1117" style="width:0;height:1.5pt" o:hralign="center" o:hrstd="t" o:hr="t" fillcolor="#a0a0a0" stroked="f"/>
        </w:pict>
      </w:r>
    </w:p>
    <w:p w14:paraId="48D73CCD"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lastRenderedPageBreak/>
        <w:t>10. Bonus Shares</w:t>
      </w:r>
    </w:p>
    <w:p w14:paraId="04446941"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Bonus shares are additional shares issued by a company to existing shareholders without requiring them to pay additional money for those shares.</w:t>
      </w:r>
    </w:p>
    <w:p w14:paraId="4F86A1DA"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For example, under a </w:t>
      </w:r>
      <w:r w:rsidRPr="00286C33">
        <w:rPr>
          <w:rFonts w:ascii="Times New Roman" w:hAnsi="Times New Roman" w:cs="Times New Roman"/>
          <w:b/>
          <w:bCs/>
        </w:rPr>
        <w:t>1:1 bonus issue</w:t>
      </w:r>
      <w:r w:rsidRPr="00286C33">
        <w:rPr>
          <w:rFonts w:ascii="Times New Roman" w:hAnsi="Times New Roman" w:cs="Times New Roman"/>
        </w:rPr>
        <w:t>, an investor holding 100 shares may receive 100 additional shares.</w:t>
      </w:r>
    </w:p>
    <w:p w14:paraId="7AFC0DB8"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number of shares increases, but the investor's overall ownership percentage does not automatically increase merely because of the bonus issue.</w:t>
      </w:r>
    </w:p>
    <w:p w14:paraId="32A750C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52D926BE">
          <v:rect id="_x0000_i1118" style="width:0;height:1.5pt" o:hralign="center" o:hrstd="t" o:hr="t" fillcolor="#a0a0a0" stroked="f"/>
        </w:pict>
      </w:r>
    </w:p>
    <w:p w14:paraId="57D25208"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11. Stock Split</w:t>
      </w:r>
    </w:p>
    <w:p w14:paraId="3AA1ED26"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A stock split divides existing shares into a larger number of shares by reducing the face value per share.</w:t>
      </w:r>
    </w:p>
    <w:p w14:paraId="7113A863"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For example, in a </w:t>
      </w:r>
      <w:r w:rsidRPr="00286C33">
        <w:rPr>
          <w:rFonts w:ascii="Times New Roman" w:hAnsi="Times New Roman" w:cs="Times New Roman"/>
          <w:b/>
          <w:bCs/>
        </w:rPr>
        <w:t>1:2 split</w:t>
      </w:r>
      <w:r w:rsidRPr="00286C33">
        <w:rPr>
          <w:rFonts w:ascii="Times New Roman" w:hAnsi="Times New Roman" w:cs="Times New Roman"/>
        </w:rPr>
        <w:t>, one existing share may become two shares.</w:t>
      </w:r>
    </w:p>
    <w:p w14:paraId="1A2FD926"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total investment value does not automatically increase because of the split alone. The market price per share is adjusted accordingly.</w:t>
      </w:r>
    </w:p>
    <w:p w14:paraId="38AA51F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6FB02D39">
          <v:rect id="_x0000_i1119" style="width:0;height:1.5pt" o:hralign="center" o:hrstd="t" o:hr="t" fillcolor="#a0a0a0" stroked="f"/>
        </w:pict>
      </w:r>
    </w:p>
    <w:p w14:paraId="791704F5"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12. Trading Volume</w:t>
      </w:r>
    </w:p>
    <w:p w14:paraId="03262CDC"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Trading volume represents the number of shares traded during a particular period.</w:t>
      </w:r>
    </w:p>
    <w:p w14:paraId="6A939F27"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For example, if 500,000 shares are bought and sold during a trading session, the trading volume is 500,000 shares.</w:t>
      </w:r>
    </w:p>
    <w:p w14:paraId="3C4D93F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High trading volume generally indicates greater trading activity and liquidity.</w:t>
      </w:r>
    </w:p>
    <w:p w14:paraId="0731E0F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pict w14:anchorId="54C3DA9E">
          <v:rect id="_x0000_i1120" style="width:0;height:1.5pt" o:hralign="center" o:hrstd="t" o:hr="t" fillcolor="#a0a0a0" stroked="f"/>
        </w:pict>
      </w:r>
    </w:p>
    <w:p w14:paraId="1F913296"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13. COMPANY FINANCIAL STATEMENTS</w:t>
      </w:r>
    </w:p>
    <w:p w14:paraId="204E74D1"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Financial statements provide information about a company's financial performance and financial position.</w:t>
      </w:r>
    </w:p>
    <w:p w14:paraId="7CE444F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three major financial statements are:</w:t>
      </w:r>
    </w:p>
    <w:p w14:paraId="5C36F67F"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13.1 Balance Sheet</w:t>
      </w:r>
    </w:p>
    <w:p w14:paraId="439B51A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 xml:space="preserve">The balance sheet shows the </w:t>
      </w:r>
      <w:proofErr w:type="gramStart"/>
      <w:r w:rsidRPr="00286C33">
        <w:rPr>
          <w:rFonts w:ascii="Times New Roman" w:hAnsi="Times New Roman" w:cs="Times New Roman"/>
        </w:rPr>
        <w:t>company's</w:t>
      </w:r>
      <w:proofErr w:type="gramEnd"/>
      <w:r w:rsidRPr="00286C33">
        <w:rPr>
          <w:rFonts w:ascii="Times New Roman" w:hAnsi="Times New Roman" w:cs="Times New Roman"/>
        </w:rPr>
        <w:t>:</w:t>
      </w:r>
    </w:p>
    <w:p w14:paraId="38988CF9" w14:textId="77777777" w:rsidR="00286C33" w:rsidRPr="00286C33" w:rsidRDefault="00286C33" w:rsidP="00286C33">
      <w:pPr>
        <w:numPr>
          <w:ilvl w:val="0"/>
          <w:numId w:val="2"/>
        </w:numPr>
        <w:rPr>
          <w:rFonts w:ascii="Times New Roman" w:hAnsi="Times New Roman" w:cs="Times New Roman"/>
        </w:rPr>
      </w:pPr>
      <w:r w:rsidRPr="00286C33">
        <w:rPr>
          <w:rFonts w:ascii="Times New Roman" w:hAnsi="Times New Roman" w:cs="Times New Roman"/>
        </w:rPr>
        <w:t xml:space="preserve">Assets </w:t>
      </w:r>
    </w:p>
    <w:p w14:paraId="4F64F85C" w14:textId="77777777" w:rsidR="00286C33" w:rsidRPr="00286C33" w:rsidRDefault="00286C33" w:rsidP="00286C33">
      <w:pPr>
        <w:numPr>
          <w:ilvl w:val="0"/>
          <w:numId w:val="2"/>
        </w:numPr>
        <w:rPr>
          <w:rFonts w:ascii="Times New Roman" w:hAnsi="Times New Roman" w:cs="Times New Roman"/>
        </w:rPr>
      </w:pPr>
      <w:r w:rsidRPr="00286C33">
        <w:rPr>
          <w:rFonts w:ascii="Times New Roman" w:hAnsi="Times New Roman" w:cs="Times New Roman"/>
        </w:rPr>
        <w:t xml:space="preserve">Liabilities </w:t>
      </w:r>
    </w:p>
    <w:p w14:paraId="6F98BB55" w14:textId="77777777" w:rsidR="00286C33" w:rsidRPr="00286C33" w:rsidRDefault="00286C33" w:rsidP="00286C33">
      <w:pPr>
        <w:numPr>
          <w:ilvl w:val="0"/>
          <w:numId w:val="2"/>
        </w:numPr>
        <w:rPr>
          <w:rFonts w:ascii="Times New Roman" w:hAnsi="Times New Roman" w:cs="Times New Roman"/>
        </w:rPr>
      </w:pPr>
      <w:r w:rsidRPr="00286C33">
        <w:rPr>
          <w:rFonts w:ascii="Times New Roman" w:hAnsi="Times New Roman" w:cs="Times New Roman"/>
        </w:rPr>
        <w:t xml:space="preserve">Equity </w:t>
      </w:r>
    </w:p>
    <w:p w14:paraId="5157AAE2"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basic accounting relationship is:</w:t>
      </w:r>
    </w:p>
    <w:p w14:paraId="55FD6BFB" w14:textId="0483D4B2" w:rsidR="00286C33" w:rsidRPr="00286C33" w:rsidRDefault="00286C33" w:rsidP="00286C33">
      <w:pPr>
        <w:rPr>
          <w:rFonts w:ascii="Times New Roman" w:hAnsi="Times New Roman" w:cs="Times New Roman"/>
        </w:rPr>
      </w:pPr>
      <w:r w:rsidRPr="00286C33">
        <w:rPr>
          <w:rFonts w:ascii="Times New Roman" w:hAnsi="Times New Roman" w:cs="Times New Roman"/>
          <w:b/>
          <w:bCs/>
        </w:rPr>
        <w:t>Assets = Liabilities + Equity</w:t>
      </w:r>
    </w:p>
    <w:p w14:paraId="762466A7"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lastRenderedPageBreak/>
        <w:t>13.2 Profit and Loss Statement</w:t>
      </w:r>
    </w:p>
    <w:p w14:paraId="6D83192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Profit and Loss Statement shows the company's financial performance over a particular period.</w:t>
      </w:r>
    </w:p>
    <w:p w14:paraId="59685950"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includes:</w:t>
      </w:r>
    </w:p>
    <w:p w14:paraId="133726CF"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Revenue </w:t>
      </w:r>
    </w:p>
    <w:p w14:paraId="45D89762"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Expenses </w:t>
      </w:r>
    </w:p>
    <w:p w14:paraId="21346FAF"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Operating profit </w:t>
      </w:r>
    </w:p>
    <w:p w14:paraId="73AD4152"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Profit before tax </w:t>
      </w:r>
    </w:p>
    <w:p w14:paraId="58AFE232"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Tax </w:t>
      </w:r>
    </w:p>
    <w:p w14:paraId="6E85784B" w14:textId="77777777" w:rsidR="00286C33" w:rsidRPr="00286C33" w:rsidRDefault="00286C33" w:rsidP="00286C33">
      <w:pPr>
        <w:numPr>
          <w:ilvl w:val="0"/>
          <w:numId w:val="3"/>
        </w:numPr>
        <w:rPr>
          <w:rFonts w:ascii="Times New Roman" w:hAnsi="Times New Roman" w:cs="Times New Roman"/>
        </w:rPr>
      </w:pPr>
      <w:r w:rsidRPr="00286C33">
        <w:rPr>
          <w:rFonts w:ascii="Times New Roman" w:hAnsi="Times New Roman" w:cs="Times New Roman"/>
        </w:rPr>
        <w:t xml:space="preserve">Net profit </w:t>
      </w:r>
    </w:p>
    <w:p w14:paraId="1164D72D" w14:textId="13ACAFE2" w:rsidR="00286C33" w:rsidRPr="00286C33" w:rsidRDefault="00286C33" w:rsidP="00286C33">
      <w:pPr>
        <w:rPr>
          <w:rFonts w:ascii="Times New Roman" w:hAnsi="Times New Roman" w:cs="Times New Roman"/>
        </w:rPr>
      </w:pPr>
    </w:p>
    <w:p w14:paraId="649F8B9F"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13.3 Cash Flow Statement</w:t>
      </w:r>
    </w:p>
    <w:p w14:paraId="57BC4E64"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The Cash Flow Statement shows how cash moves into and out of a company.</w:t>
      </w:r>
    </w:p>
    <w:p w14:paraId="6E18474A"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It is generally divided into:</w:t>
      </w:r>
    </w:p>
    <w:p w14:paraId="3473D07A" w14:textId="77777777" w:rsidR="00286C33" w:rsidRPr="00286C33" w:rsidRDefault="00286C33" w:rsidP="00286C33">
      <w:pPr>
        <w:numPr>
          <w:ilvl w:val="0"/>
          <w:numId w:val="4"/>
        </w:numPr>
        <w:rPr>
          <w:rFonts w:ascii="Times New Roman" w:hAnsi="Times New Roman" w:cs="Times New Roman"/>
        </w:rPr>
      </w:pPr>
      <w:r w:rsidRPr="00286C33">
        <w:rPr>
          <w:rFonts w:ascii="Times New Roman" w:hAnsi="Times New Roman" w:cs="Times New Roman"/>
        </w:rPr>
        <w:t xml:space="preserve">Operating activities </w:t>
      </w:r>
    </w:p>
    <w:p w14:paraId="5A11B60E" w14:textId="77777777" w:rsidR="00286C33" w:rsidRPr="00286C33" w:rsidRDefault="00286C33" w:rsidP="00286C33">
      <w:pPr>
        <w:numPr>
          <w:ilvl w:val="0"/>
          <w:numId w:val="4"/>
        </w:numPr>
        <w:rPr>
          <w:rFonts w:ascii="Times New Roman" w:hAnsi="Times New Roman" w:cs="Times New Roman"/>
        </w:rPr>
      </w:pPr>
      <w:r w:rsidRPr="00286C33">
        <w:rPr>
          <w:rFonts w:ascii="Times New Roman" w:hAnsi="Times New Roman" w:cs="Times New Roman"/>
        </w:rPr>
        <w:t xml:space="preserve">Investing activities </w:t>
      </w:r>
    </w:p>
    <w:p w14:paraId="748219D7" w14:textId="77777777" w:rsidR="00286C33" w:rsidRPr="00286C33" w:rsidRDefault="00286C33" w:rsidP="00286C33">
      <w:pPr>
        <w:numPr>
          <w:ilvl w:val="0"/>
          <w:numId w:val="4"/>
        </w:numPr>
        <w:rPr>
          <w:rFonts w:ascii="Times New Roman" w:hAnsi="Times New Roman" w:cs="Times New Roman"/>
        </w:rPr>
      </w:pPr>
      <w:r w:rsidRPr="00286C33">
        <w:rPr>
          <w:rFonts w:ascii="Times New Roman" w:hAnsi="Times New Roman" w:cs="Times New Roman"/>
        </w:rPr>
        <w:t xml:space="preserve">Financing activities </w:t>
      </w:r>
    </w:p>
    <w:p w14:paraId="5B010905" w14:textId="666D2726" w:rsidR="00286C33" w:rsidRDefault="00286C33" w:rsidP="00286C33">
      <w:pPr>
        <w:rPr>
          <w:rFonts w:ascii="Times New Roman" w:hAnsi="Times New Roman" w:cs="Times New Roman"/>
        </w:rPr>
      </w:pPr>
      <w:r w:rsidRPr="00286C33">
        <w:rPr>
          <w:rFonts w:ascii="Times New Roman" w:hAnsi="Times New Roman" w:cs="Times New Roman"/>
        </w:rPr>
        <w:t>Cash flow analysis helps understand whether a company is generating sufficient cash from its business operations.</w:t>
      </w:r>
    </w:p>
    <w:p w14:paraId="597DA394" w14:textId="77777777" w:rsidR="00286C33" w:rsidRPr="00286C33" w:rsidRDefault="00286C33" w:rsidP="00286C33">
      <w:pPr>
        <w:rPr>
          <w:rFonts w:ascii="Times New Roman" w:hAnsi="Times New Roman" w:cs="Times New Roman"/>
        </w:rPr>
      </w:pPr>
    </w:p>
    <w:p w14:paraId="51C3E03A"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14. BASIC FINANCIAL RATIOS</w:t>
      </w:r>
    </w:p>
    <w:p w14:paraId="627E01FC"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Financial ratios help analysts evaluate a company's performance and financial 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3588"/>
        <w:gridCol w:w="3961"/>
      </w:tblGrid>
      <w:tr w:rsidR="00286C33" w:rsidRPr="00286C33" w14:paraId="55C7F392" w14:textId="77777777">
        <w:trPr>
          <w:tblHeader/>
          <w:tblCellSpacing w:w="15" w:type="dxa"/>
        </w:trPr>
        <w:tc>
          <w:tcPr>
            <w:tcW w:w="0" w:type="auto"/>
            <w:vAlign w:val="center"/>
            <w:hideMark/>
          </w:tcPr>
          <w:p w14:paraId="171F167D"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Ratio</w:t>
            </w:r>
          </w:p>
        </w:tc>
        <w:tc>
          <w:tcPr>
            <w:tcW w:w="0" w:type="auto"/>
            <w:vAlign w:val="center"/>
            <w:hideMark/>
          </w:tcPr>
          <w:p w14:paraId="1EAE6924"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Formula</w:t>
            </w:r>
          </w:p>
        </w:tc>
        <w:tc>
          <w:tcPr>
            <w:tcW w:w="0" w:type="auto"/>
            <w:vAlign w:val="center"/>
            <w:hideMark/>
          </w:tcPr>
          <w:p w14:paraId="2404589B" w14:textId="77777777" w:rsidR="00286C33" w:rsidRPr="00286C33" w:rsidRDefault="00286C33" w:rsidP="00286C33">
            <w:pPr>
              <w:rPr>
                <w:rFonts w:ascii="Times New Roman" w:hAnsi="Times New Roman" w:cs="Times New Roman"/>
                <w:b/>
                <w:bCs/>
              </w:rPr>
            </w:pPr>
            <w:r w:rsidRPr="00286C33">
              <w:rPr>
                <w:rFonts w:ascii="Times New Roman" w:hAnsi="Times New Roman" w:cs="Times New Roman"/>
                <w:b/>
                <w:bCs/>
              </w:rPr>
              <w:t>Purpose</w:t>
            </w:r>
          </w:p>
        </w:tc>
      </w:tr>
      <w:tr w:rsidR="00286C33" w:rsidRPr="00286C33" w14:paraId="4F387290" w14:textId="77777777">
        <w:trPr>
          <w:tblCellSpacing w:w="15" w:type="dxa"/>
        </w:trPr>
        <w:tc>
          <w:tcPr>
            <w:tcW w:w="0" w:type="auto"/>
            <w:vAlign w:val="center"/>
            <w:hideMark/>
          </w:tcPr>
          <w:p w14:paraId="72D809E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P/E Ratio</w:t>
            </w:r>
          </w:p>
        </w:tc>
        <w:tc>
          <w:tcPr>
            <w:tcW w:w="0" w:type="auto"/>
            <w:vAlign w:val="center"/>
            <w:hideMark/>
          </w:tcPr>
          <w:p w14:paraId="65007892"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Market Price / EPS</w:t>
            </w:r>
          </w:p>
        </w:tc>
        <w:tc>
          <w:tcPr>
            <w:tcW w:w="0" w:type="auto"/>
            <w:vAlign w:val="center"/>
            <w:hideMark/>
          </w:tcPr>
          <w:p w14:paraId="5E1E65E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Measures price relative to earnings</w:t>
            </w:r>
          </w:p>
        </w:tc>
      </w:tr>
      <w:tr w:rsidR="00286C33" w:rsidRPr="00286C33" w14:paraId="0FB04D9F" w14:textId="77777777">
        <w:trPr>
          <w:tblCellSpacing w:w="15" w:type="dxa"/>
        </w:trPr>
        <w:tc>
          <w:tcPr>
            <w:tcW w:w="0" w:type="auto"/>
            <w:vAlign w:val="center"/>
            <w:hideMark/>
          </w:tcPr>
          <w:p w14:paraId="438FCCC3"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P/B Ratio</w:t>
            </w:r>
          </w:p>
        </w:tc>
        <w:tc>
          <w:tcPr>
            <w:tcW w:w="0" w:type="auto"/>
            <w:vAlign w:val="center"/>
            <w:hideMark/>
          </w:tcPr>
          <w:p w14:paraId="7EAF357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Market Price / Book Value per Share</w:t>
            </w:r>
          </w:p>
        </w:tc>
        <w:tc>
          <w:tcPr>
            <w:tcW w:w="0" w:type="auto"/>
            <w:vAlign w:val="center"/>
            <w:hideMark/>
          </w:tcPr>
          <w:p w14:paraId="22A42F1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Compares market value with book value</w:t>
            </w:r>
          </w:p>
        </w:tc>
      </w:tr>
      <w:tr w:rsidR="00286C33" w:rsidRPr="00286C33" w14:paraId="1045FC89" w14:textId="77777777">
        <w:trPr>
          <w:tblCellSpacing w:w="15" w:type="dxa"/>
        </w:trPr>
        <w:tc>
          <w:tcPr>
            <w:tcW w:w="0" w:type="auto"/>
            <w:vAlign w:val="center"/>
            <w:hideMark/>
          </w:tcPr>
          <w:p w14:paraId="799E7751"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ROE</w:t>
            </w:r>
          </w:p>
        </w:tc>
        <w:tc>
          <w:tcPr>
            <w:tcW w:w="0" w:type="auto"/>
            <w:vAlign w:val="center"/>
            <w:hideMark/>
          </w:tcPr>
          <w:p w14:paraId="4F54653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Net Profit / Average Equity × 100</w:t>
            </w:r>
          </w:p>
        </w:tc>
        <w:tc>
          <w:tcPr>
            <w:tcW w:w="0" w:type="auto"/>
            <w:vAlign w:val="center"/>
            <w:hideMark/>
          </w:tcPr>
          <w:p w14:paraId="73BC0CDA"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Measures return generated on equity</w:t>
            </w:r>
          </w:p>
        </w:tc>
      </w:tr>
      <w:tr w:rsidR="00286C33" w:rsidRPr="00286C33" w14:paraId="0BB906E0" w14:textId="77777777">
        <w:trPr>
          <w:tblCellSpacing w:w="15" w:type="dxa"/>
        </w:trPr>
        <w:tc>
          <w:tcPr>
            <w:tcW w:w="0" w:type="auto"/>
            <w:vAlign w:val="center"/>
            <w:hideMark/>
          </w:tcPr>
          <w:p w14:paraId="67F5D8A0"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Profit Margin</w:t>
            </w:r>
          </w:p>
        </w:tc>
        <w:tc>
          <w:tcPr>
            <w:tcW w:w="0" w:type="auto"/>
            <w:vAlign w:val="center"/>
            <w:hideMark/>
          </w:tcPr>
          <w:p w14:paraId="5D846F8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Net Profit / Revenue × 100</w:t>
            </w:r>
          </w:p>
        </w:tc>
        <w:tc>
          <w:tcPr>
            <w:tcW w:w="0" w:type="auto"/>
            <w:vAlign w:val="center"/>
            <w:hideMark/>
          </w:tcPr>
          <w:p w14:paraId="3CB876F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Measures profitability</w:t>
            </w:r>
          </w:p>
        </w:tc>
      </w:tr>
      <w:tr w:rsidR="00286C33" w:rsidRPr="00286C33" w14:paraId="764AACBB" w14:textId="77777777">
        <w:trPr>
          <w:tblCellSpacing w:w="15" w:type="dxa"/>
        </w:trPr>
        <w:tc>
          <w:tcPr>
            <w:tcW w:w="0" w:type="auto"/>
            <w:vAlign w:val="center"/>
            <w:hideMark/>
          </w:tcPr>
          <w:p w14:paraId="54497FBD"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Debt-to-Equity</w:t>
            </w:r>
          </w:p>
        </w:tc>
        <w:tc>
          <w:tcPr>
            <w:tcW w:w="0" w:type="auto"/>
            <w:vAlign w:val="center"/>
            <w:hideMark/>
          </w:tcPr>
          <w:p w14:paraId="22B650A0"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Total Debt / Equity</w:t>
            </w:r>
          </w:p>
        </w:tc>
        <w:tc>
          <w:tcPr>
            <w:tcW w:w="0" w:type="auto"/>
            <w:vAlign w:val="center"/>
            <w:hideMark/>
          </w:tcPr>
          <w:p w14:paraId="473FD13B"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Indicates financial leverage</w:t>
            </w:r>
          </w:p>
        </w:tc>
      </w:tr>
      <w:tr w:rsidR="00286C33" w:rsidRPr="00286C33" w14:paraId="223677F5" w14:textId="77777777">
        <w:trPr>
          <w:tblCellSpacing w:w="15" w:type="dxa"/>
        </w:trPr>
        <w:tc>
          <w:tcPr>
            <w:tcW w:w="0" w:type="auto"/>
            <w:vAlign w:val="center"/>
            <w:hideMark/>
          </w:tcPr>
          <w:p w14:paraId="29D17C2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Current Ratio</w:t>
            </w:r>
          </w:p>
        </w:tc>
        <w:tc>
          <w:tcPr>
            <w:tcW w:w="0" w:type="auto"/>
            <w:vAlign w:val="center"/>
            <w:hideMark/>
          </w:tcPr>
          <w:p w14:paraId="649454CE"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Current Assets / Current Liabilities</w:t>
            </w:r>
          </w:p>
        </w:tc>
        <w:tc>
          <w:tcPr>
            <w:tcW w:w="0" w:type="auto"/>
            <w:vAlign w:val="center"/>
            <w:hideMark/>
          </w:tcPr>
          <w:p w14:paraId="298659F9"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Indicates short-term liquidity</w:t>
            </w:r>
          </w:p>
        </w:tc>
      </w:tr>
    </w:tbl>
    <w:p w14:paraId="1EA4A4F5" w14:textId="77777777" w:rsidR="00286C33" w:rsidRPr="00286C33" w:rsidRDefault="00286C33" w:rsidP="00286C33">
      <w:pPr>
        <w:rPr>
          <w:rFonts w:ascii="Times New Roman" w:hAnsi="Times New Roman" w:cs="Times New Roman"/>
        </w:rPr>
      </w:pPr>
      <w:r w:rsidRPr="00286C33">
        <w:rPr>
          <w:rFonts w:ascii="Times New Roman" w:hAnsi="Times New Roman" w:cs="Times New Roman"/>
        </w:rPr>
        <w:t>Ratios should not be analysed independently. They are more meaningful when compared with previous years, competitors and industry standards.</w:t>
      </w:r>
    </w:p>
    <w:p w14:paraId="7F9A50F4" w14:textId="358EB145" w:rsidR="00286C33" w:rsidRPr="00286C33" w:rsidRDefault="00286C33" w:rsidP="00286C33">
      <w:pPr>
        <w:jc w:val="center"/>
        <w:rPr>
          <w:rFonts w:ascii="Times New Roman" w:hAnsi="Times New Roman" w:cs="Times New Roman"/>
          <w:sz w:val="40"/>
          <w:szCs w:val="40"/>
        </w:rPr>
      </w:pPr>
      <w:r w:rsidRPr="00286C33">
        <w:rPr>
          <w:rFonts w:ascii="Times New Roman" w:hAnsi="Times New Roman" w:cs="Times New Roman"/>
          <w:sz w:val="40"/>
          <w:szCs w:val="40"/>
        </w:rPr>
        <w:lastRenderedPageBreak/>
        <w:t>PART</w:t>
      </w:r>
      <w:r w:rsidRPr="00286C33">
        <w:rPr>
          <w:rFonts w:ascii="Times New Roman" w:hAnsi="Times New Roman" w:cs="Times New Roman"/>
          <w:sz w:val="40"/>
          <w:szCs w:val="40"/>
        </w:rPr>
        <w:t xml:space="preserve"> </w:t>
      </w:r>
      <w:r w:rsidRPr="00286C33">
        <w:rPr>
          <w:rFonts w:ascii="Times New Roman" w:hAnsi="Times New Roman" w:cs="Times New Roman"/>
          <w:sz w:val="40"/>
          <w:szCs w:val="40"/>
        </w:rPr>
        <w:t>B</w:t>
      </w:r>
    </w:p>
    <w:p w14:paraId="54502E8B" w14:textId="08C702A2" w:rsidR="00286C33" w:rsidRPr="00286C33" w:rsidRDefault="00286C33" w:rsidP="00286C33">
      <w:pPr>
        <w:jc w:val="center"/>
        <w:rPr>
          <w:rFonts w:ascii="Times New Roman" w:hAnsi="Times New Roman" w:cs="Times New Roman"/>
          <w:b/>
          <w:bCs/>
          <w:color w:val="000000" w:themeColor="text1"/>
          <w:sz w:val="28"/>
          <w:szCs w:val="28"/>
        </w:rPr>
      </w:pPr>
      <w:r w:rsidRPr="00286C33">
        <w:rPr>
          <w:rFonts w:ascii="Times New Roman" w:hAnsi="Times New Roman" w:cs="Times New Roman"/>
          <w:b/>
          <w:bCs/>
          <w:color w:val="000000" w:themeColor="text1"/>
          <w:sz w:val="28"/>
          <w:szCs w:val="28"/>
        </w:rPr>
        <w:t>INFOSYS FINANCIAL STATEMENT ANALYSIS</w:t>
      </w:r>
    </w:p>
    <w:p w14:paraId="54F9E01A" w14:textId="77777777" w:rsidR="00286C33" w:rsidRDefault="00286C33" w:rsidP="00286C33">
      <w:pPr>
        <w:jc w:val="center"/>
        <w:rPr>
          <w:rFonts w:ascii="Times New Roman" w:hAnsi="Times New Roman" w:cs="Times New Roman"/>
          <w:color w:val="000000" w:themeColor="text1"/>
          <w:sz w:val="28"/>
          <w:szCs w:val="28"/>
        </w:rPr>
      </w:pPr>
    </w:p>
    <w:p w14:paraId="76ADF078"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15. Company Selected</w:t>
      </w:r>
    </w:p>
    <w:p w14:paraId="09EF121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Infosys Limited</w:t>
      </w:r>
    </w:p>
    <w:p w14:paraId="33960F2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is a major Indian information technology services and consulting company. For this analysis, the </w:t>
      </w:r>
      <w:r w:rsidRPr="00286C33">
        <w:rPr>
          <w:rFonts w:ascii="Times New Roman" w:hAnsi="Times New Roman" w:cs="Times New Roman"/>
          <w:b/>
          <w:bCs/>
          <w:color w:val="000000" w:themeColor="text1"/>
        </w:rPr>
        <w:t>consolidated financial statements for FY 2025–26</w:t>
      </w:r>
      <w:r w:rsidRPr="00286C33">
        <w:rPr>
          <w:rFonts w:ascii="Times New Roman" w:hAnsi="Times New Roman" w:cs="Times New Roman"/>
          <w:color w:val="000000" w:themeColor="text1"/>
        </w:rPr>
        <w:t>, the financial year ended March 31, 2026, are considered.</w:t>
      </w:r>
    </w:p>
    <w:p w14:paraId="1ECFAB8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financial information used below is based on Infosys' official IFRS financial data and annual report. </w:t>
      </w:r>
    </w:p>
    <w:p w14:paraId="1FF5010A" w14:textId="2BECCC43" w:rsidR="00286C33" w:rsidRPr="00286C33" w:rsidRDefault="00286C33" w:rsidP="00286C33">
      <w:pPr>
        <w:rPr>
          <w:rFonts w:ascii="Times New Roman" w:hAnsi="Times New Roman" w:cs="Times New Roman"/>
          <w:color w:val="000000" w:themeColor="text1"/>
        </w:rPr>
      </w:pPr>
    </w:p>
    <w:p w14:paraId="153594AF"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16. Infosys Financial Performance</w:t>
      </w:r>
    </w:p>
    <w:p w14:paraId="4395ABF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following table presents selected consolidated financial figures for FY 2025–26 and FY 2024–25.</w:t>
      </w:r>
    </w:p>
    <w:p w14:paraId="5FF29A3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Amount: ₹ crore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1272"/>
        <w:gridCol w:w="1272"/>
        <w:gridCol w:w="862"/>
      </w:tblGrid>
      <w:tr w:rsidR="00286C33" w:rsidRPr="00286C33" w14:paraId="0B89D804" w14:textId="77777777">
        <w:trPr>
          <w:tblHeader/>
          <w:tblCellSpacing w:w="15" w:type="dxa"/>
        </w:trPr>
        <w:tc>
          <w:tcPr>
            <w:tcW w:w="0" w:type="auto"/>
            <w:vAlign w:val="center"/>
            <w:hideMark/>
          </w:tcPr>
          <w:p w14:paraId="79120883"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Particulars</w:t>
            </w:r>
          </w:p>
        </w:tc>
        <w:tc>
          <w:tcPr>
            <w:tcW w:w="0" w:type="auto"/>
            <w:vAlign w:val="center"/>
            <w:hideMark/>
          </w:tcPr>
          <w:p w14:paraId="43DD8B11"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2025–26</w:t>
            </w:r>
          </w:p>
        </w:tc>
        <w:tc>
          <w:tcPr>
            <w:tcW w:w="0" w:type="auto"/>
            <w:vAlign w:val="center"/>
            <w:hideMark/>
          </w:tcPr>
          <w:p w14:paraId="252CE03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2024–25</w:t>
            </w:r>
          </w:p>
        </w:tc>
        <w:tc>
          <w:tcPr>
            <w:tcW w:w="0" w:type="auto"/>
            <w:vAlign w:val="center"/>
            <w:hideMark/>
          </w:tcPr>
          <w:p w14:paraId="45A2A46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Change</w:t>
            </w:r>
          </w:p>
        </w:tc>
      </w:tr>
      <w:tr w:rsidR="00286C33" w:rsidRPr="00286C33" w14:paraId="235FF7A8" w14:textId="77777777">
        <w:trPr>
          <w:tblCellSpacing w:w="15" w:type="dxa"/>
        </w:trPr>
        <w:tc>
          <w:tcPr>
            <w:tcW w:w="0" w:type="auto"/>
            <w:vAlign w:val="center"/>
            <w:hideMark/>
          </w:tcPr>
          <w:p w14:paraId="4230C7B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Revenue</w:t>
            </w:r>
          </w:p>
        </w:tc>
        <w:tc>
          <w:tcPr>
            <w:tcW w:w="0" w:type="auto"/>
            <w:vAlign w:val="center"/>
            <w:hideMark/>
          </w:tcPr>
          <w:p w14:paraId="646A0B59"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178,650</w:t>
            </w:r>
          </w:p>
        </w:tc>
        <w:tc>
          <w:tcPr>
            <w:tcW w:w="0" w:type="auto"/>
            <w:vAlign w:val="center"/>
            <w:hideMark/>
          </w:tcPr>
          <w:p w14:paraId="53422FB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162,990</w:t>
            </w:r>
          </w:p>
        </w:tc>
        <w:tc>
          <w:tcPr>
            <w:tcW w:w="0" w:type="auto"/>
            <w:vAlign w:val="center"/>
            <w:hideMark/>
          </w:tcPr>
          <w:p w14:paraId="2D2C9BC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+9.6%</w:t>
            </w:r>
          </w:p>
        </w:tc>
      </w:tr>
      <w:tr w:rsidR="00286C33" w:rsidRPr="00286C33" w14:paraId="4A5A5A7A" w14:textId="77777777">
        <w:trPr>
          <w:tblCellSpacing w:w="15" w:type="dxa"/>
        </w:trPr>
        <w:tc>
          <w:tcPr>
            <w:tcW w:w="0" w:type="auto"/>
            <w:vAlign w:val="center"/>
            <w:hideMark/>
          </w:tcPr>
          <w:p w14:paraId="33ACB8E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Gross Profit</w:t>
            </w:r>
          </w:p>
        </w:tc>
        <w:tc>
          <w:tcPr>
            <w:tcW w:w="0" w:type="auto"/>
            <w:vAlign w:val="center"/>
            <w:hideMark/>
          </w:tcPr>
          <w:p w14:paraId="043D6935"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53,915</w:t>
            </w:r>
          </w:p>
        </w:tc>
        <w:tc>
          <w:tcPr>
            <w:tcW w:w="0" w:type="auto"/>
            <w:vAlign w:val="center"/>
            <w:hideMark/>
          </w:tcPr>
          <w:p w14:paraId="42F9C51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49,643</w:t>
            </w:r>
          </w:p>
        </w:tc>
        <w:tc>
          <w:tcPr>
            <w:tcW w:w="0" w:type="auto"/>
            <w:vAlign w:val="center"/>
            <w:hideMark/>
          </w:tcPr>
          <w:p w14:paraId="030AA4A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+8.6%</w:t>
            </w:r>
          </w:p>
        </w:tc>
      </w:tr>
      <w:tr w:rsidR="00286C33" w:rsidRPr="00286C33" w14:paraId="04E6BBC4" w14:textId="77777777">
        <w:trPr>
          <w:tblCellSpacing w:w="15" w:type="dxa"/>
        </w:trPr>
        <w:tc>
          <w:tcPr>
            <w:tcW w:w="0" w:type="auto"/>
            <w:vAlign w:val="center"/>
            <w:hideMark/>
          </w:tcPr>
          <w:p w14:paraId="074DD7B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Operating Profit</w:t>
            </w:r>
          </w:p>
        </w:tc>
        <w:tc>
          <w:tcPr>
            <w:tcW w:w="0" w:type="auto"/>
            <w:vAlign w:val="center"/>
            <w:hideMark/>
          </w:tcPr>
          <w:p w14:paraId="50582B7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36,254</w:t>
            </w:r>
          </w:p>
        </w:tc>
        <w:tc>
          <w:tcPr>
            <w:tcW w:w="0" w:type="auto"/>
            <w:vAlign w:val="center"/>
            <w:hideMark/>
          </w:tcPr>
          <w:p w14:paraId="61894F39"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34,424</w:t>
            </w:r>
          </w:p>
        </w:tc>
        <w:tc>
          <w:tcPr>
            <w:tcW w:w="0" w:type="auto"/>
            <w:vAlign w:val="center"/>
            <w:hideMark/>
          </w:tcPr>
          <w:p w14:paraId="6BB11E5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+5.3%</w:t>
            </w:r>
          </w:p>
        </w:tc>
      </w:tr>
      <w:tr w:rsidR="00286C33" w:rsidRPr="00286C33" w14:paraId="26001A4A" w14:textId="77777777">
        <w:trPr>
          <w:tblCellSpacing w:w="15" w:type="dxa"/>
        </w:trPr>
        <w:tc>
          <w:tcPr>
            <w:tcW w:w="0" w:type="auto"/>
            <w:vAlign w:val="center"/>
            <w:hideMark/>
          </w:tcPr>
          <w:p w14:paraId="22BE09E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Profit Before Tax</w:t>
            </w:r>
          </w:p>
        </w:tc>
        <w:tc>
          <w:tcPr>
            <w:tcW w:w="0" w:type="auto"/>
            <w:vAlign w:val="center"/>
            <w:hideMark/>
          </w:tcPr>
          <w:p w14:paraId="6F8F73A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39,995</w:t>
            </w:r>
          </w:p>
        </w:tc>
        <w:tc>
          <w:tcPr>
            <w:tcW w:w="0" w:type="auto"/>
            <w:vAlign w:val="center"/>
            <w:hideMark/>
          </w:tcPr>
          <w:p w14:paraId="6D54D47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37,608</w:t>
            </w:r>
          </w:p>
        </w:tc>
        <w:tc>
          <w:tcPr>
            <w:tcW w:w="0" w:type="auto"/>
            <w:vAlign w:val="center"/>
            <w:hideMark/>
          </w:tcPr>
          <w:p w14:paraId="6A67AA6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+6.3%</w:t>
            </w:r>
          </w:p>
        </w:tc>
      </w:tr>
      <w:tr w:rsidR="00286C33" w:rsidRPr="00286C33" w14:paraId="2311BFE3" w14:textId="77777777">
        <w:trPr>
          <w:tblCellSpacing w:w="15" w:type="dxa"/>
        </w:trPr>
        <w:tc>
          <w:tcPr>
            <w:tcW w:w="0" w:type="auto"/>
            <w:vAlign w:val="center"/>
            <w:hideMark/>
          </w:tcPr>
          <w:p w14:paraId="6CFD548F"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Net Profit</w:t>
            </w:r>
          </w:p>
        </w:tc>
        <w:tc>
          <w:tcPr>
            <w:tcW w:w="0" w:type="auto"/>
            <w:vAlign w:val="center"/>
            <w:hideMark/>
          </w:tcPr>
          <w:p w14:paraId="4DA1DD5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29,474</w:t>
            </w:r>
          </w:p>
        </w:tc>
        <w:tc>
          <w:tcPr>
            <w:tcW w:w="0" w:type="auto"/>
            <w:vAlign w:val="center"/>
            <w:hideMark/>
          </w:tcPr>
          <w:p w14:paraId="55B477D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26,750</w:t>
            </w:r>
          </w:p>
        </w:tc>
        <w:tc>
          <w:tcPr>
            <w:tcW w:w="0" w:type="auto"/>
            <w:vAlign w:val="center"/>
            <w:hideMark/>
          </w:tcPr>
          <w:p w14:paraId="07675AC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+10.2%</w:t>
            </w:r>
          </w:p>
        </w:tc>
      </w:tr>
      <w:tr w:rsidR="00286C33" w:rsidRPr="00286C33" w14:paraId="123881F9" w14:textId="77777777">
        <w:trPr>
          <w:tblCellSpacing w:w="15" w:type="dxa"/>
        </w:trPr>
        <w:tc>
          <w:tcPr>
            <w:tcW w:w="0" w:type="auto"/>
            <w:vAlign w:val="center"/>
            <w:hideMark/>
          </w:tcPr>
          <w:p w14:paraId="7AFB212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Net Profit attributable to owners</w:t>
            </w:r>
          </w:p>
        </w:tc>
        <w:tc>
          <w:tcPr>
            <w:tcW w:w="0" w:type="auto"/>
            <w:vAlign w:val="center"/>
            <w:hideMark/>
          </w:tcPr>
          <w:p w14:paraId="0F33F67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29,440</w:t>
            </w:r>
          </w:p>
        </w:tc>
        <w:tc>
          <w:tcPr>
            <w:tcW w:w="0" w:type="auto"/>
            <w:vAlign w:val="center"/>
            <w:hideMark/>
          </w:tcPr>
          <w:p w14:paraId="5783F61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26,713</w:t>
            </w:r>
          </w:p>
        </w:tc>
        <w:tc>
          <w:tcPr>
            <w:tcW w:w="0" w:type="auto"/>
            <w:vAlign w:val="center"/>
            <w:hideMark/>
          </w:tcPr>
          <w:p w14:paraId="7C84EB0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+10.2%</w:t>
            </w:r>
          </w:p>
        </w:tc>
      </w:tr>
      <w:tr w:rsidR="00286C33" w:rsidRPr="00286C33" w14:paraId="4AC8641A" w14:textId="77777777">
        <w:trPr>
          <w:tblCellSpacing w:w="15" w:type="dxa"/>
        </w:trPr>
        <w:tc>
          <w:tcPr>
            <w:tcW w:w="0" w:type="auto"/>
            <w:vAlign w:val="center"/>
            <w:hideMark/>
          </w:tcPr>
          <w:p w14:paraId="1CDEE3A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Basic EPS</w:t>
            </w:r>
          </w:p>
        </w:tc>
        <w:tc>
          <w:tcPr>
            <w:tcW w:w="0" w:type="auto"/>
            <w:vAlign w:val="center"/>
            <w:hideMark/>
          </w:tcPr>
          <w:p w14:paraId="2DCF7DD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₹71.58</w:t>
            </w:r>
          </w:p>
        </w:tc>
        <w:tc>
          <w:tcPr>
            <w:tcW w:w="0" w:type="auto"/>
            <w:vAlign w:val="center"/>
            <w:hideMark/>
          </w:tcPr>
          <w:p w14:paraId="0C1B7F9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₹64.50</w:t>
            </w:r>
          </w:p>
        </w:tc>
        <w:tc>
          <w:tcPr>
            <w:tcW w:w="0" w:type="auto"/>
            <w:vAlign w:val="center"/>
            <w:hideMark/>
          </w:tcPr>
          <w:p w14:paraId="15FA9F9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+11.0%</w:t>
            </w:r>
          </w:p>
        </w:tc>
      </w:tr>
      <w:tr w:rsidR="00286C33" w:rsidRPr="00286C33" w14:paraId="3BEDD27E" w14:textId="77777777">
        <w:trPr>
          <w:tblCellSpacing w:w="15" w:type="dxa"/>
        </w:trPr>
        <w:tc>
          <w:tcPr>
            <w:tcW w:w="0" w:type="auto"/>
            <w:vAlign w:val="center"/>
            <w:hideMark/>
          </w:tcPr>
          <w:p w14:paraId="04B51EE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Dividend per Share</w:t>
            </w:r>
          </w:p>
        </w:tc>
        <w:tc>
          <w:tcPr>
            <w:tcW w:w="0" w:type="auto"/>
            <w:vAlign w:val="center"/>
            <w:hideMark/>
          </w:tcPr>
          <w:p w14:paraId="336F352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₹48.00</w:t>
            </w:r>
          </w:p>
        </w:tc>
        <w:tc>
          <w:tcPr>
            <w:tcW w:w="0" w:type="auto"/>
            <w:vAlign w:val="center"/>
            <w:hideMark/>
          </w:tcPr>
          <w:p w14:paraId="4C56B33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₹43.00</w:t>
            </w:r>
          </w:p>
        </w:tc>
        <w:tc>
          <w:tcPr>
            <w:tcW w:w="0" w:type="auto"/>
            <w:vAlign w:val="center"/>
            <w:hideMark/>
          </w:tcPr>
          <w:p w14:paraId="35273375"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+11.6%</w:t>
            </w:r>
          </w:p>
        </w:tc>
      </w:tr>
    </w:tbl>
    <w:p w14:paraId="2DB0EE1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reported consolidated revenue of ₹178,650 crore and net profit attributable to owners of ₹29,440 crore for FY 2025–26. Basic EPS increased to ₹71.58 from ₹64.50 in FY 2024–25. </w:t>
      </w:r>
    </w:p>
    <w:p w14:paraId="77AA9250" w14:textId="08908938" w:rsidR="00286C33" w:rsidRPr="00286C33" w:rsidRDefault="00286C33" w:rsidP="00286C33">
      <w:pPr>
        <w:rPr>
          <w:rFonts w:ascii="Times New Roman" w:hAnsi="Times New Roman" w:cs="Times New Roman"/>
          <w:color w:val="000000" w:themeColor="text1"/>
        </w:rPr>
      </w:pPr>
    </w:p>
    <w:p w14:paraId="65BBFC7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17. Revenue Analysis</w:t>
      </w:r>
    </w:p>
    <w:p w14:paraId="77D1A01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generated revenue of:</w:t>
      </w:r>
    </w:p>
    <w:p w14:paraId="3FF6C4E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FY 2025–26: ₹178,650 crore</w:t>
      </w:r>
    </w:p>
    <w:p w14:paraId="78EBCCC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lastRenderedPageBreak/>
        <w:t>compared with:</w:t>
      </w:r>
    </w:p>
    <w:p w14:paraId="091B840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FY 2024–25: ₹162,990 crore</w:t>
      </w:r>
    </w:p>
    <w:p w14:paraId="7FA4A7BA"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This represents a </w:t>
      </w:r>
      <w:r w:rsidRPr="00286C33">
        <w:rPr>
          <w:rFonts w:ascii="Times New Roman" w:hAnsi="Times New Roman" w:cs="Times New Roman"/>
          <w:b/>
          <w:bCs/>
          <w:color w:val="000000" w:themeColor="text1"/>
        </w:rPr>
        <w:t>9.6% year-on-year increase</w:t>
      </w:r>
      <w:r w:rsidRPr="00286C33">
        <w:rPr>
          <w:rFonts w:ascii="Times New Roman" w:hAnsi="Times New Roman" w:cs="Times New Roman"/>
          <w:color w:val="000000" w:themeColor="text1"/>
        </w:rPr>
        <w:t>.</w:t>
      </w:r>
    </w:p>
    <w:p w14:paraId="6AC38AB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increase in revenue indicates that the company continued to grow its business during FY 2025–26. </w:t>
      </w:r>
    </w:p>
    <w:p w14:paraId="6AACBFE1"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004A063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increase in revenue is positive because it shows growth in the company's business operations. However, revenue growth should be considered along with operating profit and net profit to understand whether growth is translating into profitability.</w:t>
      </w:r>
    </w:p>
    <w:p w14:paraId="32DC250C" w14:textId="5E734E52" w:rsidR="00286C33" w:rsidRPr="00286C33" w:rsidRDefault="00286C33" w:rsidP="00286C33">
      <w:pPr>
        <w:rPr>
          <w:rFonts w:ascii="Times New Roman" w:hAnsi="Times New Roman" w:cs="Times New Roman"/>
          <w:color w:val="000000" w:themeColor="text1"/>
        </w:rPr>
      </w:pPr>
    </w:p>
    <w:p w14:paraId="42860D62"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18. Profit Analysis</w:t>
      </w:r>
    </w:p>
    <w:p w14:paraId="2BBC508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w:t>
      </w:r>
    </w:p>
    <w:p w14:paraId="726A2268" w14:textId="77777777" w:rsidR="00286C33" w:rsidRPr="00286C33" w:rsidRDefault="00286C33" w:rsidP="00286C33">
      <w:pPr>
        <w:numPr>
          <w:ilvl w:val="0"/>
          <w:numId w:val="5"/>
        </w:numPr>
        <w:rPr>
          <w:rFonts w:ascii="Times New Roman" w:hAnsi="Times New Roman" w:cs="Times New Roman"/>
          <w:color w:val="000000" w:themeColor="text1"/>
        </w:rPr>
      </w:pPr>
      <w:r w:rsidRPr="00286C33">
        <w:rPr>
          <w:rFonts w:ascii="Times New Roman" w:hAnsi="Times New Roman" w:cs="Times New Roman"/>
          <w:b/>
          <w:bCs/>
          <w:color w:val="000000" w:themeColor="text1"/>
        </w:rPr>
        <w:t>Operating Profit:</w:t>
      </w:r>
      <w:r w:rsidRPr="00286C33">
        <w:rPr>
          <w:rFonts w:ascii="Times New Roman" w:hAnsi="Times New Roman" w:cs="Times New Roman"/>
          <w:color w:val="000000" w:themeColor="text1"/>
        </w:rPr>
        <w:t xml:space="preserve"> ₹36,254 crore </w:t>
      </w:r>
    </w:p>
    <w:p w14:paraId="6CB6E80A" w14:textId="77777777" w:rsidR="00286C33" w:rsidRPr="00286C33" w:rsidRDefault="00286C33" w:rsidP="00286C33">
      <w:pPr>
        <w:numPr>
          <w:ilvl w:val="0"/>
          <w:numId w:val="5"/>
        </w:numPr>
        <w:rPr>
          <w:rFonts w:ascii="Times New Roman" w:hAnsi="Times New Roman" w:cs="Times New Roman"/>
          <w:color w:val="000000" w:themeColor="text1"/>
        </w:rPr>
      </w:pPr>
      <w:r w:rsidRPr="00286C33">
        <w:rPr>
          <w:rFonts w:ascii="Times New Roman" w:hAnsi="Times New Roman" w:cs="Times New Roman"/>
          <w:b/>
          <w:bCs/>
          <w:color w:val="000000" w:themeColor="text1"/>
        </w:rPr>
        <w:t>Profit Before Tax:</w:t>
      </w:r>
      <w:r w:rsidRPr="00286C33">
        <w:rPr>
          <w:rFonts w:ascii="Times New Roman" w:hAnsi="Times New Roman" w:cs="Times New Roman"/>
          <w:color w:val="000000" w:themeColor="text1"/>
        </w:rPr>
        <w:t xml:space="preserve"> ₹39,995 crore </w:t>
      </w:r>
    </w:p>
    <w:p w14:paraId="3FF0B601" w14:textId="77777777" w:rsidR="00286C33" w:rsidRPr="00286C33" w:rsidRDefault="00286C33" w:rsidP="00286C33">
      <w:pPr>
        <w:numPr>
          <w:ilvl w:val="0"/>
          <w:numId w:val="5"/>
        </w:numPr>
        <w:rPr>
          <w:rFonts w:ascii="Times New Roman" w:hAnsi="Times New Roman" w:cs="Times New Roman"/>
          <w:color w:val="000000" w:themeColor="text1"/>
        </w:rPr>
      </w:pPr>
      <w:r w:rsidRPr="00286C33">
        <w:rPr>
          <w:rFonts w:ascii="Times New Roman" w:hAnsi="Times New Roman" w:cs="Times New Roman"/>
          <w:b/>
          <w:bCs/>
          <w:color w:val="000000" w:themeColor="text1"/>
        </w:rPr>
        <w:t>Net Profit:</w:t>
      </w:r>
      <w:r w:rsidRPr="00286C33">
        <w:rPr>
          <w:rFonts w:ascii="Times New Roman" w:hAnsi="Times New Roman" w:cs="Times New Roman"/>
          <w:color w:val="000000" w:themeColor="text1"/>
        </w:rPr>
        <w:t xml:space="preserve"> ₹29,474 crore </w:t>
      </w:r>
    </w:p>
    <w:p w14:paraId="10830D46" w14:textId="77777777" w:rsidR="00286C33" w:rsidRPr="00286C33" w:rsidRDefault="00286C33" w:rsidP="00286C33">
      <w:pPr>
        <w:numPr>
          <w:ilvl w:val="0"/>
          <w:numId w:val="5"/>
        </w:numPr>
        <w:rPr>
          <w:rFonts w:ascii="Times New Roman" w:hAnsi="Times New Roman" w:cs="Times New Roman"/>
          <w:color w:val="000000" w:themeColor="text1"/>
        </w:rPr>
      </w:pPr>
      <w:r w:rsidRPr="00286C33">
        <w:rPr>
          <w:rFonts w:ascii="Times New Roman" w:hAnsi="Times New Roman" w:cs="Times New Roman"/>
          <w:b/>
          <w:bCs/>
          <w:color w:val="000000" w:themeColor="text1"/>
        </w:rPr>
        <w:t>Net Profit attributable to owners:</w:t>
      </w:r>
      <w:r w:rsidRPr="00286C33">
        <w:rPr>
          <w:rFonts w:ascii="Times New Roman" w:hAnsi="Times New Roman" w:cs="Times New Roman"/>
          <w:color w:val="000000" w:themeColor="text1"/>
        </w:rPr>
        <w:t xml:space="preserve"> ₹29,440 crore </w:t>
      </w:r>
    </w:p>
    <w:p w14:paraId="0EA0DFC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net profit attributable to owners increased from ₹26,713 crore in FY 2024–25 to ₹29,440 crore in FY 2025–26. </w:t>
      </w:r>
    </w:p>
    <w:p w14:paraId="4CB62C6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03D2A4C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Net profit grew faster than revenue during the year. This indicates an improvement in the company's overall earnings performance.</w:t>
      </w:r>
    </w:p>
    <w:p w14:paraId="4308C1C2" w14:textId="79521EC4" w:rsidR="00286C33" w:rsidRPr="00286C33" w:rsidRDefault="00286C33" w:rsidP="00286C33">
      <w:pPr>
        <w:rPr>
          <w:rFonts w:ascii="Times New Roman" w:hAnsi="Times New Roman" w:cs="Times New Roman"/>
          <w:color w:val="000000" w:themeColor="text1"/>
        </w:rPr>
      </w:pPr>
    </w:p>
    <w:p w14:paraId="41FE0A4A"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19. Balance Sheet Analysis</w:t>
      </w:r>
    </w:p>
    <w:p w14:paraId="49DD986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balance sheet provides information about Infosys' assets, liabilities and equity.</w:t>
      </w:r>
    </w:p>
    <w:p w14:paraId="552D0B0D"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Selected Consolidated Balance Sheet Information</w:t>
      </w:r>
    </w:p>
    <w:p w14:paraId="3C0DC4D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Amount: ₹ crore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272"/>
        <w:gridCol w:w="1287"/>
      </w:tblGrid>
      <w:tr w:rsidR="00286C33" w:rsidRPr="00286C33" w14:paraId="19F597ED" w14:textId="77777777">
        <w:trPr>
          <w:tblHeader/>
          <w:tblCellSpacing w:w="15" w:type="dxa"/>
        </w:trPr>
        <w:tc>
          <w:tcPr>
            <w:tcW w:w="0" w:type="auto"/>
            <w:vAlign w:val="center"/>
            <w:hideMark/>
          </w:tcPr>
          <w:p w14:paraId="7744709F"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Particulars</w:t>
            </w:r>
          </w:p>
        </w:tc>
        <w:tc>
          <w:tcPr>
            <w:tcW w:w="0" w:type="auto"/>
            <w:vAlign w:val="center"/>
            <w:hideMark/>
          </w:tcPr>
          <w:p w14:paraId="17A176C8"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2025–26</w:t>
            </w:r>
          </w:p>
        </w:tc>
        <w:tc>
          <w:tcPr>
            <w:tcW w:w="0" w:type="auto"/>
            <w:vAlign w:val="center"/>
            <w:hideMark/>
          </w:tcPr>
          <w:p w14:paraId="2856833E"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2024–25</w:t>
            </w:r>
          </w:p>
        </w:tc>
      </w:tr>
      <w:tr w:rsidR="00286C33" w:rsidRPr="00286C33" w14:paraId="4346C32A" w14:textId="77777777">
        <w:trPr>
          <w:tblCellSpacing w:w="15" w:type="dxa"/>
        </w:trPr>
        <w:tc>
          <w:tcPr>
            <w:tcW w:w="0" w:type="auto"/>
            <w:vAlign w:val="center"/>
            <w:hideMark/>
          </w:tcPr>
          <w:p w14:paraId="7DD20DA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Total Assets</w:t>
            </w:r>
          </w:p>
        </w:tc>
        <w:tc>
          <w:tcPr>
            <w:tcW w:w="0" w:type="auto"/>
            <w:vAlign w:val="center"/>
            <w:hideMark/>
          </w:tcPr>
          <w:p w14:paraId="7E61AB9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155,967</w:t>
            </w:r>
          </w:p>
        </w:tc>
        <w:tc>
          <w:tcPr>
            <w:tcW w:w="0" w:type="auto"/>
            <w:vAlign w:val="center"/>
            <w:hideMark/>
          </w:tcPr>
          <w:p w14:paraId="04015C8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148,903</w:t>
            </w:r>
          </w:p>
        </w:tc>
      </w:tr>
      <w:tr w:rsidR="00286C33" w:rsidRPr="00286C33" w14:paraId="00FD52EA" w14:textId="77777777">
        <w:trPr>
          <w:tblCellSpacing w:w="15" w:type="dxa"/>
        </w:trPr>
        <w:tc>
          <w:tcPr>
            <w:tcW w:w="0" w:type="auto"/>
            <w:vAlign w:val="center"/>
            <w:hideMark/>
          </w:tcPr>
          <w:p w14:paraId="0CB9F73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Net Current Assets</w:t>
            </w:r>
          </w:p>
        </w:tc>
        <w:tc>
          <w:tcPr>
            <w:tcW w:w="0" w:type="auto"/>
            <w:vAlign w:val="center"/>
            <w:hideMark/>
          </w:tcPr>
          <w:p w14:paraId="554E4529"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51,167</w:t>
            </w:r>
          </w:p>
        </w:tc>
        <w:tc>
          <w:tcPr>
            <w:tcW w:w="0" w:type="auto"/>
            <w:vAlign w:val="center"/>
            <w:hideMark/>
          </w:tcPr>
          <w:p w14:paraId="36C00E9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54,249</w:t>
            </w:r>
          </w:p>
        </w:tc>
      </w:tr>
      <w:tr w:rsidR="00286C33" w:rsidRPr="00286C33" w14:paraId="4A3BE69A" w14:textId="77777777">
        <w:trPr>
          <w:tblCellSpacing w:w="15" w:type="dxa"/>
        </w:trPr>
        <w:tc>
          <w:tcPr>
            <w:tcW w:w="0" w:type="auto"/>
            <w:vAlign w:val="center"/>
            <w:hideMark/>
          </w:tcPr>
          <w:p w14:paraId="11627F2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Non-Current Assets</w:t>
            </w:r>
          </w:p>
        </w:tc>
        <w:tc>
          <w:tcPr>
            <w:tcW w:w="0" w:type="auto"/>
            <w:vAlign w:val="center"/>
            <w:hideMark/>
          </w:tcPr>
          <w:p w14:paraId="0AB3B73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52,478</w:t>
            </w:r>
          </w:p>
        </w:tc>
        <w:tc>
          <w:tcPr>
            <w:tcW w:w="0" w:type="auto"/>
            <w:vAlign w:val="center"/>
            <w:hideMark/>
          </w:tcPr>
          <w:p w14:paraId="2B89382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51,804</w:t>
            </w:r>
          </w:p>
        </w:tc>
      </w:tr>
      <w:tr w:rsidR="00286C33" w:rsidRPr="00286C33" w14:paraId="619E919C" w14:textId="77777777">
        <w:trPr>
          <w:tblCellSpacing w:w="15" w:type="dxa"/>
        </w:trPr>
        <w:tc>
          <w:tcPr>
            <w:tcW w:w="0" w:type="auto"/>
            <w:vAlign w:val="center"/>
            <w:hideMark/>
          </w:tcPr>
          <w:p w14:paraId="770A8D8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lastRenderedPageBreak/>
              <w:t>Cash and Cash Equivalents</w:t>
            </w:r>
          </w:p>
        </w:tc>
        <w:tc>
          <w:tcPr>
            <w:tcW w:w="0" w:type="auto"/>
            <w:vAlign w:val="center"/>
            <w:hideMark/>
          </w:tcPr>
          <w:p w14:paraId="6AE3711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22,201</w:t>
            </w:r>
          </w:p>
        </w:tc>
        <w:tc>
          <w:tcPr>
            <w:tcW w:w="0" w:type="auto"/>
            <w:vAlign w:val="center"/>
            <w:hideMark/>
          </w:tcPr>
          <w:p w14:paraId="327585E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24,455</w:t>
            </w:r>
          </w:p>
        </w:tc>
      </w:tr>
      <w:tr w:rsidR="00286C33" w:rsidRPr="00286C33" w14:paraId="50911380" w14:textId="77777777">
        <w:trPr>
          <w:tblCellSpacing w:w="15" w:type="dxa"/>
        </w:trPr>
        <w:tc>
          <w:tcPr>
            <w:tcW w:w="0" w:type="auto"/>
            <w:vAlign w:val="center"/>
            <w:hideMark/>
          </w:tcPr>
          <w:p w14:paraId="1B44EB5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Current Investments</w:t>
            </w:r>
          </w:p>
        </w:tc>
        <w:tc>
          <w:tcPr>
            <w:tcW w:w="0" w:type="auto"/>
            <w:vAlign w:val="center"/>
            <w:hideMark/>
          </w:tcPr>
          <w:p w14:paraId="3E04F7A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12,950</w:t>
            </w:r>
          </w:p>
        </w:tc>
        <w:tc>
          <w:tcPr>
            <w:tcW w:w="0" w:type="auto"/>
            <w:vAlign w:val="center"/>
            <w:hideMark/>
          </w:tcPr>
          <w:p w14:paraId="5F9E222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12,482</w:t>
            </w:r>
          </w:p>
        </w:tc>
      </w:tr>
      <w:tr w:rsidR="00286C33" w:rsidRPr="00286C33" w14:paraId="0AA80B3C" w14:textId="77777777">
        <w:trPr>
          <w:tblCellSpacing w:w="15" w:type="dxa"/>
        </w:trPr>
        <w:tc>
          <w:tcPr>
            <w:tcW w:w="0" w:type="auto"/>
            <w:vAlign w:val="center"/>
            <w:hideMark/>
          </w:tcPr>
          <w:p w14:paraId="68A5ED7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Total Equity</w:t>
            </w:r>
          </w:p>
        </w:tc>
        <w:tc>
          <w:tcPr>
            <w:tcW w:w="0" w:type="auto"/>
            <w:vAlign w:val="center"/>
            <w:hideMark/>
          </w:tcPr>
          <w:p w14:paraId="4093D18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93,297</w:t>
            </w:r>
          </w:p>
        </w:tc>
        <w:tc>
          <w:tcPr>
            <w:tcW w:w="0" w:type="auto"/>
            <w:vAlign w:val="center"/>
            <w:hideMark/>
          </w:tcPr>
          <w:p w14:paraId="01D95BE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96,203</w:t>
            </w:r>
          </w:p>
        </w:tc>
      </w:tr>
      <w:tr w:rsidR="00286C33" w:rsidRPr="00286C33" w14:paraId="1B0DA074" w14:textId="77777777">
        <w:trPr>
          <w:tblCellSpacing w:w="15" w:type="dxa"/>
        </w:trPr>
        <w:tc>
          <w:tcPr>
            <w:tcW w:w="0" w:type="auto"/>
            <w:vAlign w:val="center"/>
            <w:hideMark/>
          </w:tcPr>
          <w:p w14:paraId="6BC3AD8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Non-Current Liabilities</w:t>
            </w:r>
          </w:p>
        </w:tc>
        <w:tc>
          <w:tcPr>
            <w:tcW w:w="0" w:type="auto"/>
            <w:vAlign w:val="center"/>
            <w:hideMark/>
          </w:tcPr>
          <w:p w14:paraId="4CE3FAE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10,348</w:t>
            </w:r>
          </w:p>
        </w:tc>
        <w:tc>
          <w:tcPr>
            <w:tcW w:w="0" w:type="auto"/>
            <w:vAlign w:val="center"/>
            <w:hideMark/>
          </w:tcPr>
          <w:p w14:paraId="611C705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9,850</w:t>
            </w:r>
          </w:p>
        </w:tc>
      </w:tr>
    </w:tbl>
    <w:p w14:paraId="74D1517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total assets increased from ₹148,903 crore to ₹155,967 crore. Total equity was ₹93,297 crore at March 31, 2026. </w:t>
      </w:r>
    </w:p>
    <w:p w14:paraId="1D300FF7" w14:textId="1555029E" w:rsidR="00286C33" w:rsidRPr="00286C33" w:rsidRDefault="00286C33" w:rsidP="00286C33">
      <w:pPr>
        <w:rPr>
          <w:rFonts w:ascii="Times New Roman" w:hAnsi="Times New Roman" w:cs="Times New Roman"/>
          <w:color w:val="000000" w:themeColor="text1"/>
        </w:rPr>
      </w:pPr>
    </w:p>
    <w:p w14:paraId="57E12B6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20. Assets Analysis</w:t>
      </w:r>
    </w:p>
    <w:p w14:paraId="744B02D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Assets represent resources owned or controlled by the company.</w:t>
      </w:r>
    </w:p>
    <w:p w14:paraId="7CB96FB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 total assets of:</w:t>
      </w:r>
    </w:p>
    <w:p w14:paraId="710079F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₹155,967 crore in FY 2025–26</w:t>
      </w:r>
    </w:p>
    <w:p w14:paraId="3A536CD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major components included:</w:t>
      </w:r>
    </w:p>
    <w:p w14:paraId="2D826C69" w14:textId="77777777" w:rsidR="00286C33" w:rsidRPr="00286C33" w:rsidRDefault="00286C33" w:rsidP="00286C33">
      <w:pPr>
        <w:numPr>
          <w:ilvl w:val="0"/>
          <w:numId w:val="6"/>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Cash and cash equivalents: ₹22,201 crore </w:t>
      </w:r>
    </w:p>
    <w:p w14:paraId="7F85D3DA" w14:textId="77777777" w:rsidR="00286C33" w:rsidRPr="00286C33" w:rsidRDefault="00286C33" w:rsidP="00286C33">
      <w:pPr>
        <w:numPr>
          <w:ilvl w:val="0"/>
          <w:numId w:val="6"/>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Current investments: ₹12,950 crore </w:t>
      </w:r>
    </w:p>
    <w:p w14:paraId="4C1D5EFC" w14:textId="77777777" w:rsidR="00286C33" w:rsidRPr="00286C33" w:rsidRDefault="00286C33" w:rsidP="00286C33">
      <w:pPr>
        <w:numPr>
          <w:ilvl w:val="0"/>
          <w:numId w:val="6"/>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Non-current assets: ₹52,478 crore </w:t>
      </w:r>
    </w:p>
    <w:p w14:paraId="1DD1CF1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company therefore maintained a significant level of liquid resources and investments. </w:t>
      </w:r>
    </w:p>
    <w:p w14:paraId="1501EA7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058C938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strong asset base and substantial cash and investment holdings indicate that Infosys maintained a strong financial position and liquidity during the year.</w:t>
      </w:r>
    </w:p>
    <w:p w14:paraId="7D054429" w14:textId="77A879C9" w:rsidR="00286C33" w:rsidRPr="00286C33" w:rsidRDefault="00286C33" w:rsidP="00286C33">
      <w:pPr>
        <w:rPr>
          <w:rFonts w:ascii="Times New Roman" w:hAnsi="Times New Roman" w:cs="Times New Roman"/>
          <w:color w:val="000000" w:themeColor="text1"/>
        </w:rPr>
      </w:pPr>
    </w:p>
    <w:p w14:paraId="4E14E516"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21. Liabilities and Equity Analysis</w:t>
      </w:r>
    </w:p>
    <w:p w14:paraId="12A5512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Liabilities represent obligations that the company needs to meet, while equity represents the shareholders' interest in the company.</w:t>
      </w:r>
    </w:p>
    <w:p w14:paraId="6B2684E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w:t>
      </w:r>
    </w:p>
    <w:p w14:paraId="3FC48B6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Total Equity = ₹93,297 crore</w:t>
      </w:r>
    </w:p>
    <w:p w14:paraId="7225866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Non-Current Liabilities = ₹10,348 crore</w:t>
      </w:r>
    </w:p>
    <w:p w14:paraId="24A2D56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company's official financial information reports a </w:t>
      </w:r>
      <w:r w:rsidRPr="00286C33">
        <w:rPr>
          <w:rFonts w:ascii="Times New Roman" w:hAnsi="Times New Roman" w:cs="Times New Roman"/>
          <w:b/>
          <w:bCs/>
          <w:color w:val="000000" w:themeColor="text1"/>
        </w:rPr>
        <w:t>debt-equity ratio as “–”</w:t>
      </w:r>
      <w:r w:rsidRPr="00286C33">
        <w:rPr>
          <w:rFonts w:ascii="Times New Roman" w:hAnsi="Times New Roman" w:cs="Times New Roman"/>
          <w:color w:val="000000" w:themeColor="text1"/>
        </w:rPr>
        <w:t xml:space="preserve"> in its IFRS ratio table, rather than providing a conventional numerical debt-equity ratio. </w:t>
      </w:r>
    </w:p>
    <w:p w14:paraId="15E25133"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2651D78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lastRenderedPageBreak/>
        <w:t>The large equity base compared with the reported non-current liabilities indicates a relatively strong capital position.</w:t>
      </w:r>
    </w:p>
    <w:p w14:paraId="2CC58918" w14:textId="08F344F1" w:rsidR="00286C33" w:rsidRPr="00286C33" w:rsidRDefault="00286C33" w:rsidP="00286C33">
      <w:pPr>
        <w:rPr>
          <w:rFonts w:ascii="Times New Roman" w:hAnsi="Times New Roman" w:cs="Times New Roman"/>
          <w:color w:val="000000" w:themeColor="text1"/>
        </w:rPr>
      </w:pPr>
    </w:p>
    <w:p w14:paraId="312922A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22. Cash Flow Analysis</w:t>
      </w:r>
    </w:p>
    <w:p w14:paraId="12233EB5"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Cash flow is divided into three main categories:</w:t>
      </w:r>
    </w:p>
    <w:p w14:paraId="6D2957A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Operating Activities</w:t>
      </w:r>
    </w:p>
    <w:p w14:paraId="6614A0D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For FY 2025–26, Infosys generated:</w:t>
      </w:r>
    </w:p>
    <w:p w14:paraId="406A7B9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Net cash from operating activities = ₹33,986 crore</w:t>
      </w:r>
    </w:p>
    <w:p w14:paraId="50135D5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compared with:</w:t>
      </w:r>
    </w:p>
    <w:p w14:paraId="11F1A40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₹35,694 crore in FY 2024–25.</w:t>
      </w:r>
      <w:r w:rsidRPr="00286C33">
        <w:rPr>
          <w:rFonts w:ascii="Times New Roman" w:hAnsi="Times New Roman" w:cs="Times New Roman"/>
          <w:color w:val="000000" w:themeColor="text1"/>
        </w:rPr>
        <w:t xml:space="preserve"> </w:t>
      </w:r>
    </w:p>
    <w:p w14:paraId="7E2DB7CA"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Investing Activities</w:t>
      </w:r>
    </w:p>
    <w:p w14:paraId="3AF0C32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company made investments in areas including mutual fund units, certificates of deposit, commercial papers and other investments. </w:t>
      </w:r>
    </w:p>
    <w:p w14:paraId="417AC7D8"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Financing Activities</w:t>
      </w:r>
    </w:p>
    <w:p w14:paraId="1E5170C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Financing cash flows include activities such as dividends and share buyback-related transactions.</w:t>
      </w:r>
    </w:p>
    <w:p w14:paraId="35613F51"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Overall Observation</w:t>
      </w:r>
    </w:p>
    <w:p w14:paraId="6EC6CDE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continued to generate substantial cash from its core operating activities. This is important because operating cash flow provides an indication of the company's ability to generate cash through normal business operations.</w:t>
      </w:r>
    </w:p>
    <w:p w14:paraId="5BD6220F" w14:textId="323A7DA7" w:rsidR="00286C33" w:rsidRPr="00286C33" w:rsidRDefault="00286C33" w:rsidP="00286C33">
      <w:pPr>
        <w:rPr>
          <w:rFonts w:ascii="Times New Roman" w:hAnsi="Times New Roman" w:cs="Times New Roman"/>
          <w:color w:val="000000" w:themeColor="text1"/>
        </w:rPr>
      </w:pPr>
    </w:p>
    <w:p w14:paraId="40E57F21"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23. EPS Analysis</w:t>
      </w:r>
    </w:p>
    <w:p w14:paraId="3F4ADB1F"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EPS stands for Earnings Per Share.</w:t>
      </w:r>
    </w:p>
    <w:p w14:paraId="35C50EB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basic EPS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122"/>
      </w:tblGrid>
      <w:tr w:rsidR="00286C33" w:rsidRPr="00286C33" w14:paraId="47DB53BB" w14:textId="77777777">
        <w:trPr>
          <w:tblHeader/>
          <w:tblCellSpacing w:w="15" w:type="dxa"/>
        </w:trPr>
        <w:tc>
          <w:tcPr>
            <w:tcW w:w="0" w:type="auto"/>
            <w:vAlign w:val="center"/>
            <w:hideMark/>
          </w:tcPr>
          <w:p w14:paraId="63D1CC15"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Financial Year</w:t>
            </w:r>
          </w:p>
        </w:tc>
        <w:tc>
          <w:tcPr>
            <w:tcW w:w="0" w:type="auto"/>
            <w:vAlign w:val="center"/>
            <w:hideMark/>
          </w:tcPr>
          <w:p w14:paraId="028F206B"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Basic EPS</w:t>
            </w:r>
          </w:p>
        </w:tc>
      </w:tr>
      <w:tr w:rsidR="00286C33" w:rsidRPr="00286C33" w14:paraId="6F210251" w14:textId="77777777">
        <w:trPr>
          <w:tblCellSpacing w:w="15" w:type="dxa"/>
        </w:trPr>
        <w:tc>
          <w:tcPr>
            <w:tcW w:w="0" w:type="auto"/>
            <w:vAlign w:val="center"/>
            <w:hideMark/>
          </w:tcPr>
          <w:p w14:paraId="442802E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2023–24</w:t>
            </w:r>
          </w:p>
        </w:tc>
        <w:tc>
          <w:tcPr>
            <w:tcW w:w="0" w:type="auto"/>
            <w:vAlign w:val="center"/>
            <w:hideMark/>
          </w:tcPr>
          <w:p w14:paraId="4E03495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₹63.39</w:t>
            </w:r>
          </w:p>
        </w:tc>
      </w:tr>
      <w:tr w:rsidR="00286C33" w:rsidRPr="00286C33" w14:paraId="7A173153" w14:textId="77777777">
        <w:trPr>
          <w:tblCellSpacing w:w="15" w:type="dxa"/>
        </w:trPr>
        <w:tc>
          <w:tcPr>
            <w:tcW w:w="0" w:type="auto"/>
            <w:vAlign w:val="center"/>
            <w:hideMark/>
          </w:tcPr>
          <w:p w14:paraId="6062BF5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2024–25</w:t>
            </w:r>
          </w:p>
        </w:tc>
        <w:tc>
          <w:tcPr>
            <w:tcW w:w="0" w:type="auto"/>
            <w:vAlign w:val="center"/>
            <w:hideMark/>
          </w:tcPr>
          <w:p w14:paraId="4753EF7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₹64.50</w:t>
            </w:r>
          </w:p>
        </w:tc>
      </w:tr>
      <w:tr w:rsidR="00286C33" w:rsidRPr="00286C33" w14:paraId="7D558017" w14:textId="77777777">
        <w:trPr>
          <w:tblCellSpacing w:w="15" w:type="dxa"/>
        </w:trPr>
        <w:tc>
          <w:tcPr>
            <w:tcW w:w="0" w:type="auto"/>
            <w:vAlign w:val="center"/>
            <w:hideMark/>
          </w:tcPr>
          <w:p w14:paraId="66CC2FB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2025–26</w:t>
            </w:r>
          </w:p>
        </w:tc>
        <w:tc>
          <w:tcPr>
            <w:tcW w:w="0" w:type="auto"/>
            <w:vAlign w:val="center"/>
            <w:hideMark/>
          </w:tcPr>
          <w:p w14:paraId="424F7558"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₹71.58</w:t>
            </w:r>
          </w:p>
        </w:tc>
      </w:tr>
    </w:tbl>
    <w:p w14:paraId="541FEB5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EPS increased by </w:t>
      </w:r>
      <w:r w:rsidRPr="00286C33">
        <w:rPr>
          <w:rFonts w:ascii="Times New Roman" w:hAnsi="Times New Roman" w:cs="Times New Roman"/>
          <w:b/>
          <w:bCs/>
          <w:color w:val="000000" w:themeColor="text1"/>
        </w:rPr>
        <w:t>11.0% in FY 2025–26</w:t>
      </w:r>
      <w:r w:rsidRPr="00286C33">
        <w:rPr>
          <w:rFonts w:ascii="Times New Roman" w:hAnsi="Times New Roman" w:cs="Times New Roman"/>
          <w:color w:val="000000" w:themeColor="text1"/>
        </w:rPr>
        <w:t xml:space="preserve">. </w:t>
      </w:r>
    </w:p>
    <w:p w14:paraId="6795361C"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6249BC8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increase in EPS indicates that earnings attributable to each share increased during FY 2025–26.</w:t>
      </w:r>
    </w:p>
    <w:p w14:paraId="41D206D2" w14:textId="16C582E0" w:rsidR="00286C33" w:rsidRPr="00286C33" w:rsidRDefault="00286C33" w:rsidP="00286C33">
      <w:pPr>
        <w:rPr>
          <w:rFonts w:ascii="Times New Roman" w:hAnsi="Times New Roman" w:cs="Times New Roman"/>
          <w:color w:val="000000" w:themeColor="text1"/>
        </w:rPr>
      </w:pPr>
    </w:p>
    <w:p w14:paraId="315C6B3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lastRenderedPageBreak/>
        <w:t>24. Dividend Analysis</w:t>
      </w:r>
    </w:p>
    <w:p w14:paraId="418A47B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 dividend per share of:</w:t>
      </w:r>
    </w:p>
    <w:p w14:paraId="70EF1C49"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FY 2025–26: ₹48</w:t>
      </w:r>
    </w:p>
    <w:p w14:paraId="201D1BA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FY 2024–25: ₹43</w:t>
      </w:r>
    </w:p>
    <w:p w14:paraId="17BB78C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dividend per share increased by approximately </w:t>
      </w:r>
      <w:r w:rsidRPr="00286C33">
        <w:rPr>
          <w:rFonts w:ascii="Times New Roman" w:hAnsi="Times New Roman" w:cs="Times New Roman"/>
          <w:b/>
          <w:bCs/>
          <w:color w:val="000000" w:themeColor="text1"/>
        </w:rPr>
        <w:t>11.6%</w:t>
      </w:r>
      <w:r w:rsidRPr="00286C33">
        <w:rPr>
          <w:rFonts w:ascii="Times New Roman" w:hAnsi="Times New Roman" w:cs="Times New Roman"/>
          <w:color w:val="000000" w:themeColor="text1"/>
        </w:rPr>
        <w:t xml:space="preserve">. </w:t>
      </w:r>
    </w:p>
    <w:p w14:paraId="0E14C488"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Observation</w:t>
      </w:r>
    </w:p>
    <w:p w14:paraId="4DC45A4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increase in dividend per share indicates that the company continued to return a portion of its earnings to shareholders.</w:t>
      </w:r>
    </w:p>
    <w:p w14:paraId="00C7B9C6" w14:textId="7996519A" w:rsidR="00286C33" w:rsidRPr="00286C33" w:rsidRDefault="00286C33" w:rsidP="00286C33">
      <w:pPr>
        <w:rPr>
          <w:rFonts w:ascii="Times New Roman" w:hAnsi="Times New Roman" w:cs="Times New Roman"/>
          <w:color w:val="000000" w:themeColor="text1"/>
        </w:rPr>
      </w:pPr>
    </w:p>
    <w:p w14:paraId="092E96F5"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25. P/E Ratio Analysis</w:t>
      </w:r>
    </w:p>
    <w:p w14:paraId="5B61E70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 the following year-end P/E ratios: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069"/>
      </w:tblGrid>
      <w:tr w:rsidR="00286C33" w:rsidRPr="00286C33" w14:paraId="5EA7D84D" w14:textId="77777777">
        <w:trPr>
          <w:tblHeader/>
          <w:tblCellSpacing w:w="15" w:type="dxa"/>
        </w:trPr>
        <w:tc>
          <w:tcPr>
            <w:tcW w:w="0" w:type="auto"/>
            <w:vAlign w:val="center"/>
            <w:hideMark/>
          </w:tcPr>
          <w:p w14:paraId="55E9F650"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Financial Year</w:t>
            </w:r>
          </w:p>
        </w:tc>
        <w:tc>
          <w:tcPr>
            <w:tcW w:w="0" w:type="auto"/>
            <w:vAlign w:val="center"/>
            <w:hideMark/>
          </w:tcPr>
          <w:p w14:paraId="0B9B44B7"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P/E Ratio</w:t>
            </w:r>
          </w:p>
        </w:tc>
      </w:tr>
      <w:tr w:rsidR="00286C33" w:rsidRPr="00286C33" w14:paraId="3B44F325" w14:textId="77777777">
        <w:trPr>
          <w:tblCellSpacing w:w="15" w:type="dxa"/>
        </w:trPr>
        <w:tc>
          <w:tcPr>
            <w:tcW w:w="0" w:type="auto"/>
            <w:vAlign w:val="center"/>
            <w:hideMark/>
          </w:tcPr>
          <w:p w14:paraId="6821E82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2023–24</w:t>
            </w:r>
          </w:p>
        </w:tc>
        <w:tc>
          <w:tcPr>
            <w:tcW w:w="0" w:type="auto"/>
            <w:vAlign w:val="center"/>
            <w:hideMark/>
          </w:tcPr>
          <w:p w14:paraId="77D4D6E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23.6</w:t>
            </w:r>
          </w:p>
        </w:tc>
      </w:tr>
      <w:tr w:rsidR="00286C33" w:rsidRPr="00286C33" w14:paraId="5FF727E9" w14:textId="77777777">
        <w:trPr>
          <w:tblCellSpacing w:w="15" w:type="dxa"/>
        </w:trPr>
        <w:tc>
          <w:tcPr>
            <w:tcW w:w="0" w:type="auto"/>
            <w:vAlign w:val="center"/>
            <w:hideMark/>
          </w:tcPr>
          <w:p w14:paraId="5F30B84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2024–25</w:t>
            </w:r>
          </w:p>
        </w:tc>
        <w:tc>
          <w:tcPr>
            <w:tcW w:w="0" w:type="auto"/>
            <w:vAlign w:val="center"/>
            <w:hideMark/>
          </w:tcPr>
          <w:p w14:paraId="6B1A032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24.4</w:t>
            </w:r>
          </w:p>
        </w:tc>
      </w:tr>
      <w:tr w:rsidR="00286C33" w:rsidRPr="00286C33" w14:paraId="4B108E95" w14:textId="77777777">
        <w:trPr>
          <w:tblCellSpacing w:w="15" w:type="dxa"/>
        </w:trPr>
        <w:tc>
          <w:tcPr>
            <w:tcW w:w="0" w:type="auto"/>
            <w:vAlign w:val="center"/>
            <w:hideMark/>
          </w:tcPr>
          <w:p w14:paraId="27C2F98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FY 2025–26</w:t>
            </w:r>
          </w:p>
        </w:tc>
        <w:tc>
          <w:tcPr>
            <w:tcW w:w="0" w:type="auto"/>
            <w:vAlign w:val="center"/>
            <w:hideMark/>
          </w:tcPr>
          <w:p w14:paraId="7DEB6863"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17.5</w:t>
            </w:r>
          </w:p>
        </w:tc>
      </w:tr>
    </w:tbl>
    <w:p w14:paraId="553AC44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P/E ratio fell from </w:t>
      </w:r>
      <w:r w:rsidRPr="00286C33">
        <w:rPr>
          <w:rFonts w:ascii="Times New Roman" w:hAnsi="Times New Roman" w:cs="Times New Roman"/>
          <w:b/>
          <w:bCs/>
          <w:color w:val="000000" w:themeColor="text1"/>
        </w:rPr>
        <w:t>24.4 to 17.5</w:t>
      </w:r>
      <w:r w:rsidRPr="00286C33">
        <w:rPr>
          <w:rFonts w:ascii="Times New Roman" w:hAnsi="Times New Roman" w:cs="Times New Roman"/>
          <w:color w:val="000000" w:themeColor="text1"/>
        </w:rPr>
        <w:t xml:space="preserve"> at the end of FY 2025–26. </w:t>
      </w:r>
    </w:p>
    <w:p w14:paraId="4A88523F"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Interpretation</w:t>
      </w:r>
    </w:p>
    <w:p w14:paraId="6AC82A2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A lower P/E ratio means the market price was lower relative to the company's earnings compared with the previous year, based on Infosys' reported year-end figures. However, P/E should always be compared with industry peers, growth expectations and market conditions before drawing conclusions.</w:t>
      </w:r>
    </w:p>
    <w:p w14:paraId="1C061042" w14:textId="16D80DCE" w:rsidR="00286C33" w:rsidRPr="00286C33" w:rsidRDefault="00286C33" w:rsidP="00286C33">
      <w:pPr>
        <w:rPr>
          <w:rFonts w:ascii="Times New Roman" w:hAnsi="Times New Roman" w:cs="Times New Roman"/>
          <w:color w:val="000000" w:themeColor="text1"/>
        </w:rPr>
      </w:pPr>
    </w:p>
    <w:p w14:paraId="2FAA71A5"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26. P/B Ratio and Book Value</w:t>
      </w:r>
    </w:p>
    <w:p w14:paraId="38D68D3A"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Infosys reported a book value per share of:</w:t>
      </w:r>
    </w:p>
    <w:p w14:paraId="19F4AC1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₹229 in FY 2025–26</w:t>
      </w:r>
    </w:p>
    <w:p w14:paraId="5A7A7C7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previous year's book value was ₹231. </w:t>
      </w:r>
    </w:p>
    <w:p w14:paraId="2804DA9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P/B ratio is calculated as:</w:t>
      </w:r>
    </w:p>
    <w:p w14:paraId="5D4276A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b/>
          <w:bCs/>
          <w:color w:val="000000" w:themeColor="text1"/>
        </w:rPr>
        <w:t>P/B Ratio = Market Price per Share / Book Value per Share</w:t>
      </w:r>
    </w:p>
    <w:p w14:paraId="59CF779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book value provides an accounting-based measure of the net assets attributable to shareholders.</w:t>
      </w:r>
    </w:p>
    <w:p w14:paraId="072B5378" w14:textId="5528BC99" w:rsidR="00286C33" w:rsidRPr="00286C33" w:rsidRDefault="00286C33" w:rsidP="00286C33">
      <w:pPr>
        <w:rPr>
          <w:rFonts w:ascii="Times New Roman" w:hAnsi="Times New Roman" w:cs="Times New Roman"/>
          <w:color w:val="000000" w:themeColor="text1"/>
        </w:rPr>
      </w:pPr>
    </w:p>
    <w:p w14:paraId="242DC8E2"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27. Profitability Ratios</w:t>
      </w:r>
    </w:p>
    <w:p w14:paraId="0B8058FA"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lastRenderedPageBreak/>
        <w:t>According to Infosys' official IFRS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1272"/>
        <w:gridCol w:w="1287"/>
      </w:tblGrid>
      <w:tr w:rsidR="00286C33" w:rsidRPr="00286C33" w14:paraId="50EE5C22" w14:textId="77777777">
        <w:trPr>
          <w:tblHeader/>
          <w:tblCellSpacing w:w="15" w:type="dxa"/>
        </w:trPr>
        <w:tc>
          <w:tcPr>
            <w:tcW w:w="0" w:type="auto"/>
            <w:vAlign w:val="center"/>
            <w:hideMark/>
          </w:tcPr>
          <w:p w14:paraId="55E21E40"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Ratio</w:t>
            </w:r>
          </w:p>
        </w:tc>
        <w:tc>
          <w:tcPr>
            <w:tcW w:w="0" w:type="auto"/>
            <w:vAlign w:val="center"/>
            <w:hideMark/>
          </w:tcPr>
          <w:p w14:paraId="5EAF5643"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2025–26</w:t>
            </w:r>
          </w:p>
        </w:tc>
        <w:tc>
          <w:tcPr>
            <w:tcW w:w="0" w:type="auto"/>
            <w:vAlign w:val="center"/>
            <w:hideMark/>
          </w:tcPr>
          <w:p w14:paraId="078D4074"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FY 2024–25</w:t>
            </w:r>
          </w:p>
        </w:tc>
      </w:tr>
      <w:tr w:rsidR="00286C33" w:rsidRPr="00286C33" w14:paraId="2AC3F7CB" w14:textId="77777777">
        <w:trPr>
          <w:tblCellSpacing w:w="15" w:type="dxa"/>
        </w:trPr>
        <w:tc>
          <w:tcPr>
            <w:tcW w:w="0" w:type="auto"/>
            <w:vAlign w:val="center"/>
            <w:hideMark/>
          </w:tcPr>
          <w:p w14:paraId="635174D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Gross Profit / Revenue</w:t>
            </w:r>
          </w:p>
        </w:tc>
        <w:tc>
          <w:tcPr>
            <w:tcW w:w="0" w:type="auto"/>
            <w:vAlign w:val="center"/>
            <w:hideMark/>
          </w:tcPr>
          <w:p w14:paraId="46FB686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30.2%</w:t>
            </w:r>
          </w:p>
        </w:tc>
        <w:tc>
          <w:tcPr>
            <w:tcW w:w="0" w:type="auto"/>
            <w:vAlign w:val="center"/>
            <w:hideMark/>
          </w:tcPr>
          <w:p w14:paraId="35E1995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30.5%</w:t>
            </w:r>
          </w:p>
        </w:tc>
      </w:tr>
      <w:tr w:rsidR="00286C33" w:rsidRPr="00286C33" w14:paraId="19AC0548" w14:textId="77777777">
        <w:trPr>
          <w:tblCellSpacing w:w="15" w:type="dxa"/>
        </w:trPr>
        <w:tc>
          <w:tcPr>
            <w:tcW w:w="0" w:type="auto"/>
            <w:vAlign w:val="center"/>
            <w:hideMark/>
          </w:tcPr>
          <w:p w14:paraId="3B05FD24"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Operating Profit / Revenue</w:t>
            </w:r>
          </w:p>
        </w:tc>
        <w:tc>
          <w:tcPr>
            <w:tcW w:w="0" w:type="auto"/>
            <w:vAlign w:val="center"/>
            <w:hideMark/>
          </w:tcPr>
          <w:p w14:paraId="6FCD121C"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20.3%</w:t>
            </w:r>
          </w:p>
        </w:tc>
        <w:tc>
          <w:tcPr>
            <w:tcW w:w="0" w:type="auto"/>
            <w:vAlign w:val="center"/>
            <w:hideMark/>
          </w:tcPr>
          <w:p w14:paraId="293CB9AE"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21.1%</w:t>
            </w:r>
          </w:p>
        </w:tc>
      </w:tr>
      <w:tr w:rsidR="00286C33" w:rsidRPr="00286C33" w14:paraId="666F287C" w14:textId="77777777">
        <w:trPr>
          <w:tblCellSpacing w:w="15" w:type="dxa"/>
        </w:trPr>
        <w:tc>
          <w:tcPr>
            <w:tcW w:w="0" w:type="auto"/>
            <w:vAlign w:val="center"/>
            <w:hideMark/>
          </w:tcPr>
          <w:p w14:paraId="7753500D"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PBT / Revenue</w:t>
            </w:r>
          </w:p>
        </w:tc>
        <w:tc>
          <w:tcPr>
            <w:tcW w:w="0" w:type="auto"/>
            <w:vAlign w:val="center"/>
            <w:hideMark/>
          </w:tcPr>
          <w:p w14:paraId="52330C11"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22.4%</w:t>
            </w:r>
          </w:p>
        </w:tc>
        <w:tc>
          <w:tcPr>
            <w:tcW w:w="0" w:type="auto"/>
            <w:vAlign w:val="center"/>
            <w:hideMark/>
          </w:tcPr>
          <w:p w14:paraId="0B62C012"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23.1%</w:t>
            </w:r>
          </w:p>
        </w:tc>
      </w:tr>
      <w:tr w:rsidR="00286C33" w:rsidRPr="00286C33" w14:paraId="7699B736" w14:textId="77777777">
        <w:trPr>
          <w:tblCellSpacing w:w="15" w:type="dxa"/>
        </w:trPr>
        <w:tc>
          <w:tcPr>
            <w:tcW w:w="0" w:type="auto"/>
            <w:vAlign w:val="center"/>
            <w:hideMark/>
          </w:tcPr>
          <w:p w14:paraId="517114D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PAT / Revenue</w:t>
            </w:r>
          </w:p>
        </w:tc>
        <w:tc>
          <w:tcPr>
            <w:tcW w:w="0" w:type="auto"/>
            <w:vAlign w:val="center"/>
            <w:hideMark/>
          </w:tcPr>
          <w:p w14:paraId="7A3A0067"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16.5%</w:t>
            </w:r>
          </w:p>
        </w:tc>
        <w:tc>
          <w:tcPr>
            <w:tcW w:w="0" w:type="auto"/>
            <w:vAlign w:val="center"/>
            <w:hideMark/>
          </w:tcPr>
          <w:p w14:paraId="1E2E705F"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16.4%</w:t>
            </w:r>
          </w:p>
        </w:tc>
      </w:tr>
      <w:tr w:rsidR="00286C33" w:rsidRPr="00286C33" w14:paraId="00039AA5" w14:textId="77777777">
        <w:trPr>
          <w:tblCellSpacing w:w="15" w:type="dxa"/>
        </w:trPr>
        <w:tc>
          <w:tcPr>
            <w:tcW w:w="0" w:type="auto"/>
            <w:vAlign w:val="center"/>
            <w:hideMark/>
          </w:tcPr>
          <w:p w14:paraId="0216967F"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ROE</w:t>
            </w:r>
          </w:p>
        </w:tc>
        <w:tc>
          <w:tcPr>
            <w:tcW w:w="0" w:type="auto"/>
            <w:vAlign w:val="center"/>
            <w:hideMark/>
          </w:tcPr>
          <w:p w14:paraId="37982DA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31.6%</w:t>
            </w:r>
          </w:p>
        </w:tc>
        <w:tc>
          <w:tcPr>
            <w:tcW w:w="0" w:type="auto"/>
            <w:vAlign w:val="center"/>
            <w:hideMark/>
          </w:tcPr>
          <w:p w14:paraId="641B226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29.0%</w:t>
            </w:r>
          </w:p>
        </w:tc>
      </w:tr>
    </w:tbl>
    <w:p w14:paraId="25505B86"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Interpretation</w:t>
      </w:r>
    </w:p>
    <w:p w14:paraId="16D3E446"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PAT-to-revenue ratio increased slightly from </w:t>
      </w:r>
      <w:r w:rsidRPr="00286C33">
        <w:rPr>
          <w:rFonts w:ascii="Times New Roman" w:hAnsi="Times New Roman" w:cs="Times New Roman"/>
          <w:b/>
          <w:bCs/>
          <w:color w:val="000000" w:themeColor="text1"/>
        </w:rPr>
        <w:t>16.4% to 16.5%</w:t>
      </w:r>
      <w:r w:rsidRPr="00286C33">
        <w:rPr>
          <w:rFonts w:ascii="Times New Roman" w:hAnsi="Times New Roman" w:cs="Times New Roman"/>
          <w:color w:val="000000" w:themeColor="text1"/>
        </w:rPr>
        <w:t xml:space="preserve">, while ROE improved from </w:t>
      </w:r>
      <w:r w:rsidRPr="00286C33">
        <w:rPr>
          <w:rFonts w:ascii="Times New Roman" w:hAnsi="Times New Roman" w:cs="Times New Roman"/>
          <w:b/>
          <w:bCs/>
          <w:color w:val="000000" w:themeColor="text1"/>
        </w:rPr>
        <w:t>29.0% to 31.6%</w:t>
      </w:r>
      <w:r w:rsidRPr="00286C33">
        <w:rPr>
          <w:rFonts w:ascii="Times New Roman" w:hAnsi="Times New Roman" w:cs="Times New Roman"/>
          <w:color w:val="000000" w:themeColor="text1"/>
        </w:rPr>
        <w:t xml:space="preserve">. The operating margin declined from 21.1% to 20.3%, so revenue and profit growth should be considered together with operating efficiency. </w:t>
      </w:r>
    </w:p>
    <w:p w14:paraId="59E90265" w14:textId="39050C22" w:rsidR="00286C33" w:rsidRPr="00286C33" w:rsidRDefault="00286C33" w:rsidP="00286C33">
      <w:pPr>
        <w:rPr>
          <w:rFonts w:ascii="Times New Roman" w:hAnsi="Times New Roman" w:cs="Times New Roman"/>
          <w:color w:val="000000" w:themeColor="text1"/>
        </w:rPr>
      </w:pPr>
    </w:p>
    <w:p w14:paraId="5B0DBE4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28. Overall Financial Analysis of Infosys</w:t>
      </w:r>
    </w:p>
    <w:p w14:paraId="3949D3B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Based on the FY 2025–26 financial information, Infosys demonstrated several positive financial characteristics.</w:t>
      </w:r>
    </w:p>
    <w:p w14:paraId="604C8546"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Positive observations</w:t>
      </w:r>
    </w:p>
    <w:p w14:paraId="72A1AE2F"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Revenue increased by </w:t>
      </w:r>
      <w:r w:rsidRPr="00286C33">
        <w:rPr>
          <w:rFonts w:ascii="Times New Roman" w:hAnsi="Times New Roman" w:cs="Times New Roman"/>
          <w:b/>
          <w:bCs/>
          <w:color w:val="000000" w:themeColor="text1"/>
        </w:rPr>
        <w:t>9.6%</w:t>
      </w:r>
      <w:r w:rsidRPr="00286C33">
        <w:rPr>
          <w:rFonts w:ascii="Times New Roman" w:hAnsi="Times New Roman" w:cs="Times New Roman"/>
          <w:color w:val="000000" w:themeColor="text1"/>
        </w:rPr>
        <w:t xml:space="preserve">. </w:t>
      </w:r>
    </w:p>
    <w:p w14:paraId="3FA44686"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Net profit attributable to owners increased by approximately </w:t>
      </w:r>
      <w:r w:rsidRPr="00286C33">
        <w:rPr>
          <w:rFonts w:ascii="Times New Roman" w:hAnsi="Times New Roman" w:cs="Times New Roman"/>
          <w:b/>
          <w:bCs/>
          <w:color w:val="000000" w:themeColor="text1"/>
        </w:rPr>
        <w:t>10.2%</w:t>
      </w:r>
      <w:r w:rsidRPr="00286C33">
        <w:rPr>
          <w:rFonts w:ascii="Times New Roman" w:hAnsi="Times New Roman" w:cs="Times New Roman"/>
          <w:color w:val="000000" w:themeColor="text1"/>
        </w:rPr>
        <w:t xml:space="preserve">. </w:t>
      </w:r>
    </w:p>
    <w:p w14:paraId="1C32497D"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Basic EPS increased by </w:t>
      </w:r>
      <w:r w:rsidRPr="00286C33">
        <w:rPr>
          <w:rFonts w:ascii="Times New Roman" w:hAnsi="Times New Roman" w:cs="Times New Roman"/>
          <w:b/>
          <w:bCs/>
          <w:color w:val="000000" w:themeColor="text1"/>
        </w:rPr>
        <w:t>11.0%</w:t>
      </w:r>
      <w:r w:rsidRPr="00286C33">
        <w:rPr>
          <w:rFonts w:ascii="Times New Roman" w:hAnsi="Times New Roman" w:cs="Times New Roman"/>
          <w:color w:val="000000" w:themeColor="text1"/>
        </w:rPr>
        <w:t xml:space="preserve">. </w:t>
      </w:r>
    </w:p>
    <w:p w14:paraId="503A0CD6"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Dividend per share increased from ₹43 to ₹48. </w:t>
      </w:r>
    </w:p>
    <w:p w14:paraId="5E0B5212"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ROE improved from </w:t>
      </w:r>
      <w:r w:rsidRPr="00286C33">
        <w:rPr>
          <w:rFonts w:ascii="Times New Roman" w:hAnsi="Times New Roman" w:cs="Times New Roman"/>
          <w:b/>
          <w:bCs/>
          <w:color w:val="000000" w:themeColor="text1"/>
        </w:rPr>
        <w:t>29.0% to 31.6%</w:t>
      </w:r>
      <w:r w:rsidRPr="00286C33">
        <w:rPr>
          <w:rFonts w:ascii="Times New Roman" w:hAnsi="Times New Roman" w:cs="Times New Roman"/>
          <w:color w:val="000000" w:themeColor="text1"/>
        </w:rPr>
        <w:t xml:space="preserve">. </w:t>
      </w:r>
    </w:p>
    <w:p w14:paraId="73585EB1"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The company maintained substantial cash and investment holdings. </w:t>
      </w:r>
    </w:p>
    <w:p w14:paraId="2035AA8F" w14:textId="77777777" w:rsidR="00286C33" w:rsidRPr="00286C33" w:rsidRDefault="00286C33" w:rsidP="00286C33">
      <w:pPr>
        <w:numPr>
          <w:ilvl w:val="0"/>
          <w:numId w:val="7"/>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Operating activities generated ₹33,986 crore of cash. </w:t>
      </w:r>
    </w:p>
    <w:p w14:paraId="45DCE5F9"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Areas to observe</w:t>
      </w:r>
    </w:p>
    <w:p w14:paraId="466F59DF" w14:textId="77777777" w:rsidR="00286C33" w:rsidRPr="00286C33" w:rsidRDefault="00286C33" w:rsidP="00286C33">
      <w:pPr>
        <w:numPr>
          <w:ilvl w:val="0"/>
          <w:numId w:val="8"/>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Operating profit margin declined from 21.1% to 20.3%. </w:t>
      </w:r>
    </w:p>
    <w:p w14:paraId="38D7A6BD" w14:textId="77777777" w:rsidR="00286C33" w:rsidRPr="00286C33" w:rsidRDefault="00286C33" w:rsidP="00286C33">
      <w:pPr>
        <w:numPr>
          <w:ilvl w:val="0"/>
          <w:numId w:val="8"/>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Net current assets decreased compared with the previous year. </w:t>
      </w:r>
    </w:p>
    <w:p w14:paraId="44247BA0" w14:textId="77777777" w:rsidR="00286C33" w:rsidRPr="00286C33" w:rsidRDefault="00286C33" w:rsidP="00286C33">
      <w:pPr>
        <w:numPr>
          <w:ilvl w:val="0"/>
          <w:numId w:val="8"/>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Cash and cash equivalents decreased from ₹24,455 crore to ₹22,201 crore. </w:t>
      </w:r>
    </w:p>
    <w:p w14:paraId="46A7703B" w14:textId="77777777" w:rsidR="00286C33" w:rsidRPr="00286C33" w:rsidRDefault="00286C33" w:rsidP="00286C33">
      <w:pPr>
        <w:numPr>
          <w:ilvl w:val="0"/>
          <w:numId w:val="8"/>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Financial ratios should be compared with competitors and historical trends before making a final assessment. </w:t>
      </w:r>
    </w:p>
    <w:p w14:paraId="20896FBC" w14:textId="0D857D68" w:rsidR="00286C33" w:rsidRPr="00286C33" w:rsidRDefault="00286C33" w:rsidP="00286C33">
      <w:pPr>
        <w:rPr>
          <w:rFonts w:ascii="Times New Roman" w:hAnsi="Times New Roman" w:cs="Times New Roman"/>
          <w:color w:val="000000" w:themeColor="text1"/>
        </w:rPr>
      </w:pPr>
    </w:p>
    <w:p w14:paraId="53905324"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lastRenderedPageBreak/>
        <w:t>29. Conclusion</w:t>
      </w:r>
    </w:p>
    <w:p w14:paraId="62D26FBB"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stock market provides an important mechanism for companies to raise capital and for investors to participate in the ownership of publicly listed companies. Understanding concepts such as market capitalization, EPS, P/E ratio, P/B ratio, dividends and financial statements is essential for analysing financial data.</w:t>
      </w:r>
    </w:p>
    <w:p w14:paraId="3E15491A"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The analysis of Infosys demonstrates how financial statements can be used to understand a company's performance and financial position. During FY 2025–26, Infosys recorded growth in revenue, net profit, EPS and dividend per share. The company also maintained a substantial asset and equity base and generated significant operating cash flow.</w:t>
      </w:r>
    </w:p>
    <w:p w14:paraId="51A24110" w14:textId="77777777" w:rsidR="00286C33" w:rsidRPr="00286C33" w:rsidRDefault="00286C33" w:rsidP="00286C33">
      <w:pPr>
        <w:rPr>
          <w:rFonts w:ascii="Times New Roman" w:hAnsi="Times New Roman" w:cs="Times New Roman"/>
          <w:color w:val="000000" w:themeColor="text1"/>
        </w:rPr>
      </w:pPr>
      <w:r w:rsidRPr="00286C33">
        <w:rPr>
          <w:rFonts w:ascii="Times New Roman" w:hAnsi="Times New Roman" w:cs="Times New Roman"/>
          <w:color w:val="000000" w:themeColor="text1"/>
        </w:rPr>
        <w:t xml:space="preserve">However, financial analysis should not depend on a single metric. Revenue, profitability, cash flow, balance sheet strength and valuation ratios should be considered together. The analysis presented here is for </w:t>
      </w:r>
      <w:r w:rsidRPr="00286C33">
        <w:rPr>
          <w:rFonts w:ascii="Times New Roman" w:hAnsi="Times New Roman" w:cs="Times New Roman"/>
          <w:b/>
          <w:bCs/>
          <w:color w:val="000000" w:themeColor="text1"/>
        </w:rPr>
        <w:t>educational and data-analysis purposes only and is not investment or trading advice</w:t>
      </w:r>
      <w:r w:rsidRPr="00286C33">
        <w:rPr>
          <w:rFonts w:ascii="Times New Roman" w:hAnsi="Times New Roman" w:cs="Times New Roman"/>
          <w:color w:val="000000" w:themeColor="text1"/>
        </w:rPr>
        <w:t>.</w:t>
      </w:r>
    </w:p>
    <w:p w14:paraId="58A6DBC0" w14:textId="11AF4F65" w:rsidR="00286C33" w:rsidRPr="00286C33" w:rsidRDefault="00286C33" w:rsidP="00286C33">
      <w:pPr>
        <w:rPr>
          <w:rFonts w:ascii="Times New Roman" w:hAnsi="Times New Roman" w:cs="Times New Roman"/>
          <w:color w:val="000000" w:themeColor="text1"/>
        </w:rPr>
      </w:pPr>
    </w:p>
    <w:p w14:paraId="144945E5" w14:textId="77777777" w:rsidR="00286C33" w:rsidRPr="00286C33" w:rsidRDefault="00286C33" w:rsidP="00286C33">
      <w:pPr>
        <w:rPr>
          <w:rFonts w:ascii="Times New Roman" w:hAnsi="Times New Roman" w:cs="Times New Roman"/>
          <w:b/>
          <w:bCs/>
          <w:color w:val="000000" w:themeColor="text1"/>
        </w:rPr>
      </w:pPr>
      <w:r w:rsidRPr="00286C33">
        <w:rPr>
          <w:rFonts w:ascii="Times New Roman" w:hAnsi="Times New Roman" w:cs="Times New Roman"/>
          <w:b/>
          <w:bCs/>
          <w:color w:val="000000" w:themeColor="text1"/>
        </w:rPr>
        <w:t>30. REFERENCES</w:t>
      </w:r>
    </w:p>
    <w:p w14:paraId="5A0B204E" w14:textId="77777777" w:rsidR="00286C33" w:rsidRPr="00286C33" w:rsidRDefault="00286C33" w:rsidP="00286C33">
      <w:pPr>
        <w:numPr>
          <w:ilvl w:val="0"/>
          <w:numId w:val="9"/>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w:t>
      </w:r>
      <w:r w:rsidRPr="00286C33">
        <w:rPr>
          <w:rFonts w:ascii="Times New Roman" w:hAnsi="Times New Roman" w:cs="Times New Roman"/>
          <w:b/>
          <w:bCs/>
          <w:color w:val="000000" w:themeColor="text1"/>
        </w:rPr>
        <w:t>Integrated Annual Report 2025–26</w:t>
      </w:r>
      <w:r w:rsidRPr="00286C33">
        <w:rPr>
          <w:rFonts w:ascii="Times New Roman" w:hAnsi="Times New Roman" w:cs="Times New Roman"/>
          <w:color w:val="000000" w:themeColor="text1"/>
        </w:rPr>
        <w:t xml:space="preserve">. </w:t>
      </w:r>
      <w:hyperlink r:id="rId5" w:tgtFrame="_blank" w:history="1">
        <w:r w:rsidRPr="00286C33">
          <w:rPr>
            <w:rStyle w:val="Hyperlink"/>
            <w:rFonts w:ascii="Times New Roman" w:hAnsi="Times New Roman" w:cs="Times New Roman"/>
          </w:rPr>
          <w:t>Infosys Integrated Annual Report 2025–26</w:t>
        </w:r>
      </w:hyperlink>
      <w:r w:rsidRPr="00286C33">
        <w:rPr>
          <w:rFonts w:ascii="Times New Roman" w:hAnsi="Times New Roman" w:cs="Times New Roman"/>
          <w:color w:val="000000" w:themeColor="text1"/>
        </w:rPr>
        <w:t xml:space="preserve"> </w:t>
      </w:r>
    </w:p>
    <w:p w14:paraId="77E3406D" w14:textId="77777777" w:rsidR="00286C33" w:rsidRPr="00286C33" w:rsidRDefault="00286C33" w:rsidP="00286C33">
      <w:pPr>
        <w:numPr>
          <w:ilvl w:val="0"/>
          <w:numId w:val="9"/>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w:t>
      </w:r>
      <w:proofErr w:type="gramStart"/>
      <w:r w:rsidRPr="00286C33">
        <w:rPr>
          <w:rFonts w:ascii="Times New Roman" w:hAnsi="Times New Roman" w:cs="Times New Roman"/>
          <w:b/>
          <w:bCs/>
          <w:color w:val="000000" w:themeColor="text1"/>
        </w:rPr>
        <w:t>Three Year</w:t>
      </w:r>
      <w:proofErr w:type="gramEnd"/>
      <w:r w:rsidRPr="00286C33">
        <w:rPr>
          <w:rFonts w:ascii="Times New Roman" w:hAnsi="Times New Roman" w:cs="Times New Roman"/>
          <w:b/>
          <w:bCs/>
          <w:color w:val="000000" w:themeColor="text1"/>
        </w:rPr>
        <w:t xml:space="preserve"> Overview – IFRS Financial Data</w:t>
      </w:r>
      <w:r w:rsidRPr="00286C33">
        <w:rPr>
          <w:rFonts w:ascii="Times New Roman" w:hAnsi="Times New Roman" w:cs="Times New Roman"/>
          <w:color w:val="000000" w:themeColor="text1"/>
        </w:rPr>
        <w:t xml:space="preserve">. </w:t>
      </w:r>
      <w:hyperlink r:id="rId6" w:tgtFrame="_blank" w:history="1">
        <w:r w:rsidRPr="00286C33">
          <w:rPr>
            <w:rStyle w:val="Hyperlink"/>
            <w:rFonts w:ascii="Times New Roman" w:hAnsi="Times New Roman" w:cs="Times New Roman"/>
          </w:rPr>
          <w:t>Infosys Financial Data</w:t>
        </w:r>
      </w:hyperlink>
      <w:r w:rsidRPr="00286C33">
        <w:rPr>
          <w:rFonts w:ascii="Times New Roman" w:hAnsi="Times New Roman" w:cs="Times New Roman"/>
          <w:color w:val="000000" w:themeColor="text1"/>
        </w:rPr>
        <w:t xml:space="preserve"> </w:t>
      </w:r>
    </w:p>
    <w:p w14:paraId="642B8B9C" w14:textId="77777777" w:rsidR="00286C33" w:rsidRPr="00286C33" w:rsidRDefault="00286C33" w:rsidP="00286C33">
      <w:pPr>
        <w:numPr>
          <w:ilvl w:val="0"/>
          <w:numId w:val="9"/>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w:t>
      </w:r>
      <w:r w:rsidRPr="00286C33">
        <w:rPr>
          <w:rFonts w:ascii="Times New Roman" w:hAnsi="Times New Roman" w:cs="Times New Roman"/>
          <w:b/>
          <w:bCs/>
          <w:color w:val="000000" w:themeColor="text1"/>
        </w:rPr>
        <w:t>Per Share Data and Ratios</w:t>
      </w:r>
      <w:r w:rsidRPr="00286C33">
        <w:rPr>
          <w:rFonts w:ascii="Times New Roman" w:hAnsi="Times New Roman" w:cs="Times New Roman"/>
          <w:color w:val="000000" w:themeColor="text1"/>
        </w:rPr>
        <w:t xml:space="preserve">. </w:t>
      </w:r>
      <w:hyperlink r:id="rId7" w:tgtFrame="_blank" w:history="1">
        <w:r w:rsidRPr="00286C33">
          <w:rPr>
            <w:rStyle w:val="Hyperlink"/>
            <w:rFonts w:ascii="Times New Roman" w:hAnsi="Times New Roman" w:cs="Times New Roman"/>
          </w:rPr>
          <w:t>Infosys Per Share Data and Ratios</w:t>
        </w:r>
      </w:hyperlink>
      <w:r w:rsidRPr="00286C33">
        <w:rPr>
          <w:rFonts w:ascii="Times New Roman" w:hAnsi="Times New Roman" w:cs="Times New Roman"/>
          <w:color w:val="000000" w:themeColor="text1"/>
        </w:rPr>
        <w:t xml:space="preserve"> </w:t>
      </w:r>
    </w:p>
    <w:p w14:paraId="7597BCCE" w14:textId="77777777" w:rsidR="00286C33" w:rsidRPr="00286C33" w:rsidRDefault="00286C33" w:rsidP="00286C33">
      <w:pPr>
        <w:numPr>
          <w:ilvl w:val="0"/>
          <w:numId w:val="9"/>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w:t>
      </w:r>
      <w:r w:rsidRPr="00286C33">
        <w:rPr>
          <w:rFonts w:ascii="Times New Roman" w:hAnsi="Times New Roman" w:cs="Times New Roman"/>
          <w:b/>
          <w:bCs/>
          <w:color w:val="000000" w:themeColor="text1"/>
        </w:rPr>
        <w:t>Balance Sheet Data</w:t>
      </w:r>
      <w:r w:rsidRPr="00286C33">
        <w:rPr>
          <w:rFonts w:ascii="Times New Roman" w:hAnsi="Times New Roman" w:cs="Times New Roman"/>
          <w:color w:val="000000" w:themeColor="text1"/>
        </w:rPr>
        <w:t xml:space="preserve">. </w:t>
      </w:r>
      <w:hyperlink r:id="rId8" w:tgtFrame="_blank" w:history="1">
        <w:r w:rsidRPr="00286C33">
          <w:rPr>
            <w:rStyle w:val="Hyperlink"/>
            <w:rFonts w:ascii="Times New Roman" w:hAnsi="Times New Roman" w:cs="Times New Roman"/>
          </w:rPr>
          <w:t>Infosys Balance Sheet Data</w:t>
        </w:r>
      </w:hyperlink>
      <w:r w:rsidRPr="00286C33">
        <w:rPr>
          <w:rFonts w:ascii="Times New Roman" w:hAnsi="Times New Roman" w:cs="Times New Roman"/>
          <w:color w:val="000000" w:themeColor="text1"/>
        </w:rPr>
        <w:t xml:space="preserve"> </w:t>
      </w:r>
    </w:p>
    <w:p w14:paraId="59332292" w14:textId="77777777" w:rsidR="00286C33" w:rsidRPr="00286C33" w:rsidRDefault="00286C33" w:rsidP="00286C33">
      <w:pPr>
        <w:numPr>
          <w:ilvl w:val="0"/>
          <w:numId w:val="9"/>
        </w:numPr>
        <w:rPr>
          <w:rFonts w:ascii="Times New Roman" w:hAnsi="Times New Roman" w:cs="Times New Roman"/>
          <w:color w:val="000000" w:themeColor="text1"/>
        </w:rPr>
      </w:pPr>
      <w:r w:rsidRPr="00286C33">
        <w:rPr>
          <w:rFonts w:ascii="Times New Roman" w:hAnsi="Times New Roman" w:cs="Times New Roman"/>
          <w:color w:val="000000" w:themeColor="text1"/>
        </w:rPr>
        <w:t xml:space="preserve">Infosys Limited, </w:t>
      </w:r>
      <w:r w:rsidRPr="00286C33">
        <w:rPr>
          <w:rFonts w:ascii="Times New Roman" w:hAnsi="Times New Roman" w:cs="Times New Roman"/>
          <w:b/>
          <w:bCs/>
          <w:color w:val="000000" w:themeColor="text1"/>
        </w:rPr>
        <w:t>Financial Information – FY 2025–26</w:t>
      </w:r>
      <w:r w:rsidRPr="00286C33">
        <w:rPr>
          <w:rFonts w:ascii="Times New Roman" w:hAnsi="Times New Roman" w:cs="Times New Roman"/>
          <w:color w:val="000000" w:themeColor="text1"/>
        </w:rPr>
        <w:t xml:space="preserve">. </w:t>
      </w:r>
      <w:hyperlink r:id="rId9" w:tgtFrame="_blank" w:history="1">
        <w:r w:rsidRPr="00286C33">
          <w:rPr>
            <w:rStyle w:val="Hyperlink"/>
            <w:rFonts w:ascii="Times New Roman" w:hAnsi="Times New Roman" w:cs="Times New Roman"/>
          </w:rPr>
          <w:t>Infosys FY 2025–26 Financial Information</w:t>
        </w:r>
      </w:hyperlink>
    </w:p>
    <w:p w14:paraId="408234E6" w14:textId="77777777" w:rsidR="00286C33" w:rsidRPr="00286C33" w:rsidRDefault="00286C33" w:rsidP="00286C33">
      <w:pPr>
        <w:rPr>
          <w:rFonts w:ascii="Times New Roman" w:hAnsi="Times New Roman" w:cs="Times New Roman"/>
          <w:color w:val="000000" w:themeColor="text1"/>
        </w:rPr>
      </w:pPr>
    </w:p>
    <w:sectPr w:rsidR="00286C33" w:rsidRPr="00286C33" w:rsidSect="00B63A96">
      <w:pgSz w:w="11910" w:h="16840"/>
      <w:pgMar w:top="1340" w:right="992" w:bottom="1180" w:left="1275" w:header="1021" w:footer="99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2BB"/>
    <w:multiLevelType w:val="multilevel"/>
    <w:tmpl w:val="E998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570D4"/>
    <w:multiLevelType w:val="multilevel"/>
    <w:tmpl w:val="8550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156EA"/>
    <w:multiLevelType w:val="multilevel"/>
    <w:tmpl w:val="3DC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779D6"/>
    <w:multiLevelType w:val="multilevel"/>
    <w:tmpl w:val="CAF6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B3607"/>
    <w:multiLevelType w:val="multilevel"/>
    <w:tmpl w:val="DF34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F4097F"/>
    <w:multiLevelType w:val="multilevel"/>
    <w:tmpl w:val="E23E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0A292E"/>
    <w:multiLevelType w:val="multilevel"/>
    <w:tmpl w:val="0ACC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34E21"/>
    <w:multiLevelType w:val="multilevel"/>
    <w:tmpl w:val="FA8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13C69"/>
    <w:multiLevelType w:val="multilevel"/>
    <w:tmpl w:val="A346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838570">
    <w:abstractNumId w:val="2"/>
  </w:num>
  <w:num w:numId="2" w16cid:durableId="866405764">
    <w:abstractNumId w:val="0"/>
  </w:num>
  <w:num w:numId="3" w16cid:durableId="774402618">
    <w:abstractNumId w:val="3"/>
  </w:num>
  <w:num w:numId="4" w16cid:durableId="1223442508">
    <w:abstractNumId w:val="4"/>
  </w:num>
  <w:num w:numId="5" w16cid:durableId="508561749">
    <w:abstractNumId w:val="6"/>
  </w:num>
  <w:num w:numId="6" w16cid:durableId="849217266">
    <w:abstractNumId w:val="7"/>
  </w:num>
  <w:num w:numId="7" w16cid:durableId="1300913664">
    <w:abstractNumId w:val="1"/>
  </w:num>
  <w:num w:numId="8" w16cid:durableId="823425959">
    <w:abstractNumId w:val="5"/>
  </w:num>
  <w:num w:numId="9" w16cid:durableId="19024460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C33"/>
    <w:rsid w:val="00286C33"/>
    <w:rsid w:val="006C3153"/>
    <w:rsid w:val="006F02DF"/>
    <w:rsid w:val="00707403"/>
    <w:rsid w:val="00B63A96"/>
    <w:rsid w:val="00C91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C1CC"/>
  <w15:chartTrackingRefBased/>
  <w15:docId w15:val="{FC8BE233-5F8B-422C-8B37-9AE6B08BA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6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6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C33"/>
    <w:rPr>
      <w:rFonts w:eastAsiaTheme="majorEastAsia" w:cstheme="majorBidi"/>
      <w:color w:val="272727" w:themeColor="text1" w:themeTint="D8"/>
    </w:rPr>
  </w:style>
  <w:style w:type="paragraph" w:styleId="Title">
    <w:name w:val="Title"/>
    <w:basedOn w:val="Normal"/>
    <w:next w:val="Normal"/>
    <w:link w:val="TitleChar"/>
    <w:uiPriority w:val="10"/>
    <w:qFormat/>
    <w:rsid w:val="00286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C33"/>
    <w:pPr>
      <w:spacing w:before="160"/>
      <w:jc w:val="center"/>
    </w:pPr>
    <w:rPr>
      <w:i/>
      <w:iCs/>
      <w:color w:val="404040" w:themeColor="text1" w:themeTint="BF"/>
    </w:rPr>
  </w:style>
  <w:style w:type="character" w:customStyle="1" w:styleId="QuoteChar">
    <w:name w:val="Quote Char"/>
    <w:basedOn w:val="DefaultParagraphFont"/>
    <w:link w:val="Quote"/>
    <w:uiPriority w:val="29"/>
    <w:rsid w:val="00286C33"/>
    <w:rPr>
      <w:i/>
      <w:iCs/>
      <w:color w:val="404040" w:themeColor="text1" w:themeTint="BF"/>
    </w:rPr>
  </w:style>
  <w:style w:type="paragraph" w:styleId="ListParagraph">
    <w:name w:val="List Paragraph"/>
    <w:basedOn w:val="Normal"/>
    <w:uiPriority w:val="34"/>
    <w:qFormat/>
    <w:rsid w:val="00286C33"/>
    <w:pPr>
      <w:ind w:left="720"/>
      <w:contextualSpacing/>
    </w:pPr>
  </w:style>
  <w:style w:type="character" w:styleId="IntenseEmphasis">
    <w:name w:val="Intense Emphasis"/>
    <w:basedOn w:val="DefaultParagraphFont"/>
    <w:uiPriority w:val="21"/>
    <w:qFormat/>
    <w:rsid w:val="00286C33"/>
    <w:rPr>
      <w:i/>
      <w:iCs/>
      <w:color w:val="0F4761" w:themeColor="accent1" w:themeShade="BF"/>
    </w:rPr>
  </w:style>
  <w:style w:type="paragraph" w:styleId="IntenseQuote">
    <w:name w:val="Intense Quote"/>
    <w:basedOn w:val="Normal"/>
    <w:next w:val="Normal"/>
    <w:link w:val="IntenseQuoteChar"/>
    <w:uiPriority w:val="30"/>
    <w:qFormat/>
    <w:rsid w:val="00286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C33"/>
    <w:rPr>
      <w:i/>
      <w:iCs/>
      <w:color w:val="0F4761" w:themeColor="accent1" w:themeShade="BF"/>
    </w:rPr>
  </w:style>
  <w:style w:type="character" w:styleId="IntenseReference">
    <w:name w:val="Intense Reference"/>
    <w:basedOn w:val="DefaultParagraphFont"/>
    <w:uiPriority w:val="32"/>
    <w:qFormat/>
    <w:rsid w:val="00286C33"/>
    <w:rPr>
      <w:b/>
      <w:bCs/>
      <w:smallCaps/>
      <w:color w:val="0F4761" w:themeColor="accent1" w:themeShade="BF"/>
      <w:spacing w:val="5"/>
    </w:rPr>
  </w:style>
  <w:style w:type="character" w:styleId="Hyperlink">
    <w:name w:val="Hyperlink"/>
    <w:basedOn w:val="DefaultParagraphFont"/>
    <w:uiPriority w:val="99"/>
    <w:unhideWhenUsed/>
    <w:rsid w:val="00286C33"/>
    <w:rPr>
      <w:color w:val="467886" w:themeColor="hyperlink"/>
      <w:u w:val="single"/>
    </w:rPr>
  </w:style>
  <w:style w:type="character" w:styleId="UnresolvedMention">
    <w:name w:val="Unresolved Mention"/>
    <w:basedOn w:val="DefaultParagraphFont"/>
    <w:uiPriority w:val="99"/>
    <w:semiHidden/>
    <w:unhideWhenUsed/>
    <w:rsid w:val="0028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sys.com/investors/reports-filings/financials/balance-sheet-data.html?utm_source=chatgpt.com" TargetMode="External"/><Relationship Id="rId3" Type="http://schemas.openxmlformats.org/officeDocument/2006/relationships/settings" Target="settings.xml"/><Relationship Id="rId7" Type="http://schemas.openxmlformats.org/officeDocument/2006/relationships/hyperlink" Target="https://www.infosys.com/investors/reports-filings/financials/per-share-data.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fosys.com/investors/reports-filings/financials/data-sheet.html?utm_source=chatgpt.com" TargetMode="External"/><Relationship Id="rId11" Type="http://schemas.openxmlformats.org/officeDocument/2006/relationships/theme" Target="theme/theme1.xml"/><Relationship Id="rId5" Type="http://schemas.openxmlformats.org/officeDocument/2006/relationships/hyperlink" Target="https://www.infosys.com/investors/reports-filings/annual-report/annual/documents/infosys-ar-26.pdf?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fosys.com/investors/reports-filings/quarterly-results/2025-2026/q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2402</Words>
  <Characters>13692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Sanalla Bhavana</dc:creator>
  <cp:keywords/>
  <dc:description/>
  <cp:lastModifiedBy>Sanalla Bhavana</cp:lastModifiedBy>
  <cp:revision>1</cp:revision>
  <dcterms:created xsi:type="dcterms:W3CDTF">2026-08-15T06:35:00Z</dcterms:created>
  <dcterms:modified xsi:type="dcterms:W3CDTF">2026-08-15T06:53:00Z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36eba00d-4f02-43c1-8b5c-27f72bd3dace</vt:lpwstr>
  </property>
</Properties>
</file>