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 w:before="2400"/>
        <w:ind/>
        <w:jc w:val="center"/>
        <w:rPr/>
      </w:pPr>
      <w:r>
        <w:rPr>
          <w:b/>
          <w:color w:val="1f4e79"/>
          <w:sz w:val="48"/>
        </w:rPr>
        <w:t xml:space="preserve">System Hacking &amp; Vulnerability Assessment Report</w:t>
      </w:r>
      <w:r/>
    </w:p>
    <w:p>
      <w:pPr>
        <w:keepNext w:val="true"/>
        <w:pBdr/>
        <w:spacing w:after="120" w:before="360"/>
        <w:ind/>
        <w:rPr/>
      </w:pPr>
      <w:r>
        <w:rPr>
          <w:b/>
          <w:color w:val="1f4e79"/>
          <w:sz w:val="28"/>
        </w:rPr>
        <w:t xml:space="preserve">1.0 Core Technical Definitions</w:t>
      </w:r>
      <w:r/>
    </w:p>
    <w:p>
      <w:pPr>
        <w:pStyle w:val="723"/>
        <w:pBdr/>
        <w:spacing w:after="60"/>
        <w:ind/>
        <w:rPr/>
      </w:pPr>
      <w:r>
        <w:rPr>
          <w:b/>
        </w:rPr>
        <w:t xml:space="preserve">System Hacking: </w:t>
      </w:r>
      <w:r>
        <w:t xml:space="preserve">The process of identifying weaknesses in a target system configuration, analyzing network services, and assessing potential deployment issues.</w:t>
      </w:r>
      <w:r/>
    </w:p>
    <w:p>
      <w:pPr>
        <w:pStyle w:val="723"/>
        <w:pBdr/>
        <w:spacing w:after="60"/>
        <w:ind/>
        <w:rPr/>
      </w:pPr>
      <w:r>
        <w:rPr>
          <w:b/>
        </w:rPr>
        <w:t xml:space="preserve">Metasploitable 2: </w:t>
      </w:r>
      <w:r>
        <w:t xml:space="preserve">An intentionally unhardened Linux virtual machine designed for educational training, configuration auditing, and security assessment practice.</w:t>
      </w:r>
      <w:r/>
    </w:p>
    <w:p>
      <w:pPr>
        <w:pStyle w:val="723"/>
        <w:pBdr/>
        <w:spacing w:after="60"/>
        <w:ind/>
        <w:rPr/>
      </w:pPr>
      <w:r>
        <w:rPr>
          <w:b/>
        </w:rPr>
        <w:t xml:space="preserve">Vulnerability Verification: </w:t>
      </w:r>
      <w:r>
        <w:t xml:space="preserve">The process of checking if an identified service misconfiguration or older software version allows unauthorized administrative access.</w:t>
      </w:r>
      <w:r/>
    </w:p>
    <w:p>
      <w:pPr>
        <w:keepNext w:val="true"/>
        <w:pBdr/>
        <w:spacing w:after="80" w:before="240"/>
        <w:ind/>
        <w:rPr/>
      </w:pPr>
      <w:r>
        <w:rPr>
          <w:b/>
          <w:color w:val="5b9bd5"/>
          <w:sz w:val="24"/>
        </w:rPr>
        <w:t xml:space="preserve">1.1 Common Target Port Vulnerability Mappings</w:t>
      </w:r>
      <w:r/>
    </w:p>
    <w:tbl>
      <w:tblPr>
        <w:jc w:val="center"/>
        <w:tblW w:w="0" w:type="auto"/>
        <w:tblBorders>
          <w:top w:val="single" w:color="d9d9d9" w:sz="4" w:space="0"/>
          <w:left w:val="none" w:color="000000" w:sz="4" w:space="0"/>
          <w:bottom w:val="single" w:color="1f4e79" w:sz="8" w:space="0"/>
          <w:right w:val="none" w:color="000000" w:sz="4" w:space="0"/>
          <w:insideH w:val="single" w:color="d9d9d9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1f4e79"/>
            <w:tcBorders/>
            <w:tcW w:w="3120" w:type="dxa"/>
          </w:tcPr>
          <w:p>
            <w:pPr>
              <w:pBdr/>
              <w:spacing w:after="80" w:before="80"/>
              <w:ind/>
              <w:jc w:val="left"/>
              <w:rPr/>
            </w:pPr>
            <w:r>
              <w:rPr>
                <w:b/>
                <w:color w:val="ffffff"/>
              </w:rPr>
              <w:t xml:space="preserve">Target Port</w:t>
            </w:r>
            <w:r/>
          </w:p>
        </w:tc>
        <w:tc>
          <w:tcPr>
            <w:shd w:val="clear" w:color="auto" w:fill="1f4e79"/>
            <w:tcBorders/>
            <w:tcW w:w="3120" w:type="dxa"/>
          </w:tcPr>
          <w:p>
            <w:pPr>
              <w:pBdr/>
              <w:spacing w:after="80" w:before="80"/>
              <w:ind/>
              <w:jc w:val="left"/>
              <w:rPr/>
            </w:pPr>
            <w:r>
              <w:rPr>
                <w:b/>
                <w:color w:val="ffffff"/>
              </w:rPr>
              <w:t xml:space="preserve">Service Type</w:t>
            </w:r>
            <w:r/>
          </w:p>
        </w:tc>
        <w:tc>
          <w:tcPr>
            <w:shd w:val="clear" w:color="auto" w:fill="1f4e79"/>
            <w:tcBorders/>
            <w:tcW w:w="3120" w:type="dxa"/>
          </w:tcPr>
          <w:p>
            <w:pPr>
              <w:pBdr/>
              <w:spacing w:after="80" w:before="80"/>
              <w:ind/>
              <w:jc w:val="left"/>
              <w:rPr/>
            </w:pPr>
            <w:r>
              <w:rPr>
                <w:b/>
                <w:color w:val="ffffff"/>
              </w:rPr>
              <w:t xml:space="preserve">Common Assessment Profile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21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FTP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Misconfigured daemon or older server version checks.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23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Telnet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Unencrypted cleartext credential sniffing verification.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1524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Ingreslock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Misconfigured bind shell listener mapping.</w:t>
            </w:r>
            <w:r/>
          </w:p>
        </w:tc>
      </w:tr>
    </w:tbl>
    <w:p>
      <w:pPr>
        <w:keepNext w:val="true"/>
        <w:pBdr/>
        <w:spacing w:after="120" w:before="360"/>
        <w:ind/>
        <w:rPr/>
      </w:pPr>
      <w:r>
        <w:rPr>
          <w:b/>
          <w:color w:val="1f4e79"/>
          <w:sz w:val="28"/>
        </w:rPr>
        <w:t xml:space="preserve">2.0 System Assessment Methodology</w:t>
      </w:r>
      <w:r/>
    </w:p>
    <w:p>
      <w:pPr>
        <w:pStyle w:val="723"/>
        <w:pBdr/>
        <w:spacing w:after="60"/>
        <w:ind/>
        <w:rPr/>
      </w:pPr>
      <w:r>
        <w:rPr>
          <w:b/>
        </w:rPr>
        <w:t xml:space="preserve">Information Gathering: </w:t>
      </w:r>
      <w:r>
        <w:t xml:space="preserve">Using scanning tools to map open communication ports, active banners, and specific operating system signatures.</w:t>
      </w:r>
      <w:r/>
    </w:p>
    <w:p>
      <w:pPr>
        <w:pStyle w:val="723"/>
        <w:pBdr/>
        <w:spacing w:after="60"/>
        <w:ind/>
        <w:rPr/>
      </w:pPr>
      <w:r>
        <w:rPr>
          <w:b/>
        </w:rPr>
        <w:t xml:space="preserve">Vulnerability Identification: </w:t>
      </w:r>
      <w:r>
        <w:t xml:space="preserve">Cross-referencing discovered service version strings against public deployment documentation and common misconfiguration lists.</w:t>
      </w:r>
      <w:r/>
    </w:p>
    <w:p>
      <w:pPr>
        <w:pStyle w:val="723"/>
        <w:pBdr/>
        <w:spacing w:after="60"/>
        <w:ind/>
        <w:rPr/>
      </w:pPr>
      <w:r>
        <w:rPr>
          <w:b/>
        </w:rPr>
        <w:t xml:space="preserve">Post-Assessment Steps: </w:t>
      </w:r>
      <w:r>
        <w:t xml:space="preserve">Verifying system access levels and evaluating methods to properly patch or secure the identified exposures.</w:t>
      </w:r>
      <w:r/>
    </w:p>
    <w:p>
      <w:pPr>
        <w:keepNext w:val="true"/>
        <w:pBdr/>
        <w:spacing w:after="120" w:before="360"/>
        <w:ind/>
        <w:rPr/>
      </w:pPr>
      <w:r>
        <w:rPr>
          <w:b/>
          <w:color w:val="1f4e79"/>
          <w:sz w:val="28"/>
        </w:rPr>
        <w:t xml:space="preserve">3.0 Laboratory Infrastructure Design</w:t>
      </w:r>
      <w:r/>
    </w:p>
    <w:p>
      <w:pPr>
        <w:pStyle w:val="723"/>
        <w:pBdr/>
        <w:spacing w:after="60"/>
        <w:ind/>
        <w:rPr/>
      </w:pPr>
      <w:r>
        <w:rPr>
          <w:b/>
        </w:rPr>
        <w:t xml:space="preserve">Host Machine: </w:t>
      </w:r>
      <w:r>
        <w:t xml:space="preserve">Windows 11 Local Architecture hosting a VirtualBox hypervisor interface.</w:t>
      </w:r>
      <w:r/>
    </w:p>
    <w:p>
      <w:pPr>
        <w:pStyle w:val="723"/>
        <w:pBdr/>
        <w:spacing w:after="60"/>
        <w:ind/>
        <w:rPr/>
      </w:pPr>
      <w:r>
        <w:rPr>
          <w:b/>
        </w:rPr>
        <w:t xml:space="preserve">Target Machine (Victim): </w:t>
      </w:r>
      <w:r>
        <w:t xml:space="preserve">Metasploitable 2 Linux instance deployed inside an isolated host-only network adapter loop.</w:t>
      </w:r>
      <w:r/>
    </w:p>
    <w:p>
      <w:pPr>
        <w:pStyle w:val="723"/>
        <w:pBdr/>
        <w:spacing w:after="60"/>
        <w:ind/>
        <w:rPr/>
      </w:pPr>
      <w:r>
        <w:rPr>
          <w:b/>
        </w:rPr>
        <w:t xml:space="preserve">Attacker Machine: </w:t>
      </w:r>
      <w:r>
        <w:t xml:space="preserve">Kali Linux operating system localized within the same host-only network adapter segment.</w:t>
      </w:r>
      <w:r/>
    </w:p>
    <w:p>
      <w:pPr>
        <w:pStyle w:val="723"/>
        <w:pBdr/>
        <w:spacing w:after="60"/>
        <w:ind/>
        <w:rPr/>
      </w:pPr>
      <w:r>
        <w:rPr>
          <w:b/>
        </w:rPr>
        <w:t xml:space="preserve">Isolation Control: </w:t>
      </w:r>
      <w:r>
        <w:t xml:space="preserve">The entire subnet remains completely disconnected from the live internet to ensure safe automation execution.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4f7"/>
            <w:tcBorders>
              <w:top w:val="single" w:color="d9d9d9" w:sz="4" w:space="0"/>
              <w:left w:val="single" w:color="1f4e79" w:sz="24" w:space="0"/>
              <w:bottom w:val="single" w:color="d9d9d9" w:sz="4" w:space="0"/>
              <w:right w:val="single" w:color="d9d9d9" w:sz="4" w:space="0"/>
            </w:tcBorders>
            <w:tcW w:w="7920" w:type="dxa"/>
          </w:tcPr>
          <w:p w14:paraId="5F2107CC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4186052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3023616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418605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468.00pt;height:329.61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>
      <w:pPr>
        <w:pBdr/>
        <w:spacing w:after="240"/>
        <w:ind/>
        <w:jc w:val="center"/>
        <w:rPr/>
      </w:pPr>
      <w:r>
        <w:rPr>
          <w:i/>
          <w:sz w:val="19"/>
        </w:rPr>
        <w:t xml:space="preserve">Figure: Laboratory Target Infrastructure - Metasploitable 2 Boot Screen showing Active Terminal and Local Network Details</w:t>
      </w:r>
      <w:r/>
    </w:p>
    <w:p>
      <w:pPr>
        <w:keepNext w:val="true"/>
        <w:pBdr/>
        <w:spacing w:after="120" w:before="360"/>
        <w:ind/>
        <w:rPr/>
      </w:pPr>
      <w:r>
        <w:rPr>
          <w:b/>
          <w:color w:val="1f4e79"/>
          <w:sz w:val="28"/>
        </w:rPr>
        <w:t xml:space="preserve">4.0 Target Discovery and Port Mapping</w:t>
      </w:r>
      <w:r/>
    </w:p>
    <w:p>
      <w:pPr>
        <w:keepNext w:val="true"/>
        <w:pBdr/>
        <w:spacing w:after="80" w:before="240"/>
        <w:ind/>
        <w:rPr/>
      </w:pPr>
      <w:r>
        <w:rPr>
          <w:b/>
          <w:color w:val="5b9bd5"/>
          <w:sz w:val="24"/>
        </w:rPr>
        <w:t xml:space="preserve">4.1 Initial Live Target Discovery Sweep</w:t>
      </w:r>
      <w:r/>
    </w:p>
    <w:p>
      <w:pPr>
        <w:pBdr/>
        <w:spacing w:after="80"/>
        <w:ind w:left="360"/>
        <w:rPr/>
      </w:pPr>
      <w:r>
        <w:rPr>
          <w:rFonts w:ascii="Consolas" w:hAnsi="Consolas"/>
          <w:color w:val="333333"/>
          <w:sz w:val="20"/>
        </w:rPr>
        <w:t xml:space="preserve">ping -c 3 192.168.56.101</w:t>
      </w:r>
      <w:r/>
    </w:p>
    <w:p>
      <w:pPr>
        <w:keepNext w:val="true"/>
        <w:pBdr/>
        <w:spacing w:after="80" w:before="240"/>
        <w:ind/>
        <w:rPr/>
      </w:pPr>
      <w:r>
        <w:rPr>
          <w:b/>
          <w:color w:val="5b9bd5"/>
          <w:sz w:val="24"/>
        </w:rPr>
        <w:t xml:space="preserve">4.2 Comprehensive Service and Version Mapping Scan</w:t>
      </w:r>
      <w:r/>
    </w:p>
    <w:p>
      <w:pPr>
        <w:pBdr/>
        <w:spacing w:after="80"/>
        <w:ind w:left="360"/>
        <w:rPr/>
      </w:pPr>
      <w:r>
        <w:rPr>
          <w:rFonts w:ascii="Consolas" w:hAnsi="Consolas"/>
          <w:color w:val="333333"/>
          <w:sz w:val="20"/>
        </w:rPr>
        <w:t xml:space="preserve">nmap -sV -p- 192.168.56.101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4f7"/>
            <w:tcBorders>
              <w:top w:val="single" w:color="d9d9d9" w:sz="4" w:space="0"/>
              <w:left w:val="single" w:color="1f4e79" w:sz="24" w:space="0"/>
              <w:bottom w:val="single" w:color="d9d9d9" w:sz="4" w:space="0"/>
              <w:right w:val="single" w:color="d9d9d9" w:sz="4" w:space="0"/>
            </w:tcBorders>
            <w:tcW w:w="7920" w:type="dxa"/>
          </w:tcPr>
          <w:p w14:paraId="54F86612">
            <w:pPr>
              <w:pBdr/>
              <w:spacing/>
              <w:ind/>
              <w:rPr/>
            </w:pPr>
            <w:r/>
            <w:r>
              <w:rPr>
                <w:i/>
                <w:sz w:val="19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3985054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500619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398505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68.00pt;height:313.78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</w:tbl>
    <w:p>
      <w:pPr>
        <w:pBdr/>
        <w:spacing w:after="240"/>
        <w:ind/>
        <w:jc w:val="center"/>
        <w:rPr/>
      </w:pPr>
      <w:r>
        <w:rPr>
          <w:i/>
          <w:sz w:val="19"/>
        </w:rPr>
        <w:t xml:space="preserve">Figure: Nmap Active Service Discovery Output - Terminal screen showing open ports (21, 23, 1524) and software version text strings</w:t>
      </w:r>
      <w:r/>
    </w:p>
    <w:p>
      <w:pPr>
        <w:keepNext w:val="true"/>
        <w:pBdr/>
        <w:spacing w:after="120" w:before="360"/>
        <w:ind/>
        <w:rPr/>
      </w:pPr>
      <w:r>
        <w:rPr>
          <w:b/>
          <w:color w:val="1f4e79"/>
          <w:sz w:val="28"/>
        </w:rPr>
        <w:t xml:space="preserve">5.0 System Auditing and Verification Steps</w:t>
      </w:r>
      <w:r/>
    </w:p>
    <w:p>
      <w:pPr>
        <w:keepNext w:val="true"/>
        <w:pBdr/>
        <w:spacing w:after="80" w:before="240"/>
        <w:ind/>
        <w:rPr/>
      </w:pPr>
      <w:r>
        <w:rPr>
          <w:b/>
          <w:color w:val="5b9bd5"/>
          <w:sz w:val="24"/>
        </w:rPr>
        <w:t xml:space="preserve">5.1 Verifying Cleartext Service Exposures (Port 23)</w:t>
      </w:r>
      <w:r/>
    </w:p>
    <w:p>
      <w:pPr>
        <w:pBdr/>
        <w:spacing w:after="80"/>
        <w:ind w:left="360"/>
        <w:rPr/>
      </w:pPr>
      <w:r>
        <w:rPr>
          <w:rFonts w:ascii="Consolas" w:hAnsi="Consolas"/>
          <w:color w:val="333333"/>
          <w:sz w:val="20"/>
        </w:rPr>
        <w:t xml:space="preserve">telnet 192.168.56.101 23</w:t>
      </w:r>
      <w:r/>
    </w:p>
    <w:p>
      <w:pPr>
        <w:pStyle w:val="723"/>
        <w:pBdr/>
        <w:spacing w:after="60"/>
        <w:ind/>
        <w:rPr/>
      </w:pPr>
      <w:r>
        <w:rPr>
          <w:b/>
        </w:rPr>
        <w:t xml:space="preserve">Assessment Context: </w:t>
      </w:r>
      <w:r>
        <w:t xml:space="preserve">Verifying if default credentials or plain text communication is allowed over standard terminal services.</w:t>
      </w:r>
      <w:r/>
    </w:p>
    <w:p>
      <w:pPr>
        <w:keepNext w:val="true"/>
        <w:pBdr/>
        <w:spacing w:after="80" w:before="240"/>
        <w:ind/>
        <w:rPr/>
      </w:pPr>
      <w:r>
        <w:rPr>
          <w:b/>
          <w:color w:val="5b9bd5"/>
          <w:sz w:val="24"/>
        </w:rPr>
        <w:t xml:space="preserve">5.2 Verifying Open Port Listeners (Port 1524)</w:t>
      </w:r>
      <w:r/>
    </w:p>
    <w:p>
      <w:pPr>
        <w:pBdr/>
        <w:spacing w:after="80"/>
        <w:ind w:left="360"/>
        <w:rPr/>
      </w:pPr>
      <w:r>
        <w:rPr>
          <w:rFonts w:ascii="Consolas" w:hAnsi="Consolas"/>
          <w:color w:val="333333"/>
          <w:sz w:val="20"/>
        </w:rPr>
        <w:t xml:space="preserve">nc -nv 192.168.56.101 1524</w:t>
      </w:r>
      <w:r/>
    </w:p>
    <w:p>
      <w:pPr>
        <w:pStyle w:val="723"/>
        <w:pBdr/>
        <w:spacing w:after="60"/>
        <w:ind/>
        <w:rPr/>
      </w:pPr>
      <w:r>
        <w:rPr>
          <w:b/>
        </w:rPr>
        <w:t xml:space="preserve">Assessment Context: </w:t>
      </w:r>
      <w:r>
        <w:t xml:space="preserve">Checking for misconfigured background services that expose system access command prompts without proper verification loops.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4f7"/>
            <w:tcBorders>
              <w:top w:val="single" w:color="d9d9d9" w:sz="4" w:space="0"/>
              <w:left w:val="single" w:color="1f4e79" w:sz="24" w:space="0"/>
              <w:bottom w:val="single" w:color="d9d9d9" w:sz="4" w:space="0"/>
              <w:right w:val="single" w:color="d9d9d9" w:sz="4" w:space="0"/>
            </w:tcBorders>
            <w:tcW w:w="7920" w:type="dxa"/>
          </w:tcPr>
          <w:p w14:paraId="1D8C9068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3551024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440285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35510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68.00pt;height:279.61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>
      <w:pPr>
        <w:pBdr/>
        <w:spacing w:after="240"/>
        <w:ind/>
        <w:jc w:val="center"/>
        <w:rPr/>
      </w:pPr>
      <w:r>
        <w:rPr>
          <w:i/>
          <w:sz w:val="19"/>
        </w:rPr>
        <w:t xml:space="preserve">Figure: Kali Linux Terminal Results - Access validation screen showing active root shell commands like whoami and id</w:t>
      </w:r>
      <w:r/>
    </w:p>
    <w:p>
      <w:pPr>
        <w:keepNext w:val="true"/>
        <w:pBdr/>
        <w:spacing w:after="120" w:before="360"/>
        <w:ind/>
        <w:rPr/>
      </w:pPr>
      <w:r>
        <w:rPr>
          <w:b/>
          <w:color w:val="1f4e79"/>
          <w:sz w:val="28"/>
        </w:rPr>
        <w:t xml:space="preserve">6.0 Technical Remediation and Hardening Guidelines</w:t>
      </w:r>
      <w:r/>
    </w:p>
    <w:p>
      <w:pPr>
        <w:pStyle w:val="723"/>
        <w:pBdr/>
        <w:spacing w:after="60"/>
        <w:ind/>
        <w:rPr/>
      </w:pPr>
      <w:r>
        <w:rPr>
          <w:b/>
        </w:rPr>
        <w:t xml:space="preserve">Service Deactivation: </w:t>
      </w:r>
      <w:r>
        <w:t xml:space="preserve">Disable insecure or obsolete communication protocols (such as unencrypted Telnet or non-essential shell listeners).</w:t>
      </w:r>
      <w:r/>
    </w:p>
    <w:p>
      <w:pPr>
        <w:pStyle w:val="723"/>
        <w:pBdr/>
        <w:spacing w:after="60"/>
        <w:ind/>
        <w:rPr/>
      </w:pPr>
      <w:r>
        <w:rPr>
          <w:b/>
        </w:rPr>
        <w:t xml:space="preserve">Access Control Policies: </w:t>
      </w:r>
      <w:r>
        <w:t xml:space="preserve">Implement strict host-based firewall configurations to restrict access to management interfaces to trusted network paths only.</w:t>
      </w:r>
      <w:r/>
    </w:p>
    <w:p>
      <w:pPr>
        <w:pStyle w:val="723"/>
        <w:pBdr/>
        <w:spacing w:after="60"/>
        <w:ind/>
        <w:rPr/>
      </w:pPr>
      <w:r>
        <w:rPr>
          <w:b/>
        </w:rPr>
        <w:t xml:space="preserve">Credential Management: </w:t>
      </w:r>
      <w:r>
        <w:t xml:space="preserve">Enforce complex password rules and completely remove default or blank authentication paths across all system users.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4020202020204"/>
  </w:font>
  <w:font w:name="Symbol">
    <w:panose1 w:val="05010000000000000000"/>
  </w:font>
  <w:font w:name="Courier"/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80"/>
      <w:ind/>
    </w:pPr>
    <w:rPr>
      <w:rFonts w:ascii="Calibri" w:hAnsi="Calibri"/>
      <w:color w:val="262626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2026-07-02T15:30:10Z</dcterms:modified>
  <cp:category/>
</cp:coreProperties>
</file>