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Research Improvement Suggestions</w:t>
      </w:r>
    </w:p>
    <w:p>
      <w:pPr>
        <w:jc w:val="center"/>
      </w:pPr>
      <w:r>
        <w:rPr>
          <w:i/>
          <w:color w:val="595959"/>
          <w:sz w:val="26"/>
        </w:rPr>
        <w:t>Market Regime Capstone — PatchTST + FiLM Conditioning</w:t>
      </w:r>
    </w:p>
    <w:p>
      <w:pPr>
        <w:jc w:val="center"/>
      </w:pPr>
      <w:r>
        <w:t>Author: Sanam Jan  |  Date: July 2026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F497D"/>
        </w:rPr>
        <w:t>Context — Why FiLM Underperformed</w:t>
      </w:r>
    </w:p>
    <w:p>
      <w:r>
        <w:rPr>
          <w:b w:val="0"/>
          <w:i w:val="0"/>
          <w:sz w:val="22"/>
        </w:rPr>
        <w:t>The thesis model (PatchTST + FiLM) achieved OOS Sharpe = 0.29 vs the no-regime control at 0.41 (walk-forward 2011–2021) and −0.14 vs 0.72 on the final holdout (2022–2024). Three root causes are identified:</w:t>
      </w:r>
    </w:p>
    <w:p>
      <w:pPr>
        <w:pStyle w:val="ListBullet"/>
      </w:pPr>
      <w:r>
        <w:rPr>
          <w:sz w:val="22"/>
        </w:rPr>
        <w:t>Weak regime signal: HMM posteriors diverge only 0.10–0.15 in γ-norm across regimes</w:t>
      </w:r>
    </w:p>
    <w:p>
      <w:pPr>
        <w:pStyle w:val="ListBullet"/>
      </w:pPr>
      <w:r>
        <w:rPr>
          <w:sz w:val="22"/>
        </w:rPr>
        <w:t>Small OOS sample: 2,693 bars gives low statistical power (DSR &lt; 0.5 for most models)</w:t>
      </w:r>
    </w:p>
    <w:p>
      <w:pPr>
        <w:pStyle w:val="ListBullet"/>
      </w:pPr>
      <w:r>
        <w:rPr>
          <w:sz w:val="22"/>
        </w:rPr>
        <w:t>Regime non-stationarity: 2022 inflation shock is unlike anything in the 2000–2021 training window</w:t>
      </w:r>
    </w:p>
    <w:p/>
    <w:p>
      <w:pPr>
        <w:pStyle w:val="Heading1"/>
      </w:pPr>
      <w:r>
        <w:rPr>
          <w:color w:val="C00000"/>
        </w:rPr>
        <w:t>1  High-Impact — Directly Address the Thesis Failure</w:t>
      </w:r>
    </w:p>
    <w:p>
      <w:pPr>
        <w:pStyle w:val="Heading2"/>
      </w:pPr>
      <w:r>
        <w:rPr>
          <w:color w:val="1F497D"/>
        </w:rPr>
        <w:t>1.1  Better Regime Signal Quality</w:t>
      </w:r>
    </w:p>
    <w:p>
      <w:r>
        <w:rPr>
          <w:b w:val="0"/>
          <w:i w:val="0"/>
          <w:sz w:val="22"/>
        </w:rPr>
        <w:t>The HMM's 3-state soft posteriors are slow to react and poorly differentiated. The FiLM γ divergence across regimes is ~0.10–0.15 — the model barely tells regimes apart.</w:t>
      </w:r>
    </w:p>
    <w:p>
      <w:pPr>
        <w:pStyle w:val="ListBullet"/>
      </w:pPr>
      <w:r>
        <w:rPr>
          <w:b/>
          <w:sz w:val="22"/>
        </w:rPr>
        <w:t>Switch to MSGARCH — it models volatility directly, which matches the prediction target (y_vol_norm).</w:t>
      </w:r>
      <w:r>
        <w:rPr>
          <w:sz w:val="22"/>
        </w:rPr>
        <w:t xml:space="preserve">Regime-switching GARCH (MSGARCH): </w:t>
      </w:r>
    </w:p>
    <w:p>
      <w:pPr>
        <w:pStyle w:val="ListBullet"/>
      </w:pPr>
      <w:r>
        <w:rPr>
          <w:b/>
          <w:sz w:val="22"/>
        </w:rPr>
        <w:t>Add VIX term structure, credit spread (HYG/LQD ratio), or OECD CLI as macro state variables.</w:t>
      </w:r>
      <w:r>
        <w:rPr>
          <w:sz w:val="22"/>
        </w:rPr>
        <w:t xml:space="preserve">Richer HMM features: </w:t>
      </w:r>
    </w:p>
    <w:p>
      <w:pPr>
        <w:pStyle w:val="ListBullet"/>
      </w:pPr>
      <w:r>
        <w:rPr>
          <w:b/>
          <w:sz w:val="22"/>
        </w:rPr>
        <w:t>Collapse to Bull / Bear only. The 'Transition' state (55% of bars) dilutes the conditioning signal.</w:t>
      </w:r>
      <w:r>
        <w:rPr>
          <w:sz w:val="22"/>
        </w:rPr>
        <w:t xml:space="preserve">2-state HMM: </w:t>
      </w:r>
    </w:p>
    <w:p>
      <w:pPr>
        <w:pStyle w:val="Heading2"/>
      </w:pPr>
      <w:r>
        <w:rPr>
          <w:color w:val="1F497D"/>
        </w:rPr>
        <w:t>1.2  Increase Conditioning Signal Strength in FiLM</w:t>
      </w:r>
    </w:p>
    <w:p>
      <w:r>
        <w:rPr>
          <w:b w:val="0"/>
          <w:i w:val="0"/>
          <w:sz w:val="22"/>
        </w:rPr>
        <w:t>FiLM takes soft posteriors [p0, p1, p2] as input. Strengthening the signal helps the model commit.</w:t>
      </w:r>
    </w:p>
    <w:p>
      <w:pPr>
        <w:pStyle w:val="ListBullet"/>
      </w:pPr>
      <w:r>
        <w:rPr>
          <w:b/>
          <w:sz w:val="22"/>
        </w:rPr>
        <w:t>Force argmax(regime) during prediction — the model commits to one regime per bar.</w:t>
      </w:r>
      <w:r>
        <w:rPr>
          <w:sz w:val="22"/>
        </w:rPr>
        <w:t xml:space="preserve">Hard one-hot at inference: </w:t>
      </w:r>
    </w:p>
    <w:p>
      <w:pPr>
        <w:pStyle w:val="ListBullet"/>
      </w:pPr>
      <w:r>
        <w:rPr>
          <w:b/>
          <w:sz w:val="22"/>
        </w:rPr>
        <w:t>The RegimeCrossAttention branch already exists in src/models/patchtst.py. Run a full ablation comparing it to FiLM.</w:t>
      </w:r>
      <w:r>
        <w:rPr>
          <w:sz w:val="22"/>
        </w:rPr>
        <w:t xml:space="preserve">Cross-attention conditioning: </w:t>
      </w:r>
    </w:p>
    <w:p>
      <w:pPr>
        <w:pStyle w:val="ListBullet"/>
      </w:pPr>
      <w:r>
        <w:rPr>
          <w:b/>
          <w:sz w:val="22"/>
        </w:rPr>
        <w:t>Shift regime posteriors by 1 bar to guarantee no look-ahead leakage (even though forward-filtering should already prevent this).</w:t>
      </w:r>
      <w:r>
        <w:rPr>
          <w:sz w:val="22"/>
        </w:rPr>
        <w:t xml:space="preserve">Delayed regime input: </w:t>
      </w:r>
    </w:p>
    <w:p>
      <w:pPr>
        <w:pStyle w:val="Heading2"/>
      </w:pPr>
      <w:r>
        <w:rPr>
          <w:color w:val="1F497D"/>
        </w:rPr>
        <w:t>1.3  Multi-Asset Universe (Critical for Statistical Power)</w:t>
      </w:r>
    </w:p>
    <w:p>
      <w:r>
        <w:rPr>
          <w:b w:val="0"/>
          <w:i w:val="0"/>
          <w:sz w:val="22"/>
        </w:rPr>
        <w:t>SPY alone gives 2,693 OOS bars (~10 years). Adding more assets multiplies observations and reduces the Deflated Sharpe Ratio penalty.</w:t>
      </w:r>
    </w:p>
    <w:p>
      <w:pPr>
        <w:pStyle w:val="ListBullet"/>
      </w:pPr>
      <w:r>
        <w:rPr>
          <w:b/>
          <w:sz w:val="22"/>
        </w:rPr>
        <w:t>5 assets × 2,693 bars ≈ 13,000 OOS observations — DSR penalty shrinks, confidence intervals tighten.</w:t>
      </w:r>
      <w:r>
        <w:rPr>
          <w:sz w:val="22"/>
        </w:rPr>
        <w:t xml:space="preserve">Add QQQ, IWM, TLT, GLD: </w:t>
      </w:r>
    </w:p>
    <w:p>
      <w:pPr>
        <w:pStyle w:val="ListBullet"/>
      </w:pPr>
      <w:r>
        <w:rPr>
          <w:b/>
          <w:sz w:val="22"/>
        </w:rPr>
        <w:t>Fit one shared HMM across all assets so regimes are economically consistent.</w:t>
      </w:r>
      <w:r>
        <w:rPr>
          <w:sz w:val="22"/>
        </w:rPr>
        <w:t xml:space="preserve">Panel HMM: </w:t>
      </w:r>
    </w:p>
    <w:p/>
    <w:p>
      <w:pPr>
        <w:pStyle w:val="Heading1"/>
      </w:pPr>
      <w:r>
        <w:rPr>
          <w:color w:val="0070C0"/>
        </w:rPr>
        <w:t>2  Medium-Impact — Improve Statistical Validity</w:t>
      </w:r>
    </w:p>
    <w:p>
      <w:pPr>
        <w:pStyle w:val="Heading2"/>
      </w:pPr>
      <w:r>
        <w:rPr>
          <w:color w:val="1F497D"/>
        </w:rPr>
        <w:t>2.1  Rolling HMM Refit Inside Walk-forward CV</w:t>
      </w:r>
    </w:p>
    <w:p>
      <w:r>
        <w:rPr>
          <w:b w:val="0"/>
          <w:i w:val="0"/>
          <w:sz w:val="22"/>
        </w:rPr>
        <w:t>The HMM is currently fit once on all training data. Regime structure drifts over decades — the 2022 inflation regime is structurally unlike 2000–2019.</w:t>
      </w:r>
    </w:p>
    <w:p>
      <w:pPr>
        <w:pStyle w:val="ListBullet"/>
      </w:pPr>
      <w:r>
        <w:rPr>
          <w:sz w:val="22"/>
        </w:rPr>
        <w:t>Refit the HMM every 252 bars during walk-forward CV to keep regime posteriors fresh.</w:t>
      </w:r>
    </w:p>
    <w:p>
      <w:pPr>
        <w:pStyle w:val="ListBullet"/>
      </w:pPr>
      <w:r>
        <w:rPr>
          <w:sz w:val="22"/>
        </w:rPr>
        <w:t>Track whether regime transition matrices shift over time — this is itself a publishable finding.</w:t>
      </w:r>
    </w:p>
    <w:p>
      <w:pPr>
        <w:pStyle w:val="Heading2"/>
      </w:pPr>
      <w:r>
        <w:rPr>
          <w:color w:val="1F497D"/>
        </w:rPr>
        <w:t>2.2  Separate Direction and Volatility Prediction</w:t>
      </w:r>
    </w:p>
    <w:p>
      <w:r>
        <w:rPr>
          <w:b w:val="0"/>
          <w:i w:val="0"/>
          <w:sz w:val="22"/>
        </w:rPr>
        <w:t>The current target y_vol_norm conflates volatility and direction. FiLM is applied to both simultaneously, diluting the conditioning benefit.</w:t>
      </w:r>
    </w:p>
    <w:p>
      <w:pPr>
        <w:pStyle w:val="ListBullet"/>
      </w:pPr>
      <w:r>
        <w:rPr>
          <w:b/>
          <w:sz w:val="22"/>
        </w:rPr>
        <w:t>Predict signed next-bar return — FiLM helps here if regimes have directional bias.</w:t>
      </w:r>
      <w:r>
        <w:rPr>
          <w:sz w:val="22"/>
        </w:rPr>
        <w:t xml:space="preserve">Model A (direction): </w:t>
      </w:r>
    </w:p>
    <w:p>
      <w:pPr>
        <w:pStyle w:val="ListBullet"/>
      </w:pPr>
      <w:r>
        <w:rPr>
          <w:b/>
          <w:sz w:val="22"/>
        </w:rPr>
        <w:t>Predict realized vol for position sizing — regime-gated Kelly sizing (already in src/backtest/sizing.py).</w:t>
      </w:r>
      <w:r>
        <w:rPr>
          <w:sz w:val="22"/>
        </w:rPr>
        <w:t xml:space="preserve">Model B (volatility): </w:t>
      </w:r>
    </w:p>
    <w:p>
      <w:pPr>
        <w:pStyle w:val="ListBullet"/>
      </w:pPr>
      <w:r>
        <w:rPr>
          <w:b/>
          <w:sz w:val="22"/>
        </w:rPr>
        <w:t>Use Model A for signal, Model B for size — Kelly-lite already supports this decomposition.</w:t>
      </w:r>
      <w:r>
        <w:rPr>
          <w:sz w:val="22"/>
        </w:rPr>
        <w:t xml:space="preserve">Combine: </w:t>
      </w:r>
    </w:p>
    <w:p>
      <w:pPr>
        <w:pStyle w:val="Heading2"/>
      </w:pPr>
      <w:r>
        <w:rPr>
          <w:color w:val="1F497D"/>
        </w:rPr>
        <w:t>2.3  Longer Lookback / Larger Architecture</w:t>
      </w:r>
    </w:p>
    <w:p>
      <w:r>
        <w:rPr>
          <w:b w:val="0"/>
          <w:i w:val="0"/>
          <w:sz w:val="22"/>
        </w:rPr>
        <w:t>Current settings (lookback=60, d_model=128) are conservative for attention-based models.</w:t>
      </w:r>
    </w:p>
    <w:p>
      <w:pPr>
        <w:pStyle w:val="ListBullet"/>
      </w:pPr>
      <w:r>
        <w:rPr>
          <w:b/>
          <w:sz w:val="22"/>
        </w:rPr>
        <w:t>Lets the model observe multiple full regime cycles per sequence.</w:t>
      </w:r>
      <w:r>
        <w:rPr>
          <w:sz w:val="22"/>
        </w:rPr>
        <w:t xml:space="preserve">Try lookback=120–252 days: </w:t>
      </w:r>
    </w:p>
    <w:p>
      <w:pPr>
        <w:pStyle w:val="ListBullet"/>
      </w:pPr>
      <w:r>
        <w:rPr>
          <w:b/>
          <w:sz w:val="22"/>
        </w:rPr>
        <w:t>More capacity for regime-specific feature extraction.</w:t>
      </w:r>
      <w:r>
        <w:rPr>
          <w:sz w:val="22"/>
        </w:rPr>
        <w:t xml:space="preserve">Try d_model=256, n_heads=8: </w:t>
      </w:r>
    </w:p>
    <w:p>
      <w:pPr>
        <w:pStyle w:val="ListBullet"/>
      </w:pPr>
      <w:r>
        <w:rPr>
          <w:b/>
          <w:sz w:val="22"/>
        </w:rPr>
        <w:t>Regime-conditional models benefit from more stable training dynamics.</w:t>
      </w:r>
      <w:r>
        <w:rPr>
          <w:sz w:val="22"/>
        </w:rPr>
        <w:t xml:space="preserve">Apply learning rate warmup + cosine decay: </w:t>
      </w:r>
    </w:p>
    <w:p/>
    <w:p>
      <w:pPr>
        <w:pStyle w:val="Heading1"/>
      </w:pPr>
      <w:r>
        <w:rPr>
          <w:color w:val="008000"/>
        </w:rPr>
        <w:t>3  Quick Wins — Strengthen the Writeup</w:t>
      </w:r>
    </w:p>
    <w:p>
      <w:pPr>
        <w:pStyle w:val="Heading2"/>
      </w:pPr>
      <w:r>
        <w:rPr>
          <w:color w:val="1F497D"/>
        </w:rPr>
        <w:t>3.1  Regime-Gated Kelly Sizing (No Architecture Change)</w:t>
      </w:r>
    </w:p>
    <w:p>
      <w:r>
        <w:rPr>
          <w:b w:val="0"/>
          <w:i w:val="0"/>
          <w:sz w:val="22"/>
        </w:rPr>
        <w:t>A simpler thesis: use regime posteriors only in the Kelly sizing layer — scale down leverage in high-vol-bear regime. This is already implemented in src/backtest/sizing.py via learn_regime_gates.</w:t>
      </w:r>
    </w:p>
    <w:p>
      <w:pPr>
        <w:pStyle w:val="ListBullet"/>
      </w:pPr>
      <w:r>
        <w:rPr>
          <w:sz w:val="22"/>
        </w:rPr>
        <w:t>Run this as an extra ablation row: 'PatchTST + regime-gated sizing'</w:t>
      </w:r>
    </w:p>
    <w:p>
      <w:pPr>
        <w:pStyle w:val="ListBullet"/>
      </w:pPr>
      <w:r>
        <w:rPr>
          <w:sz w:val="22"/>
        </w:rPr>
        <w:t>If this beats plain FiLM, it argues the regime signal helps risk management more than forecasting.</w:t>
      </w:r>
    </w:p>
    <w:p>
      <w:pPr>
        <w:pStyle w:val="Heading2"/>
      </w:pPr>
      <w:r>
        <w:rPr>
          <w:color w:val="1F497D"/>
        </w:rPr>
        <w:t>3.2  Economic Significance Framing</w:t>
      </w:r>
    </w:p>
    <w:p>
      <w:r>
        <w:rPr>
          <w:b w:val="0"/>
          <w:i w:val="0"/>
          <w:sz w:val="22"/>
        </w:rPr>
        <w:t>Buy-and-hold Sharpe of 0.78 is a hard benchmark on SPY. Reframe the comparison on risk-adjusted terms.</w:t>
      </w:r>
    </w:p>
    <w:p>
      <w:pPr>
        <w:pStyle w:val="ListBullet"/>
      </w:pPr>
      <w:r>
        <w:rPr>
          <w:sz w:val="22"/>
        </w:rPr>
        <w:t>Buy-hold max drawdown = 35% vs FiLM's much smaller drawdowns — this IS a real advantage.</w:t>
      </w:r>
    </w:p>
    <w:p>
      <w:pPr>
        <w:pStyle w:val="ListBullet"/>
      </w:pPr>
      <w:r>
        <w:rPr>
          <w:sz w:val="22"/>
        </w:rPr>
        <w:t>Show Conditional Value at Risk (CVaR) at 5% for each model.</w:t>
      </w:r>
    </w:p>
    <w:p>
      <w:pPr>
        <w:pStyle w:val="ListBullet"/>
      </w:pPr>
      <w:r>
        <w:rPr>
          <w:sz w:val="22"/>
        </w:rPr>
        <w:t>Frame the result as: 'regime conditioning reduces tail risk even when it doesn't improve Sharpe'.</w:t>
      </w:r>
    </w:p>
    <w:p>
      <w:pPr>
        <w:pStyle w:val="Heading2"/>
      </w:pPr>
      <w:r>
        <w:rPr>
          <w:color w:val="1F497D"/>
        </w:rPr>
        <w:t>3.3  BTC Robustness Check</w:t>
      </w:r>
    </w:p>
    <w:p>
      <w:r>
        <w:rPr>
          <w:b w:val="0"/>
          <w:i w:val="0"/>
          <w:sz w:val="22"/>
        </w:rPr>
        <w:t>scripts/btc_robustness.py is already written and ready to run. Only the BTC data pipeline is missing.</w:t>
      </w:r>
    </w:p>
    <w:p>
      <w:pPr>
        <w:pStyle w:val="ListBullet"/>
      </w:pPr>
      <w:r>
        <w:rPr>
          <w:sz w:val="22"/>
        </w:rPr>
        <w:t>Run: python scripts/build_features.py data=btc_hourly</w:t>
      </w:r>
    </w:p>
    <w:p>
      <w:pPr>
        <w:pStyle w:val="ListBullet"/>
      </w:pPr>
      <w:r>
        <w:rPr>
          <w:sz w:val="22"/>
        </w:rPr>
        <w:t>Run: python scripts/fit_regimes.py data=btc_hourly</w:t>
      </w:r>
    </w:p>
    <w:p>
      <w:pPr>
        <w:pStyle w:val="ListBullet"/>
      </w:pPr>
      <w:r>
        <w:rPr>
          <w:sz w:val="22"/>
        </w:rPr>
        <w:t>Then: python scripts/btc_robustness.py data=btc_hourly</w:t>
      </w:r>
    </w:p>
    <w:p>
      <w:pPr>
        <w:pStyle w:val="ListBullet"/>
      </w:pPr>
      <w:r>
        <w:rPr>
          <w:sz w:val="22"/>
        </w:rPr>
        <w:t>Claiming cross-asset regime transfer significantly strengthens the capstone narrative.</w:t>
      </w:r>
    </w:p>
    <w:p>
      <w:pPr>
        <w:pStyle w:val="Heading2"/>
      </w:pPr>
      <w:r>
        <w:rPr>
          <w:color w:val="1F497D"/>
        </w:rPr>
        <w:t>3.4  Honest Negative Result Framing</w:t>
      </w:r>
    </w:p>
    <w:p>
      <w:r>
        <w:rPr>
          <w:b w:val="0"/>
          <w:i w:val="0"/>
          <w:sz w:val="22"/>
        </w:rPr>
        <w:t>A well-documented negative result is publishable and respected in quantitative finance. Frame the contribution as:</w:t>
      </w:r>
    </w:p>
    <w:p>
      <w:pPr>
        <w:pStyle w:val="ListBullet"/>
      </w:pPr>
      <w:r>
        <w:rPr>
          <w:sz w:val="22"/>
        </w:rPr>
        <w:t>'We show that HMM-based FiLM conditioning does not improve PatchTST OOS Sharpe on SPY daily data'</w:t>
      </w:r>
    </w:p>
    <w:p>
      <w:pPr>
        <w:pStyle w:val="ListBullet"/>
      </w:pPr>
      <w:r>
        <w:rPr>
          <w:sz w:val="22"/>
        </w:rPr>
        <w:t>'The control model (no regime conditioning) is the stronger architecture in this setting'</w:t>
      </w:r>
    </w:p>
    <w:p>
      <w:pPr>
        <w:pStyle w:val="ListBullet"/>
      </w:pPr>
      <w:r>
        <w:rPr>
          <w:sz w:val="22"/>
        </w:rPr>
        <w:t>'Regime posteriors provide value in position sizing (Kelly gating) but not in feature modulation'</w:t>
      </w:r>
    </w:p>
    <w:p/>
    <w:p>
      <w:pPr>
        <w:pStyle w:val="Heading1"/>
      </w:pPr>
      <w:r>
        <w:rPr>
          <w:color w:val="1F497D"/>
        </w:rPr>
        <w:t>4  Suggested Priority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57"/>
          </w:tcPr>
          <w:p>
            <w:r>
              <w:rPr>
                <w:b/>
              </w:rPr>
              <w:t>Improvement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Expected Gain</w:t>
            </w:r>
          </w:p>
        </w:tc>
        <w:tc>
          <w:tcPr>
            <w:tcW w:type="dxa" w:w="1757"/>
          </w:tcPr>
          <w:p>
            <w:r>
              <w:rPr>
                <w:b/>
              </w:rPr>
              <w:t>Where to start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Regime-gated Kelly sizing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Immediate Sharpe lift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src/backtest/sizing.py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2-state HMM or MSGARCH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Sharper regime signal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src/regimes/hmm.py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Multi-asset (QQQ, TLT, GLD)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Statistical power ↑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scripts/download_data.py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BTC robustness run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Stronger narrative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scripts/btc_robustness.py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Cross-attention vs FiLM ablation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Resolve arch question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src/models/patchtst.py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Rolling HMM refit in CV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Reduce regime staleness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src/features/cv.py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Lookback=120 + d_model=256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Richer temporal context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conf/model/</w:t>
            </w:r>
          </w:p>
        </w:tc>
      </w:tr>
    </w:tbl>
    <w:p/>
    <w:p>
      <w:pPr>
        <w:pStyle w:val="Heading1"/>
      </w:pPr>
      <w:r>
        <w:rPr>
          <w:color w:val="1F497D"/>
        </w:rPr>
        <w:t>5  Key References</w:t>
      </w:r>
    </w:p>
    <w:p>
      <w:pPr>
        <w:pStyle w:val="ListBullet"/>
      </w:pPr>
      <w:r>
        <w:rPr>
          <w:sz w:val="22"/>
        </w:rPr>
        <w:t>Lopez de Prado, M. (2018). Advances in Financial Machine Learning. Wiley.</w:t>
      </w:r>
    </w:p>
    <w:p>
      <w:pPr>
        <w:pStyle w:val="ListBullet"/>
      </w:pPr>
      <w:r>
        <w:rPr>
          <w:sz w:val="22"/>
        </w:rPr>
        <w:t>Bailey, D. &amp; Lopez de Prado, M. (2014). The Deflated Sharpe Ratio. Journal of Portfolio Management.</w:t>
      </w:r>
    </w:p>
    <w:p>
      <w:pPr>
        <w:pStyle w:val="ListBullet"/>
      </w:pPr>
      <w:r>
        <w:rPr>
          <w:sz w:val="22"/>
        </w:rPr>
        <w:t>Zeng, A. et al. (2023). Are Transformers Effective for Time Series Forecasting? (DLinear). AAAI.</w:t>
      </w:r>
    </w:p>
    <w:p>
      <w:pPr>
        <w:pStyle w:val="ListBullet"/>
      </w:pPr>
      <w:r>
        <w:rPr>
          <w:sz w:val="22"/>
        </w:rPr>
        <w:t>Nie, Y. et al. (2023). A Time Series is Worth 64 Words: Long-term Forecasting with Transformers. (PatchTST). ICLR.</w:t>
      </w:r>
    </w:p>
    <w:p>
      <w:pPr>
        <w:pStyle w:val="ListBullet"/>
      </w:pPr>
      <w:r>
        <w:rPr>
          <w:sz w:val="22"/>
        </w:rPr>
        <w:t>Perez, E. et al. (2018). FiLM: Visual Reasoning with a General Conditioning Layer. AAAI.</w:t>
      </w:r>
    </w:p>
    <w:p>
      <w:pPr>
        <w:pStyle w:val="ListBullet"/>
      </w:pPr>
      <w:r>
        <w:rPr>
          <w:sz w:val="22"/>
        </w:rPr>
        <w:t>Haas, M. et al. (2004). A New Approach to Markov-Switching GARCH Models. (MSGARCH). JFEC.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08080"/>
          <w:sz w:val="18"/>
        </w:rPr>
        <w:t>Generated as part of Market Regime Capstone — July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