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36"/>
          <w:szCs w:val="36"/>
        </w:rPr>
        <w:t xml:space="preserve">Determinants of E-Learning Adoption Among Government School Teachers: Evidence from Bhaktapur District, Nepal</w:t>
      </w:r>
    </w:p>
    <w:p>
      <w:pPr>
        <w:spacing w:after="80"/>
        <w:jc w:val="center"/>
      </w:pPr>
      <w:r>
        <w:rPr>
          <w:rFonts w:ascii="Arial" w:cs="Arial" w:eastAsia="Arial" w:hAnsi="Arial"/>
          <w:b/>
          <w:bCs/>
          <w:sz w:val="24"/>
          <w:szCs w:val="24"/>
        </w:rPr>
        <w:t xml:space="preserve">Sanam Sitoula</w:t>
      </w:r>
    </w:p>
    <w:p>
      <w:pPr>
        <w:spacing w:after="80"/>
        <w:jc w:val="center"/>
      </w:pPr>
      <w:r>
        <w:rPr>
          <w:rFonts w:ascii="Arial" w:cs="Arial" w:eastAsia="Arial" w:hAnsi="Arial"/>
          <w:color w:val="4F4F4F"/>
          <w:sz w:val="22"/>
          <w:szCs w:val="22"/>
        </w:rPr>
        <w:t xml:space="preserve">Public Administration Campus, Faculty of Management</w:t>
      </w:r>
    </w:p>
    <w:p>
      <w:pPr>
        <w:spacing w:after="80"/>
        <w:jc w:val="center"/>
      </w:pPr>
      <w:r>
        <w:rPr>
          <w:rFonts w:ascii="Arial" w:cs="Arial" w:eastAsia="Arial" w:hAnsi="Arial"/>
          <w:color w:val="4F4F4F"/>
          <w:sz w:val="22"/>
          <w:szCs w:val="22"/>
        </w:rPr>
        <w:t xml:space="preserve">Tribhuvan University, Balkhu, Kathmandu, Nepal</w:t>
      </w:r>
    </w:p>
    <w:p>
      <w:pPr>
        <w:spacing w:after="80"/>
        <w:jc w:val="center"/>
      </w:pPr>
      <w:r>
        <w:rPr>
          <w:rFonts w:ascii="Arial" w:cs="Arial" w:eastAsia="Arial" w:hAnsi="Arial"/>
          <w:color w:val="2E75B6"/>
          <w:sz w:val="22"/>
          <w:szCs w:val="22"/>
        </w:rPr>
        <w:t xml:space="preserve">Email: sanam.ctaula@gmail.com</w:t>
      </w:r>
    </w:p>
    <w:p>
      <w:pPr>
        <w:spacing w:after="80"/>
        <w:jc w:val="center"/>
      </w:pPr>
      <w:r>
        <w:rPr>
          <w:rFonts w:ascii="Arial" w:cs="Arial" w:eastAsia="Arial" w:hAnsi="Arial"/>
          <w:color w:val="4F4F4F"/>
          <w:sz w:val="22"/>
          <w:szCs w:val="22"/>
        </w:rPr>
        <w:t xml:space="preserve">ORCID: [Placeholder — register at orcid.org]</w:t>
      </w:r>
    </w:p>
    <w:p>
      <w:pPr>
        <w:spacing w:after="80"/>
        <w:jc w:val="center"/>
      </w:pPr>
      <w:r>
        <w:rPr>
          <w:rFonts w:ascii="Arial" w:cs="Arial" w:eastAsia="Arial" w:hAnsi="Arial"/>
          <w:color w:val="4F4F4F"/>
          <w:sz w:val="22"/>
          <w:szCs w:val="22"/>
        </w:rPr>
        <w:t xml:space="preserve">Supervisor: Dr. Mukesh Kumar Bastola</w:t>
      </w:r>
    </w:p>
    <w:p>
      <w:pPr>
        <w:spacing w:after="480"/>
        <w:jc w:val="center"/>
      </w:pPr>
      <w:r>
        <w:rPr>
          <w:rFonts w:ascii="Arial" w:cs="Arial" w:eastAsia="Arial" w:hAnsi="Arial"/>
          <w:color w:val="4F4F4F"/>
          <w:sz w:val="22"/>
          <w:szCs w:val="22"/>
        </w:rPr>
        <w:t xml:space="preserve">January 2026</w:t>
      </w:r>
    </w:p>
    <w:p>
      <w:pPr>
        <w:pageBreakBefore/>
      </w:pPr>
      <w:r>
        <w:t xml:space="preserve"/>
      </w:r>
    </w:p>
    <w:p>
      <w:pPr>
        <w:pStyle w:val="Heading1"/>
        <w:pBdr>
          <w:bottom w:val="single" w:color="2E75B6" w:sz="4" w:space="4"/>
        </w:pBdr>
        <w:spacing w:after="160" w:before="320"/>
      </w:pPr>
      <w:r>
        <w:rPr>
          <w:rFonts w:ascii="Arial" w:cs="Arial" w:eastAsia="Arial" w:hAnsi="Arial"/>
          <w:b/>
          <w:bCs/>
          <w:color w:val="1F3864"/>
          <w:sz w:val="28"/>
          <w:szCs w:val="28"/>
        </w:rPr>
        <w:t xml:space="preserve">Abstract</w:t>
      </w:r>
    </w:p>
    <w:p>
      <w:pPr>
        <w:spacing w:after="160" w:before="0" w:line="360"/>
        <w:jc w:val="both"/>
      </w:pPr>
      <w:r>
        <w:rPr>
          <w:rFonts w:ascii="Arial" w:cs="Arial" w:eastAsia="Arial" w:hAnsi="Arial"/>
          <w:b w:val="false"/>
          <w:bCs w:val="false"/>
          <w:color w:val="000000"/>
          <w:sz w:val="22"/>
          <w:szCs w:val="22"/>
        </w:rPr>
        <w:t xml:space="preserve">Background: The rapid global expansion of digital education has intensified pressure on developing nations to integrate e-learning into public school systems. In Nepal, government schools face persistent challenges including infrastructure deficits, inadequate teacher training, and governance constraints that impede this transition.</w:t>
      </w:r>
    </w:p>
    <w:p>
      <w:pPr>
        <w:spacing w:after="160" w:before="0" w:line="360"/>
        <w:jc w:val="both"/>
      </w:pPr>
      <w:r>
        <w:rPr>
          <w:rFonts w:ascii="Arial" w:cs="Arial" w:eastAsia="Arial" w:hAnsi="Arial"/>
          <w:b w:val="false"/>
          <w:bCs w:val="false"/>
          <w:color w:val="000000"/>
          <w:sz w:val="22"/>
          <w:szCs w:val="22"/>
        </w:rPr>
        <w:t xml:space="preserve">Objective: This study examines the determinants of e-learning adoption among government school teachers in Bhaktapur District, Nepal, with particular attention to three explanatory dimensions: technology infrastructure availability, personnel factors (training, perceived usefulness, and self-efficacy), and institutional governance mechanisms (examination practices and curriculum alignment).</w:t>
      </w:r>
    </w:p>
    <w:p>
      <w:pPr>
        <w:spacing w:after="160" w:before="0" w:line="360"/>
        <w:jc w:val="both"/>
      </w:pPr>
      <w:r>
        <w:rPr>
          <w:rFonts w:ascii="Arial" w:cs="Arial" w:eastAsia="Arial" w:hAnsi="Arial"/>
          <w:b w:val="false"/>
          <w:bCs w:val="false"/>
          <w:color w:val="000000"/>
          <w:sz w:val="22"/>
          <w:szCs w:val="22"/>
        </w:rPr>
        <w:t xml:space="preserve">Methodology: A quantitative, descriptive-analytical research design was employed. Data were collected from 292 government school teachers using structured questionnaires comprising 24 Likert-scale items, 9 demographic items, and 3 open-ended questions. Seven semi-structured interviews were conducted for qualitative triangulation. Analysis was performed in SPSS v26, employing descriptive statistics, Pearson correlation, multiple regression, independent samples t-tests, and one-way ANOVA with post-hoc comparisons.</w:t>
      </w:r>
    </w:p>
    <w:p>
      <w:pPr>
        <w:spacing w:after="160" w:before="0" w:line="360"/>
        <w:jc w:val="both"/>
      </w:pPr>
      <w:r>
        <w:rPr>
          <w:rFonts w:ascii="Arial" w:cs="Arial" w:eastAsia="Arial" w:hAnsi="Arial"/>
          <w:b w:val="false"/>
          <w:bCs w:val="false"/>
          <w:color w:val="000000"/>
          <w:sz w:val="22"/>
          <w:szCs w:val="22"/>
        </w:rPr>
        <w:t xml:space="preserve">Key Findings: The combined regression model explained 65.9% of variance in e-learning adoption (R = 0.812, F = 45.82, p &lt; .001). Personnel factors emerged as the strongest predictor (β = 0.476, p &lt; .001), followed by infrastructure availability (β = 0.289, p = .001) and institutional governance (β = 0.221, p = .004). A critical paradox was identified: teachers demonstrated high motivational readiness (M = 3.78) and strong perceived usefulness of e-learning tools (M = 4.21), yet infrastructure availability remained critically low (M = 2.53). Formal ICT training was severely deficient (M = 2.84). Teaching experience was inversely associated with adoption readiness (F = 3.842, p = .007), while gender and educational qualification did not produce significant differences.</w:t>
      </w:r>
    </w:p>
    <w:p>
      <w:pPr>
        <w:spacing w:after="160" w:before="0" w:line="360"/>
        <w:jc w:val="both"/>
      </w:pPr>
      <w:r>
        <w:rPr>
          <w:rFonts w:ascii="Arial" w:cs="Arial" w:eastAsia="Arial" w:hAnsi="Arial"/>
          <w:b w:val="false"/>
          <w:bCs w:val="false"/>
          <w:color w:val="000000"/>
          <w:sz w:val="22"/>
          <w:szCs w:val="22"/>
        </w:rPr>
        <w:t xml:space="preserve">Conclusion and Implications: E-learning adoption in Bhaktapur's government schools is constrained by a fundamental readiness-resources gap. Policy interventions targeting infrastructure investment, structured in-service ICT training, and governance reform are essential to translate teacher motivation into effective digital practice. Findings contribute to the limited empirical literature on e-learning adoption in South Asian public school contexts and offer actionable guidance for policymakers, school administrators, and curriculum developers.</w:t>
      </w:r>
    </w:p>
    <w:p>
      <w:pPr>
        <w:spacing w:after="80" w:before="160"/>
      </w:pPr>
      <w:r>
        <w:rPr>
          <w:rFonts w:ascii="Arial" w:cs="Arial" w:eastAsia="Arial" w:hAnsi="Arial"/>
          <w:b/>
          <w:bCs/>
          <w:sz w:val="22"/>
          <w:szCs w:val="22"/>
        </w:rPr>
        <w:t xml:space="preserve">Keywords: </w:t>
      </w:r>
      <w:r>
        <w:rPr>
          <w:rFonts w:ascii="Arial" w:cs="Arial" w:eastAsia="Arial" w:hAnsi="Arial"/>
          <w:sz w:val="22"/>
          <w:szCs w:val="22"/>
        </w:rPr>
        <w:t xml:space="preserve">e-learning adoption; technology acceptance; government school teachers; infrastructure barriers; Nepal education policy; TAM; UTAUT; TPACK; digital transformation; Bhaktapur</w:t>
      </w:r>
    </w:p>
    <w:p>
      <w:pPr>
        <w:pStyle w:val="Heading1"/>
        <w:pBdr>
          <w:bottom w:val="single" w:color="2E75B6" w:sz="4" w:space="4"/>
        </w:pBdr>
        <w:spacing w:after="160" w:before="320"/>
      </w:pPr>
      <w:r>
        <w:rPr>
          <w:rFonts w:ascii="Arial" w:cs="Arial" w:eastAsia="Arial" w:hAnsi="Arial"/>
          <w:b/>
          <w:bCs/>
          <w:color w:val="1F3864"/>
          <w:sz w:val="28"/>
          <w:szCs w:val="28"/>
        </w:rPr>
        <w:t xml:space="preserve">1. Introduction</w:t>
      </w:r>
    </w:p>
    <w:p>
      <w:pPr>
        <w:spacing w:after="160" w:before="0" w:line="360"/>
        <w:jc w:val="both"/>
      </w:pPr>
      <w:r>
        <w:rPr>
          <w:rFonts w:ascii="Arial" w:cs="Arial" w:eastAsia="Arial" w:hAnsi="Arial"/>
          <w:b w:val="false"/>
          <w:bCs w:val="false"/>
          <w:color w:val="000000"/>
          <w:sz w:val="22"/>
          <w:szCs w:val="22"/>
        </w:rPr>
        <w:t xml:space="preserve">The integration of digital technologies into educational systems has emerged as a defining priority for governments worldwide, particularly in the post-COVID-19 era when remote learning exposed profound structural inequalities across educational contexts (UNESCO, 2021). For low- and middle-income countries, e-learning presents a paradoxical opportunity: the same digital tools that can bridge geographical and resource divides require precisely the infrastructure and institutional capacity that these systems most critically lack.</w:t>
      </w:r>
    </w:p>
    <w:p>
      <w:pPr>
        <w:spacing w:after="160" w:before="0" w:line="360"/>
        <w:jc w:val="both"/>
      </w:pPr>
      <w:r>
        <w:rPr>
          <w:rFonts w:ascii="Arial" w:cs="Arial" w:eastAsia="Arial" w:hAnsi="Arial"/>
          <w:b w:val="false"/>
          <w:bCs w:val="false"/>
          <w:color w:val="000000"/>
          <w:sz w:val="22"/>
          <w:szCs w:val="22"/>
        </w:rPr>
        <w:t xml:space="preserve">Nepal illustrates this paradox acutely. The country's federal education framework, distributed across national, provincial, and local governance tiers, has increasingly incorporated e-learning as a strategic priority within successive sector plans, including the School Sector Reform Plan (SSRP, 2009–2015) and School Sector Development Plan (SSDP, 2016–2023). Yet implementation has remained fragmented. Disparities between urban private schools and rural government institutions are stark: while metropolitan schools increasingly access digital infrastructure and trained personnel, government schools in districts such as Bhaktapur continue to grapple with hardware shortages, intermittent connectivity, and limited professional development (World Bank, 2021; Paudel, 2022).</w:t>
      </w:r>
    </w:p>
    <w:p>
      <w:pPr>
        <w:spacing w:after="160" w:before="0" w:line="360"/>
        <w:jc w:val="both"/>
      </w:pPr>
      <w:r>
        <w:rPr>
          <w:rFonts w:ascii="Arial" w:cs="Arial" w:eastAsia="Arial" w:hAnsi="Arial"/>
          <w:b w:val="false"/>
          <w:bCs w:val="false"/>
          <w:color w:val="000000"/>
          <w:sz w:val="22"/>
          <w:szCs w:val="22"/>
        </w:rPr>
        <w:t xml:space="preserve">This study focuses on Bhaktapur District—a peri-urban district in Bagmati Province with 1,187 government school teachers—to investigate the determinants of e-learning adoption at the classroom level. The research is theoretically grounded in three complementary frameworks: Davis's (1989) Technology Acceptance Model (TAM), Venkatesh et al.'s (2003) Unified Theory of Acceptance and Use of Technology (UTAUT), and Mishra and Koehler's (2006) Technological Pedagogical Content Knowledge (TPACK) model. These frameworks collectively inform a multi-dimensional model in which infrastructure availability, personnel factors, and institutional governance jointly predict adoption behaviour.</w:t>
      </w:r>
    </w:p>
    <w:p>
      <w:pPr>
        <w:spacing w:after="160" w:before="0" w:line="360"/>
        <w:jc w:val="both"/>
      </w:pPr>
      <w:r>
        <w:rPr>
          <w:rFonts w:ascii="Arial" w:cs="Arial" w:eastAsia="Arial" w:hAnsi="Arial"/>
          <w:b w:val="false"/>
          <w:bCs w:val="false"/>
          <w:color w:val="000000"/>
          <w:sz w:val="22"/>
          <w:szCs w:val="22"/>
        </w:rPr>
        <w:t xml:space="preserve">A critical gap motivates this inquiry. Existing Nepalese studies of e-learning adoption have disproportionately focused on higher education and urban contexts (Rana et al., 2019; Adhikari, 2024). The specific constraints confronting government school teachers—particularly the intersection of governance mechanisms (examination practices, curriculum alignment, policy directives) and classroom-level adoption—remain underexplored. Furthermore, the role of Nepal's predominantly summative, paper-based examination culture as a structural inhibitor of digital pedagogy has received scant empirical attention.</w:t>
      </w:r>
    </w:p>
    <w:p>
      <w:pPr>
        <w:spacing w:after="160" w:before="0" w:line="360"/>
        <w:jc w:val="both"/>
      </w:pPr>
      <w:r>
        <w:rPr>
          <w:rFonts w:ascii="Arial" w:cs="Arial" w:eastAsia="Arial" w:hAnsi="Arial"/>
          <w:b w:val="false"/>
          <w:bCs w:val="false"/>
          <w:color w:val="000000"/>
          <w:sz w:val="22"/>
          <w:szCs w:val="22"/>
        </w:rPr>
        <w:t xml:space="preserve">This study addresses three primary research objectives: (1) to assess infrastructure availability in government schools supporting e-learning adoption; (2) to analyse personnel factors influencing teacher readiness; and (3) to examine institutional governance mechanisms and their alignment with digital assessment reform. It also tests whether adoption differs across demographic characteristics (gender, teaching experience, educational qualification). By generating contextually grounded, quantitative evidence from 292 government school teachers, the study contributes to the empirical literature on e-learning in developing country public school systems and provides an evidence base for targeted policy reform.</w:t>
      </w:r>
    </w:p>
    <w:p>
      <w:pPr>
        <w:pStyle w:val="Heading1"/>
        <w:pBdr>
          <w:bottom w:val="single" w:color="2E75B6" w:sz="4" w:space="4"/>
        </w:pBdr>
        <w:spacing w:after="160" w:before="320"/>
      </w:pPr>
      <w:r>
        <w:rPr>
          <w:rFonts w:ascii="Arial" w:cs="Arial" w:eastAsia="Arial" w:hAnsi="Arial"/>
          <w:b/>
          <w:bCs/>
          <w:color w:val="1F3864"/>
          <w:sz w:val="28"/>
          <w:szCs w:val="28"/>
        </w:rPr>
        <w:t xml:space="preserve">2. Literature Review</w:t>
      </w:r>
    </w:p>
    <w:p>
      <w:pPr>
        <w:pStyle w:val="Heading2"/>
        <w:spacing w:after="120" w:before="240"/>
      </w:pPr>
      <w:r>
        <w:rPr>
          <w:rFonts w:ascii="Arial" w:cs="Arial" w:eastAsia="Arial" w:hAnsi="Arial"/>
          <w:b/>
          <w:bCs/>
          <w:color w:val="2E75B6"/>
          <w:sz w:val="24"/>
          <w:szCs w:val="24"/>
        </w:rPr>
        <w:t xml:space="preserve">2.1 E-Learning and Teacher Adoption in Global Context</w:t>
      </w:r>
    </w:p>
    <w:p>
      <w:pPr>
        <w:spacing w:after="160" w:before="0" w:line="360"/>
        <w:jc w:val="both"/>
      </w:pPr>
      <w:r>
        <w:rPr>
          <w:rFonts w:ascii="Arial" w:cs="Arial" w:eastAsia="Arial" w:hAnsi="Arial"/>
          <w:b w:val="false"/>
          <w:bCs w:val="false"/>
          <w:color w:val="000000"/>
          <w:sz w:val="22"/>
          <w:szCs w:val="22"/>
        </w:rPr>
        <w:t xml:space="preserve">E-learning, broadly understood as technology-mediated learning supported by digital platforms, multimedia tools, and internet connectivity, has transformed educational delivery across institutional levels (Wangdi et al., 2023). The transition from static computer-assisted instruction toward interactive, networked learning environments has accelerated markedly since 2010, driven by declining hardware costs, mobile penetration, and the proliferation of open educational resources (UNESCO, 2020).</w:t>
      </w:r>
    </w:p>
    <w:p>
      <w:pPr>
        <w:spacing w:after="160" w:before="0" w:line="360"/>
        <w:jc w:val="both"/>
      </w:pPr>
      <w:r>
        <w:rPr>
          <w:rFonts w:ascii="Arial" w:cs="Arial" w:eastAsia="Arial" w:hAnsi="Arial"/>
          <w:b w:val="false"/>
          <w:bCs w:val="false"/>
          <w:color w:val="000000"/>
          <w:sz w:val="22"/>
          <w:szCs w:val="22"/>
        </w:rPr>
        <w:t xml:space="preserve">In developed country contexts, e-learning adoption by teachers is influenced primarily by attitudinal and competency-related factors, as infrastructure and connectivity are generally assumed (Al-Fraihat et al., 2020). In developing country contexts, however, infrastructure constraints operate as primary barriers, often overwhelming otherwise positive attitudinal dispositions (Kebritchi, 2017). Research across Sub-Saharan Africa and South Asia consistently identifies hardware scarcity, unreliable electricity, and inadequate technical support as primary structural inhibitors (UNESCO, 2020; World Bank, 2021). In such environments, governance mechanisms—particularly policy coherence, institutional leadership, and alignment between curriculum frameworks and assessment practices—function as critical moderators of adoption (Al-Fraihat et al., 2020).</w:t>
      </w:r>
    </w:p>
    <w:p>
      <w:pPr>
        <w:pStyle w:val="Heading2"/>
        <w:spacing w:after="120" w:before="240"/>
      </w:pPr>
      <w:r>
        <w:rPr>
          <w:rFonts w:ascii="Arial" w:cs="Arial" w:eastAsia="Arial" w:hAnsi="Arial"/>
          <w:b/>
          <w:bCs/>
          <w:color w:val="2E75B6"/>
          <w:sz w:val="24"/>
          <w:szCs w:val="24"/>
        </w:rPr>
        <w:t xml:space="preserve">2.2 Theoretical Frameworks</w:t>
      </w:r>
    </w:p>
    <w:p>
      <w:pPr>
        <w:pStyle w:val="Heading3"/>
        <w:spacing w:after="80" w:before="180"/>
      </w:pPr>
      <w:r>
        <w:rPr>
          <w:rFonts w:ascii="Arial" w:cs="Arial" w:eastAsia="Arial" w:hAnsi="Arial"/>
          <w:b/>
          <w:bCs/>
          <w:color w:val="4F4F4F"/>
          <w:sz w:val="22"/>
          <w:szCs w:val="22"/>
        </w:rPr>
        <w:t xml:space="preserve">2.2.1 Technology Acceptance Model (TAM)</w:t>
      </w:r>
    </w:p>
    <w:p>
      <w:pPr>
        <w:spacing w:after="160" w:before="0" w:line="360"/>
        <w:jc w:val="both"/>
      </w:pPr>
      <w:r>
        <w:rPr>
          <w:rFonts w:ascii="Arial" w:cs="Arial" w:eastAsia="Arial" w:hAnsi="Arial"/>
          <w:b w:val="false"/>
          <w:bCs w:val="false"/>
          <w:color w:val="000000"/>
          <w:sz w:val="22"/>
          <w:szCs w:val="22"/>
        </w:rPr>
        <w:t xml:space="preserve">Davis et al.'s (1989) TAM remains the most widely applied framework for studying technology adoption in educational settings. The model posits that Perceived Usefulness (PU)—the degree to which users believe technology enhances performance—and Perceived Ease of Use (PEOU)—the degree to which use is perceived as effort-free—jointly determine Behavioural Intention (BI) to use technology. Both constructs derive from the Theory of Reasoned Action and have demonstrated robust predictive validity across cultural and institutional contexts (Venkatesh &amp; Davis, 2000). In the e-learning literature, TAM has been extensively validated in teacher populations, with perceived usefulness emerging as the consistently stronger predictor of adoption intention (Al-Fraihat et al., 2020).</w:t>
      </w:r>
    </w:p>
    <w:p>
      <w:pPr>
        <w:pStyle w:val="Heading3"/>
        <w:spacing w:after="80" w:before="180"/>
      </w:pPr>
      <w:r>
        <w:rPr>
          <w:rFonts w:ascii="Arial" w:cs="Arial" w:eastAsia="Arial" w:hAnsi="Arial"/>
          <w:b/>
          <w:bCs/>
          <w:color w:val="4F4F4F"/>
          <w:sz w:val="22"/>
          <w:szCs w:val="22"/>
        </w:rPr>
        <w:t xml:space="preserve">2.2.2 Unified Theory of Acceptance and Use of Technology (UTAUT)</w:t>
      </w:r>
    </w:p>
    <w:p>
      <w:pPr>
        <w:spacing w:after="160" w:before="0" w:line="360"/>
        <w:jc w:val="both"/>
      </w:pPr>
      <w:r>
        <w:rPr>
          <w:rFonts w:ascii="Arial" w:cs="Arial" w:eastAsia="Arial" w:hAnsi="Arial"/>
          <w:b w:val="false"/>
          <w:bCs w:val="false"/>
          <w:color w:val="000000"/>
          <w:sz w:val="22"/>
          <w:szCs w:val="22"/>
        </w:rPr>
        <w:t xml:space="preserve">Venkatesh et al. (2003) extended TAM by synthesising eight prior technology acceptance theories into the UTAUT model, identifying four core determinants of adoption: Performance Expectancy, Effort Expectancy, Social Influence, and Facilitating Conditions. The Facilitating Conditions construct—representing the technical and organisational support structures enabling technology use—is particularly relevant to government school contexts, where the availability of reliable hardware, connectivity, and technical personnel constitutes the foundational precondition for adoption (Venkatesh et al., 2016). In low-resource environments, facilitating conditions have been shown to exert a stronger direct effect on adoption than attitudinal predictors alone (Wangdi et al., 2023).</w:t>
      </w:r>
    </w:p>
    <w:p>
      <w:pPr>
        <w:pStyle w:val="Heading3"/>
        <w:spacing w:after="80" w:before="180"/>
      </w:pPr>
      <w:r>
        <w:rPr>
          <w:rFonts w:ascii="Arial" w:cs="Arial" w:eastAsia="Arial" w:hAnsi="Arial"/>
          <w:b/>
          <w:bCs/>
          <w:color w:val="4F4F4F"/>
          <w:sz w:val="22"/>
          <w:szCs w:val="22"/>
        </w:rPr>
        <w:t xml:space="preserve">2.2.3 Technological Pedagogical Content Knowledge (TPACK)</w:t>
      </w:r>
    </w:p>
    <w:p>
      <w:pPr>
        <w:spacing w:after="160" w:before="0" w:line="360"/>
        <w:jc w:val="both"/>
      </w:pPr>
      <w:r>
        <w:rPr>
          <w:rFonts w:ascii="Arial" w:cs="Arial" w:eastAsia="Arial" w:hAnsi="Arial"/>
          <w:b w:val="false"/>
          <w:bCs w:val="false"/>
          <w:color w:val="000000"/>
          <w:sz w:val="22"/>
          <w:szCs w:val="22"/>
        </w:rPr>
        <w:t xml:space="preserve">Mishra and Koehler's (2006) TPACK framework addresses the knowledge intersections necessary for technology-integrated teaching: Content Knowledge (CK), Pedagogical Knowledge (PK), and Technology Knowledge (TK). Effective technology integration requires not merely technical competence but the capacity to deploy technology in pedagogically appropriate, content-specific ways. Research confirms that TPACK competence significantly mediates the relationship between technology access and effective instructional use (Wangdi et al., 2023; Koehler, 2013). The training deficit dimension identified in the present study—adequate formal ICT training remains severely lacking—directly reflects a TPACK development gap that institutional professional development programs must address.</w:t>
      </w:r>
    </w:p>
    <w:p>
      <w:pPr>
        <w:pStyle w:val="Heading2"/>
        <w:spacing w:after="120" w:before="240"/>
      </w:pPr>
      <w:r>
        <w:rPr>
          <w:rFonts w:ascii="Arial" w:cs="Arial" w:eastAsia="Arial" w:hAnsi="Arial"/>
          <w:b/>
          <w:bCs/>
          <w:color w:val="2E75B6"/>
          <w:sz w:val="24"/>
          <w:szCs w:val="24"/>
        </w:rPr>
        <w:t xml:space="preserve">2.3 Contextual Literature: Nepal</w:t>
      </w:r>
    </w:p>
    <w:p>
      <w:pPr>
        <w:spacing w:after="160" w:before="0" w:line="360"/>
        <w:jc w:val="both"/>
      </w:pPr>
      <w:r>
        <w:rPr>
          <w:rFonts w:ascii="Arial" w:cs="Arial" w:eastAsia="Arial" w:hAnsi="Arial"/>
          <w:b w:val="false"/>
          <w:bCs w:val="false"/>
          <w:color w:val="000000"/>
          <w:sz w:val="22"/>
          <w:szCs w:val="22"/>
        </w:rPr>
        <w:t xml:space="preserve">Nepal's e-learning landscape is characterised by a persistent tension between policy ambition and implementation capacity. The ICT in Education Master Plan 2013–2017, SSRP, and SSDP all articulate commitments to digital integration; however, implementation has been constrained by budget shortfalls, decentralisation-induced coordination gaps, and limited teacher training infrastructure (Rana et al., 2019; MOE, 2016). Adhikari's (2024) study of ICT use among secondary mathematics teachers in Kathmandu found that while teacher confidence was moderate (M = 4.05 for ICT self-efficacy), access to hardware was severely deficient, with 100% of respondents reporting insufficient internet-connected computers. Koirala (2023) similarly documented that slow internet, irregular power supply, and device scarcity constituted primary barriers during COVID-19 remote teaching episodes.</w:t>
      </w:r>
    </w:p>
    <w:p>
      <w:pPr>
        <w:spacing w:after="160" w:before="0" w:line="360"/>
        <w:jc w:val="both"/>
      </w:pPr>
      <w:r>
        <w:rPr>
          <w:rFonts w:ascii="Arial" w:cs="Arial" w:eastAsia="Arial" w:hAnsi="Arial"/>
          <w:b w:val="false"/>
          <w:bCs w:val="false"/>
          <w:color w:val="000000"/>
          <w:sz w:val="22"/>
          <w:szCs w:val="22"/>
        </w:rPr>
        <w:t xml:space="preserve">The governance dimension is equally significant. Nepal's examination system, governed by the National Examinations Board (NEB), remains predominantly summative, paper-based, and rote-memorisation-oriented at Grade 10 and 12 levels. As Poyck et al. (2016) note, this examination culture creates a systemic disincentive for teachers to invest in competency-based or digital pedagogies, since instructional methods are functionally aligned with terminal examination formats. The Continuous Assessment System (CAS) introduced in 2009 has been weakly implemented, with many teachers treating it as an administrative record-keeping exercise rather than a formative learning tool (MOE, 2016). This governance-pedagogy misalignment represents a critical structural barrier not adequately addressed in existing literature.</w:t>
      </w:r>
    </w:p>
    <w:p>
      <w:pPr>
        <w:pStyle w:val="Heading2"/>
        <w:spacing w:after="120" w:before="240"/>
      </w:pPr>
      <w:r>
        <w:rPr>
          <w:rFonts w:ascii="Arial" w:cs="Arial" w:eastAsia="Arial" w:hAnsi="Arial"/>
          <w:b/>
          <w:bCs/>
          <w:color w:val="2E75B6"/>
          <w:sz w:val="24"/>
          <w:szCs w:val="24"/>
        </w:rPr>
        <w:t xml:space="preserve">2.4 Research Gap</w:t>
      </w:r>
    </w:p>
    <w:p>
      <w:pPr>
        <w:spacing w:after="160" w:before="0" w:line="360"/>
        <w:jc w:val="both"/>
      </w:pPr>
      <w:r>
        <w:rPr>
          <w:rFonts w:ascii="Arial" w:cs="Arial" w:eastAsia="Arial" w:hAnsi="Arial"/>
          <w:b w:val="false"/>
          <w:bCs w:val="false"/>
          <w:color w:val="000000"/>
          <w:sz w:val="22"/>
          <w:szCs w:val="22"/>
        </w:rPr>
        <w:t xml:space="preserve">Three gaps motivate the present study. First, empirical studies of e-learning adoption in Nepal have concentrated disproportionately on higher education and urban private school contexts, leaving government school teachers—who constitute the large majority of the teaching force—underrepresented in the evidence base. Second, existing studies treat infrastructure, personnel factors, and governance as discrete constructs; integrated multi-dimensional models examining their combined predictive power are rare in the Nepalese context. Third, the specific role of examination governance and summative assessment culture as structural inhibitors of digital pedagogy adoption has not been empirically quantified. The present study addresses all three gaps through a systematic quantitative investigation of 292 government school teachers in Bhaktapur District.</w:t>
      </w:r>
    </w:p>
    <w:p>
      <w:pPr>
        <w:pStyle w:val="Heading1"/>
        <w:pBdr>
          <w:bottom w:val="single" w:color="2E75B6" w:sz="4" w:space="4"/>
        </w:pBdr>
        <w:spacing w:after="160" w:before="320"/>
      </w:pPr>
      <w:r>
        <w:rPr>
          <w:rFonts w:ascii="Arial" w:cs="Arial" w:eastAsia="Arial" w:hAnsi="Arial"/>
          <w:b/>
          <w:bCs/>
          <w:color w:val="1F3864"/>
          <w:sz w:val="28"/>
          <w:szCs w:val="28"/>
        </w:rPr>
        <w:t xml:space="preserve">3. Conceptual Framework and Hypotheses</w:t>
      </w:r>
    </w:p>
    <w:p>
      <w:pPr>
        <w:spacing w:after="160" w:before="0" w:line="360"/>
        <w:jc w:val="both"/>
      </w:pPr>
      <w:r>
        <w:rPr>
          <w:rFonts w:ascii="Arial" w:cs="Arial" w:eastAsia="Arial" w:hAnsi="Arial"/>
          <w:b w:val="false"/>
          <w:bCs w:val="false"/>
          <w:color w:val="000000"/>
          <w:sz w:val="22"/>
          <w:szCs w:val="22"/>
        </w:rPr>
        <w:t xml:space="preserve">The study's conceptual framework positions e-learning adoption as the dependent variable, determined by three independent variable clusters grounded in TAM, UTAUT, and TPACK: (1) Infrastructure Availability, operationalised as the availability of ICT equipment, digital resources, technical support, and institutional funding; (2) Personnel Factors, encompassing teacher training, perceived usefulness, ease of use, motivation, self-efficacy, and digital competence; and (3) Institutional Governance, measured through current examination practices and alignment with competency-based digital assessment frameworks.</w:t>
      </w:r>
    </w:p>
    <w:p>
      <w:pPr>
        <w:spacing w:after="160" w:before="0" w:line="360"/>
        <w:jc w:val="both"/>
      </w:pPr>
      <w:r>
        <w:rPr>
          <w:rFonts w:ascii="Arial" w:cs="Arial" w:eastAsia="Arial" w:hAnsi="Arial"/>
          <w:b w:val="false"/>
          <w:bCs w:val="false"/>
          <w:color w:val="000000"/>
          <w:sz w:val="22"/>
          <w:szCs w:val="22"/>
        </w:rPr>
        <w:t xml:space="preserve">Demographic characteristics (gender, teaching experience, educational qualification) were examined as moderating variables. The integrated framework recognises that infrastructure provision creates the enabling environment for adoption, personnel factors translate access into motivation and competence, and governance structures determine whether institutional incentive structures support or constrain digital pedagogical practice. The following hypotheses were tested:</w:t>
      </w:r>
    </w:p>
    <w:p>
      <w:pPr>
        <w:pStyle w:val="ListParagraph"/>
        <w:numPr>
          <w:ilvl w:val="0"/>
          <w:numId w:val="2"/>
        </w:numPr>
        <w:spacing w:after="40" w:before="40" w:line="320"/>
      </w:pPr>
      <w:r>
        <w:rPr>
          <w:rFonts w:ascii="Arial" w:cs="Arial" w:eastAsia="Arial" w:hAnsi="Arial"/>
          <w:sz w:val="22"/>
          <w:szCs w:val="22"/>
        </w:rPr>
        <w:t xml:space="preserve">H1: Infrastructure availability significantly and positively influences teachers' e-learning adoption.</w:t>
      </w:r>
    </w:p>
    <w:p>
      <w:pPr>
        <w:pStyle w:val="ListParagraph"/>
        <w:numPr>
          <w:ilvl w:val="0"/>
          <w:numId w:val="2"/>
        </w:numPr>
        <w:spacing w:after="40" w:before="40" w:line="320"/>
      </w:pPr>
      <w:r>
        <w:rPr>
          <w:rFonts w:ascii="Arial" w:cs="Arial" w:eastAsia="Arial" w:hAnsi="Arial"/>
          <w:sz w:val="22"/>
          <w:szCs w:val="22"/>
        </w:rPr>
        <w:t xml:space="preserve">H2: Personnel factors (perceived usefulness, training, self-efficacy) significantly and positively influence teachers' e-learning adoption.</w:t>
      </w:r>
    </w:p>
    <w:p>
      <w:pPr>
        <w:pStyle w:val="ListParagraph"/>
        <w:numPr>
          <w:ilvl w:val="0"/>
          <w:numId w:val="2"/>
        </w:numPr>
        <w:spacing w:after="40" w:before="40" w:line="320"/>
      </w:pPr>
      <w:r>
        <w:rPr>
          <w:rFonts w:ascii="Arial" w:cs="Arial" w:eastAsia="Arial" w:hAnsi="Arial"/>
          <w:sz w:val="22"/>
          <w:szCs w:val="22"/>
        </w:rPr>
        <w:t xml:space="preserve">H3: Institutional governance mechanisms significantly and positively influence e-learning adoption.</w:t>
      </w:r>
    </w:p>
    <w:p>
      <w:pPr>
        <w:pStyle w:val="ListParagraph"/>
        <w:numPr>
          <w:ilvl w:val="0"/>
          <w:numId w:val="2"/>
        </w:numPr>
        <w:spacing w:after="40" w:before="40" w:line="320"/>
      </w:pPr>
      <w:r>
        <w:rPr>
          <w:rFonts w:ascii="Arial" w:cs="Arial" w:eastAsia="Arial" w:hAnsi="Arial"/>
          <w:sz w:val="22"/>
          <w:szCs w:val="22"/>
        </w:rPr>
        <w:t xml:space="preserve">H4: Infrastructure availability, personnel factors, and governance collectively and significantly predict e-learning adoption.</w:t>
      </w:r>
    </w:p>
    <w:p>
      <w:pPr>
        <w:pStyle w:val="ListParagraph"/>
        <w:numPr>
          <w:ilvl w:val="0"/>
          <w:numId w:val="2"/>
        </w:numPr>
        <w:spacing w:after="40" w:before="40" w:line="320"/>
      </w:pPr>
      <w:r>
        <w:rPr>
          <w:rFonts w:ascii="Arial" w:cs="Arial" w:eastAsia="Arial" w:hAnsi="Arial"/>
          <w:sz w:val="22"/>
          <w:szCs w:val="22"/>
        </w:rPr>
        <w:t xml:space="preserve">H5a: E-learning adoption differs significantly by gender.</w:t>
      </w:r>
    </w:p>
    <w:p>
      <w:pPr>
        <w:pStyle w:val="ListParagraph"/>
        <w:numPr>
          <w:ilvl w:val="0"/>
          <w:numId w:val="2"/>
        </w:numPr>
        <w:spacing w:after="40" w:before="40" w:line="320"/>
      </w:pPr>
      <w:r>
        <w:rPr>
          <w:rFonts w:ascii="Arial" w:cs="Arial" w:eastAsia="Arial" w:hAnsi="Arial"/>
          <w:sz w:val="22"/>
          <w:szCs w:val="22"/>
        </w:rPr>
        <w:t xml:space="preserve">H5b: E-learning adoption differs significantly by teaching experience level.</w:t>
      </w:r>
    </w:p>
    <w:p>
      <w:pPr>
        <w:pStyle w:val="ListParagraph"/>
        <w:numPr>
          <w:ilvl w:val="0"/>
          <w:numId w:val="2"/>
        </w:numPr>
        <w:spacing w:after="40" w:before="40" w:line="320"/>
      </w:pPr>
      <w:r>
        <w:rPr>
          <w:rFonts w:ascii="Arial" w:cs="Arial" w:eastAsia="Arial" w:hAnsi="Arial"/>
          <w:sz w:val="22"/>
          <w:szCs w:val="22"/>
        </w:rPr>
        <w:t xml:space="preserve">H5c: E-learning adoption differs significantly by educational qualification level.</w:t>
      </w:r>
    </w:p>
    <w:p>
      <w:pPr>
        <w:pStyle w:val="Heading1"/>
        <w:pBdr>
          <w:bottom w:val="single" w:color="2E75B6" w:sz="4" w:space="4"/>
        </w:pBdr>
        <w:spacing w:after="160" w:before="320"/>
      </w:pPr>
      <w:r>
        <w:rPr>
          <w:rFonts w:ascii="Arial" w:cs="Arial" w:eastAsia="Arial" w:hAnsi="Arial"/>
          <w:b/>
          <w:bCs/>
          <w:color w:val="1F3864"/>
          <w:sz w:val="28"/>
          <w:szCs w:val="28"/>
        </w:rPr>
        <w:t xml:space="preserve">4. Research Methodology</w:t>
      </w:r>
    </w:p>
    <w:p>
      <w:pPr>
        <w:pStyle w:val="Heading2"/>
        <w:spacing w:after="120" w:before="240"/>
      </w:pPr>
      <w:r>
        <w:rPr>
          <w:rFonts w:ascii="Arial" w:cs="Arial" w:eastAsia="Arial" w:hAnsi="Arial"/>
          <w:b/>
          <w:bCs/>
          <w:color w:val="2E75B6"/>
          <w:sz w:val="24"/>
          <w:szCs w:val="24"/>
        </w:rPr>
        <w:t xml:space="preserve">4.1 Research Design</w:t>
      </w:r>
    </w:p>
    <w:p>
      <w:pPr>
        <w:spacing w:after="160" w:before="0" w:line="360"/>
        <w:jc w:val="both"/>
      </w:pPr>
      <w:r>
        <w:rPr>
          <w:rFonts w:ascii="Arial" w:cs="Arial" w:eastAsia="Arial" w:hAnsi="Arial"/>
          <w:b w:val="false"/>
          <w:bCs w:val="false"/>
          <w:color w:val="000000"/>
          <w:sz w:val="22"/>
          <w:szCs w:val="22"/>
        </w:rPr>
        <w:t xml:space="preserve">A quantitative, descriptive-analytical research design was employed, consistent with the study's objective of measuring the magnitude and direction of relationships between e-learning adoption and its proposed determinants. A qualitative component—comprising open-ended survey items and semi-structured teacher interviews—served a supplementary, explanatory function to contextualise and triangulate quantitative findings.</w:t>
      </w:r>
    </w:p>
    <w:p>
      <w:pPr>
        <w:pStyle w:val="Heading2"/>
        <w:spacing w:after="120" w:before="240"/>
      </w:pPr>
      <w:r>
        <w:rPr>
          <w:rFonts w:ascii="Arial" w:cs="Arial" w:eastAsia="Arial" w:hAnsi="Arial"/>
          <w:b/>
          <w:bCs/>
          <w:color w:val="2E75B6"/>
          <w:sz w:val="24"/>
          <w:szCs w:val="24"/>
        </w:rPr>
        <w:t xml:space="preserve">4.2 Population and Sample</w:t>
      </w:r>
    </w:p>
    <w:p>
      <w:pPr>
        <w:spacing w:after="160" w:before="0" w:line="360"/>
        <w:jc w:val="both"/>
      </w:pPr>
      <w:r>
        <w:rPr>
          <w:rFonts w:ascii="Arial" w:cs="Arial" w:eastAsia="Arial" w:hAnsi="Arial"/>
          <w:b w:val="false"/>
          <w:bCs w:val="false"/>
          <w:color w:val="000000"/>
          <w:sz w:val="22"/>
          <w:szCs w:val="22"/>
        </w:rPr>
        <w:t xml:space="preserve">The target population comprised all 1,187 government school teachers in Bhaktapur District (Education Development and Coordination Unit [EDCU], 2024). A representative sample of 292 teachers was determined using Cochran's (1977) formula for finite populations at 95% confidence, 50% maximum variability, and 5% margin of error. Convenience sampling was employed due to access constraints, with deliberate diversity across age groups, experience levels, subject specialisations, and school types. All data were collected on-site between December 19–24, 2024, yielding a 100% completion rate.</w:t>
      </w:r>
    </w:p>
    <w:p>
      <w:pPr>
        <w:pStyle w:val="Heading2"/>
        <w:spacing w:after="120" w:before="240"/>
      </w:pPr>
      <w:r>
        <w:rPr>
          <w:rFonts w:ascii="Arial" w:cs="Arial" w:eastAsia="Arial" w:hAnsi="Arial"/>
          <w:b/>
          <w:bCs/>
          <w:color w:val="2E75B6"/>
          <w:sz w:val="24"/>
          <w:szCs w:val="24"/>
        </w:rPr>
        <w:t xml:space="preserve">4.3 Instrument</w:t>
      </w:r>
    </w:p>
    <w:p>
      <w:pPr>
        <w:spacing w:after="160" w:before="0" w:line="360"/>
        <w:jc w:val="both"/>
      </w:pPr>
      <w:r>
        <w:rPr>
          <w:rFonts w:ascii="Arial" w:cs="Arial" w:eastAsia="Arial" w:hAnsi="Arial"/>
          <w:b w:val="false"/>
          <w:bCs w:val="false"/>
          <w:color w:val="000000"/>
          <w:sz w:val="22"/>
          <w:szCs w:val="22"/>
        </w:rPr>
        <w:t xml:space="preserve">A structured questionnaire was administered in both Nepali and English. The instrument comprised: 24 closed-ended Likert-scale items (1 = Strongly Disagree to 5 = Strongly Agree) measuring infrastructure availability (8 items), personnel factors (8 items), and examination practices/governance (8 items); 9 demographic items; and 3 open-ended questions. A pilot test with 10 teachers (not included in the final sample) confirmed item clarity and an estimated completion time of 20–25 minutes.</w:t>
      </w:r>
    </w:p>
    <w:p>
      <w:pPr>
        <w:pStyle w:val="Heading2"/>
        <w:spacing w:after="120" w:before="240"/>
      </w:pPr>
      <w:r>
        <w:rPr>
          <w:rFonts w:ascii="Arial" w:cs="Arial" w:eastAsia="Arial" w:hAnsi="Arial"/>
          <w:b/>
          <w:bCs/>
          <w:color w:val="2E75B6"/>
          <w:sz w:val="24"/>
          <w:szCs w:val="24"/>
        </w:rPr>
        <w:t xml:space="preserve">4.4 Reliability and Validity</w:t>
      </w:r>
    </w:p>
    <w:p>
      <w:pPr>
        <w:spacing w:after="160" w:before="0" w:line="360"/>
        <w:jc w:val="both"/>
      </w:pPr>
      <w:r>
        <w:rPr>
          <w:rFonts w:ascii="Arial" w:cs="Arial" w:eastAsia="Arial" w:hAnsi="Arial"/>
          <w:b w:val="false"/>
          <w:bCs w:val="false"/>
          <w:color w:val="000000"/>
          <w:sz w:val="22"/>
          <w:szCs w:val="22"/>
        </w:rPr>
        <w:t xml:space="preserve">Internal consistency was assessed using Cronbach's alpha. All scales met the threshold of α ≥ 0.70 recommended by Nunnally (1978): Infrastructure Availability (α = .876), Personnel Factors (α = .842), Examination Practices and Governance (α = .798), and Overall Scale (α = .891). Face and content validity were established through pilot testing and supervisor review prior to data collection.</w:t>
      </w:r>
    </w:p>
    <w:p>
      <w:pPr>
        <w:pStyle w:val="Heading2"/>
        <w:spacing w:after="120" w:before="240"/>
      </w:pPr>
      <w:r>
        <w:rPr>
          <w:rFonts w:ascii="Arial" w:cs="Arial" w:eastAsia="Arial" w:hAnsi="Arial"/>
          <w:b/>
          <w:bCs/>
          <w:color w:val="2E75B6"/>
          <w:sz w:val="24"/>
          <w:szCs w:val="24"/>
        </w:rPr>
        <w:t xml:space="preserve">4.5 Data Analysis</w:t>
      </w:r>
    </w:p>
    <w:p>
      <w:pPr>
        <w:spacing w:after="160" w:before="0" w:line="360"/>
        <w:jc w:val="both"/>
      </w:pPr>
      <w:r>
        <w:rPr>
          <w:rFonts w:ascii="Arial" w:cs="Arial" w:eastAsia="Arial" w:hAnsi="Arial"/>
          <w:b w:val="false"/>
          <w:bCs w:val="false"/>
          <w:color w:val="000000"/>
          <w:sz w:val="22"/>
          <w:szCs w:val="22"/>
        </w:rPr>
        <w:t xml:space="preserve">SPSS v26 was used for all quantitative analyses: descriptive statistics (means, standard deviations, frequencies) for variable characterisation; Pearson correlation for bivariate relationship assessment; multiple linear regression for hypothesis testing and predictive modelling; independent samples t-tests for gender comparisons; and one-way ANOVA with Tukey's HSD post-hoc tests for teaching experience and educational qualification comparisons. Variance Inflation Factor (VIF) values were examined to assess multicollinearity. Qualitative interview data were coded thematically using anonymised participant codes (R1–R7).</w:t>
      </w:r>
    </w:p>
    <w:p>
      <w:pPr>
        <w:pStyle w:val="Heading2"/>
        <w:spacing w:after="120" w:before="240"/>
      </w:pPr>
      <w:r>
        <w:rPr>
          <w:rFonts w:ascii="Arial" w:cs="Arial" w:eastAsia="Arial" w:hAnsi="Arial"/>
          <w:b/>
          <w:bCs/>
          <w:color w:val="2E75B6"/>
          <w:sz w:val="24"/>
          <w:szCs w:val="24"/>
        </w:rPr>
        <w:t xml:space="preserve">4.6 Ethical Considerations</w:t>
      </w:r>
    </w:p>
    <w:p>
      <w:pPr>
        <w:spacing w:after="160" w:before="0" w:line="360"/>
        <w:jc w:val="both"/>
      </w:pPr>
      <w:r>
        <w:rPr>
          <w:rFonts w:ascii="Arial" w:cs="Arial" w:eastAsia="Arial" w:hAnsi="Arial"/>
          <w:b w:val="false"/>
          <w:bCs w:val="false"/>
          <w:color w:val="000000"/>
          <w:sz w:val="22"/>
          <w:szCs w:val="22"/>
        </w:rPr>
        <w:t xml:space="preserve">Institutional approval was obtained from Public Administration Campus. Participation was voluntary; informed consent was secured from all respondents. Confidentiality was maintained through anonymisation, and all data were used exclusively for academic purposes.</w:t>
      </w:r>
    </w:p>
    <w:p>
      <w:pPr>
        <w:pStyle w:val="Heading1"/>
        <w:pBdr>
          <w:bottom w:val="single" w:color="2E75B6" w:sz="4" w:space="4"/>
        </w:pBdr>
        <w:spacing w:after="160" w:before="320"/>
      </w:pPr>
      <w:r>
        <w:rPr>
          <w:rFonts w:ascii="Arial" w:cs="Arial" w:eastAsia="Arial" w:hAnsi="Arial"/>
          <w:b/>
          <w:bCs/>
          <w:color w:val="1F3864"/>
          <w:sz w:val="28"/>
          <w:szCs w:val="28"/>
        </w:rPr>
        <w:t xml:space="preserve">5. Results and Analysis</w:t>
      </w:r>
    </w:p>
    <w:p>
      <w:pPr>
        <w:pStyle w:val="Heading2"/>
        <w:spacing w:after="120" w:before="240"/>
      </w:pPr>
      <w:r>
        <w:rPr>
          <w:rFonts w:ascii="Arial" w:cs="Arial" w:eastAsia="Arial" w:hAnsi="Arial"/>
          <w:b/>
          <w:bCs/>
          <w:color w:val="2E75B6"/>
          <w:sz w:val="24"/>
          <w:szCs w:val="24"/>
        </w:rPr>
        <w:t xml:space="preserve">5.1 Demographic Profile</w:t>
      </w:r>
    </w:p>
    <w:p>
      <w:pPr>
        <w:spacing w:after="160" w:before="0" w:line="360"/>
        <w:jc w:val="both"/>
      </w:pPr>
      <w:r>
        <w:rPr>
          <w:rFonts w:ascii="Arial" w:cs="Arial" w:eastAsia="Arial" w:hAnsi="Arial"/>
          <w:b w:val="false"/>
          <w:bCs w:val="false"/>
          <w:color w:val="000000"/>
          <w:sz w:val="22"/>
          <w:szCs w:val="22"/>
        </w:rPr>
        <w:t xml:space="preserve">The sample comprised 292 government school teachers: 59.9% female, 37.3% male, and 2.7% identifying as other. The dominant age cohort was 31–40 years (41.4%), followed by 41–50 years (31.8%). Most teachers held Master's degrees (64.0%), with Bachelor's (29.5%) and M.Phil./Ph.D. (6.5%) holders forming smaller proportions. Teaching experience was concentrated in the 5–10 year (36.0%) and less-than-5-year (24.0%) brackets. English was the most commonly taught subject (53.4%), followed by Nepali (48.6%) and Mathematics (44.9%). Of the sample, 64% reported current use of digital tools, with 31% using them 2–3 times per week.</w:t>
      </w:r>
    </w:p>
    <w:p>
      <w:pPr>
        <w:spacing w:after="80" w:before="240"/>
      </w:pPr>
      <w:r>
        <w:rPr>
          <w:rFonts w:ascii="Arial" w:cs="Arial" w:eastAsia="Arial" w:hAnsi="Arial"/>
          <w:b/>
          <w:bCs/>
          <w:sz w:val="22"/>
          <w:szCs w:val="22"/>
        </w:rPr>
        <w:t xml:space="preserve">Table 1</w:t>
      </w:r>
    </w:p>
    <w:p>
      <w:pPr>
        <w:spacing w:after="60" w:before="0" w:line="360"/>
        <w:jc w:val="both"/>
      </w:pPr>
      <w:r>
        <w:rPr>
          <w:rFonts w:ascii="Arial" w:cs="Arial" w:eastAsia="Arial" w:hAnsi="Arial"/>
          <w:b/>
          <w:bCs/>
          <w:color w:val="000000"/>
          <w:sz w:val="20"/>
          <w:szCs w:val="20"/>
        </w:rPr>
        <w:t xml:space="preserve">Demographic Characteristics of Respondents (N = 292)</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000"/>
        <w:gridCol w:w="10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37.3</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Female</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175</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Other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2.7</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 Group</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20–30 years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47</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31–40 years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41.4</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41–50 years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93</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51–60 years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10.6</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Teaching Experience</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5 years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70</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5–10 years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36.0</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11–15 years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74</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16–20 years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10.6</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20 years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Education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Bachelor's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29.5</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Master's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187</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M.Phil./Ph.D.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6.5</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Digital Tool Use</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Currently using</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187</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Not using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36.0</w:t>
            </w:r>
          </w:p>
        </w:tc>
      </w:tr>
    </w:tbl>
    <w:p>
      <w:pPr>
        <w:spacing w:after="200" w:before="60"/>
      </w:pPr>
      <w:r>
        <w:rPr>
          <w:rFonts w:ascii="Arial" w:cs="Arial" w:eastAsia="Arial" w:hAnsi="Arial"/>
          <w:b/>
          <w:bCs/>
          <w:sz w:val="18"/>
          <w:szCs w:val="18"/>
        </w:rPr>
        <w:t xml:space="preserve">Note. </w:t>
      </w:r>
      <w:r>
        <w:rPr>
          <w:rFonts w:ascii="Arial" w:cs="Arial" w:eastAsia="Arial" w:hAnsi="Arial"/>
          <w:sz w:val="18"/>
          <w:szCs w:val="18"/>
        </w:rPr>
        <w:t xml:space="preserve">Source: Field Survey, December 2024.</w:t>
      </w:r>
    </w:p>
    <w:p>
      <w:pPr>
        <w:pStyle w:val="Heading2"/>
        <w:spacing w:after="120" w:before="240"/>
      </w:pPr>
      <w:r>
        <w:rPr>
          <w:rFonts w:ascii="Arial" w:cs="Arial" w:eastAsia="Arial" w:hAnsi="Arial"/>
          <w:b/>
          <w:bCs/>
          <w:color w:val="2E75B6"/>
          <w:sz w:val="24"/>
          <w:szCs w:val="24"/>
        </w:rPr>
        <w:t xml:space="preserve">5.2 Descriptive Statistics</w:t>
      </w:r>
    </w:p>
    <w:p>
      <w:pPr>
        <w:pStyle w:val="Heading3"/>
        <w:spacing w:after="80" w:before="180"/>
      </w:pPr>
      <w:r>
        <w:rPr>
          <w:rFonts w:ascii="Arial" w:cs="Arial" w:eastAsia="Arial" w:hAnsi="Arial"/>
          <w:b/>
          <w:bCs/>
          <w:color w:val="4F4F4F"/>
          <w:sz w:val="22"/>
          <w:szCs w:val="22"/>
        </w:rPr>
        <w:t xml:space="preserve">5.2.1 Infrastructure Availability</w:t>
      </w:r>
    </w:p>
    <w:p>
      <w:pPr>
        <w:spacing w:after="160" w:before="0" w:line="360"/>
        <w:jc w:val="both"/>
      </w:pPr>
      <w:r>
        <w:rPr>
          <w:rFonts w:ascii="Arial" w:cs="Arial" w:eastAsia="Arial" w:hAnsi="Arial"/>
          <w:b w:val="false"/>
          <w:bCs w:val="false"/>
          <w:color w:val="000000"/>
          <w:sz w:val="22"/>
          <w:szCs w:val="22"/>
        </w:rPr>
        <w:t xml:space="preserve">Infrastructure availability registered a critically low overall mean (M = 2.53, SD = 0.98), indicating that government schools are substantially under-resourced for e-learning. Laptop availability for teachers was particularly deficient (M = 2.15, SD = 1.23), as was technical support staffing (M = 2.24, SD = 1.34) and availability of subject-specific digital learning materials (M = 2.31, SD = 1.18). Internet connectivity, while relatively stronger, remained inconsistent (M = 3.12, SD = 1.52). School Management Committee (SMC) budget allocation for ICT (M = 2.56) and local government support (M = 2.73) were both rated below the scale midpoint. Qualitative data reinforced these findings: participants described multi-month delays in equipment repair (R4), procurement shortfalls ("Promised 10 computers but received only 3 after 8 months," R3), and the absence of dedicated IT support staff (R7).</w:t>
      </w:r>
    </w:p>
    <w:p>
      <w:pPr>
        <w:spacing w:after="80" w:before="240"/>
      </w:pPr>
      <w:r>
        <w:rPr>
          <w:rFonts w:ascii="Arial" w:cs="Arial" w:eastAsia="Arial" w:hAnsi="Arial"/>
          <w:b/>
          <w:bCs/>
          <w:sz w:val="22"/>
          <w:szCs w:val="22"/>
        </w:rPr>
        <w:t xml:space="preserve">Table 2</w:t>
      </w:r>
    </w:p>
    <w:p>
      <w:pPr>
        <w:spacing w:after="60" w:before="0" w:line="360"/>
        <w:jc w:val="both"/>
      </w:pPr>
      <w:r>
        <w:rPr>
          <w:rFonts w:ascii="Arial" w:cs="Arial" w:eastAsia="Arial" w:hAnsi="Arial"/>
          <w:b/>
          <w:bCs/>
          <w:color w:val="000000"/>
          <w:sz w:val="20"/>
          <w:szCs w:val="20"/>
        </w:rPr>
        <w:t xml:space="preserve">Descriptive Statistics: Infrastructure Availability (n = 292)</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1000"/>
        <w:gridCol w:w="9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Statement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Sufficient laptops for teachers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1.23</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A2</w:t>
            </w:r>
          </w:p>
        </w:tc>
        <w:tc>
          <w:tcPr>
            <w:tcW w:type="dxa" w:w="4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Digital teaching devices (smart boards) available</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2.68</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Adequate internet connectivity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1.52</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A4</w:t>
            </w:r>
          </w:p>
        </w:tc>
        <w:tc>
          <w:tcPr>
            <w:tcW w:type="dxa" w:w="4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Subject-specific digital learning materials available</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2.31</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Technical support staff available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1.34</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A6</w:t>
            </w:r>
          </w:p>
        </w:tc>
        <w:tc>
          <w:tcPr>
            <w:tcW w:type="dxa" w:w="4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ICT equipment regularly maintained</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2.47</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SMC allocates sufficient ICT budget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2.56</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1.38</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A8</w:t>
            </w:r>
          </w:p>
        </w:tc>
        <w:tc>
          <w:tcPr>
            <w:tcW w:type="dxa" w:w="4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Adequate local government support for ICT</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2.73</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Overall Infrastructure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w:t>
            </w:r>
          </w:p>
        </w:tc>
      </w:tr>
    </w:tbl>
    <w:p>
      <w:pPr>
        <w:spacing w:after="200" w:before="60"/>
      </w:pPr>
      <w:r>
        <w:rPr>
          <w:rFonts w:ascii="Arial" w:cs="Arial" w:eastAsia="Arial" w:hAnsi="Arial"/>
          <w:b/>
          <w:bCs/>
          <w:sz w:val="18"/>
          <w:szCs w:val="18"/>
        </w:rPr>
        <w:t xml:space="preserve">Note. </w:t>
      </w:r>
      <w:r>
        <w:rPr>
          <w:rFonts w:ascii="Arial" w:cs="Arial" w:eastAsia="Arial" w:hAnsi="Arial"/>
          <w:sz w:val="18"/>
          <w:szCs w:val="18"/>
        </w:rPr>
        <w:t xml:space="preserve">Scale: 1 = Strongly Disagree to 5 = Strongly Agree. M = Mean; SD = Standard Deviation.</w:t>
      </w:r>
    </w:p>
    <w:p>
      <w:pPr>
        <w:pStyle w:val="Heading3"/>
        <w:spacing w:after="80" w:before="180"/>
      </w:pPr>
      <w:r>
        <w:rPr>
          <w:rFonts w:ascii="Arial" w:cs="Arial" w:eastAsia="Arial" w:hAnsi="Arial"/>
          <w:b/>
          <w:bCs/>
          <w:color w:val="4F4F4F"/>
          <w:sz w:val="22"/>
          <w:szCs w:val="22"/>
        </w:rPr>
        <w:t xml:space="preserve">5.2.2 Personnel Factors</w:t>
      </w:r>
    </w:p>
    <w:p>
      <w:pPr>
        <w:spacing w:after="160" w:before="0" w:line="360"/>
        <w:jc w:val="both"/>
      </w:pPr>
      <w:r>
        <w:rPr>
          <w:rFonts w:ascii="Arial" w:cs="Arial" w:eastAsia="Arial" w:hAnsi="Arial"/>
          <w:b w:val="false"/>
          <w:bCs w:val="false"/>
          <w:color w:val="000000"/>
          <w:sz w:val="22"/>
          <w:szCs w:val="22"/>
        </w:rPr>
        <w:t xml:space="preserve">Personnel factors produced an overall mean of 3.78 (SD = 0.76), reflecting positive teacher dispositions toward e-learning. The strongest responses were for digital tools making teaching more interactive and engaging (M = 4.35, SD = 0.82) and e-learning improving teaching effectiveness (M = 4.21, SD = 0.89). Personal motivation (M = 3.92), belief in e-learning's necessity for modern education (M = 4.18), and teaching confidence with digital tools (M = 3.87) were all notably positive. However, formal ICT training receipt was severely deficient (M = 2.84, SD = 1.47), constituting a critical capacity gap that constrains the translation of motivation into practice.</w:t>
      </w:r>
    </w:p>
    <w:p>
      <w:pPr>
        <w:spacing w:after="80" w:before="240"/>
      </w:pPr>
      <w:r>
        <w:rPr>
          <w:rFonts w:ascii="Arial" w:cs="Arial" w:eastAsia="Arial" w:hAnsi="Arial"/>
          <w:b/>
          <w:bCs/>
          <w:sz w:val="22"/>
          <w:szCs w:val="22"/>
        </w:rPr>
        <w:t xml:space="preserve">Table 3</w:t>
      </w:r>
    </w:p>
    <w:p>
      <w:pPr>
        <w:spacing w:after="60" w:before="0" w:line="360"/>
        <w:jc w:val="both"/>
      </w:pPr>
      <w:r>
        <w:rPr>
          <w:rFonts w:ascii="Arial" w:cs="Arial" w:eastAsia="Arial" w:hAnsi="Arial"/>
          <w:b/>
          <w:bCs/>
          <w:color w:val="000000"/>
          <w:sz w:val="20"/>
          <w:szCs w:val="20"/>
        </w:rPr>
        <w:t xml:space="preserve">Descriptive Statistics: Personnel Factors (n = 292)</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1000"/>
        <w:gridCol w:w="9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Statement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B9</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Received adequate formal ICT training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1.47</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B10</w:t>
            </w:r>
          </w:p>
        </w:tc>
        <w:tc>
          <w:tcPr>
            <w:tcW w:type="dxa" w:w="4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Can effectively create digital teaching content</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3.15</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E-learning improves teaching effectiveness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4.21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0.89</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B12</w:t>
            </w:r>
          </w:p>
        </w:tc>
        <w:tc>
          <w:tcPr>
            <w:tcW w:type="dxa" w:w="4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Digital tools make teaching more interactive and engaging</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4.35</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E-learning tools are easy to learn and user-friendly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1.12</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B14</w:t>
            </w:r>
          </w:p>
        </w:tc>
        <w:tc>
          <w:tcPr>
            <w:tcW w:type="dxa" w:w="4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Personally motivated to use e-learning</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3.92</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E-learning is essential for modern education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4.18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0.94</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B16</w:t>
            </w:r>
          </w:p>
        </w:tc>
        <w:tc>
          <w:tcPr>
            <w:tcW w:type="dxa" w:w="4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Confident teaching with digital tools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3.87</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Overall Personnel Factors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3.78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0.76</w:t>
            </w:r>
          </w:p>
        </w:tc>
      </w:tr>
    </w:tbl>
    <w:p>
      <w:pPr>
        <w:spacing w:after="200" w:before="60"/>
      </w:pPr>
      <w:r>
        <w:rPr>
          <w:rFonts w:ascii="Arial" w:cs="Arial" w:eastAsia="Arial" w:hAnsi="Arial"/>
          <w:b/>
          <w:bCs/>
          <w:sz w:val="18"/>
          <w:szCs w:val="18"/>
        </w:rPr>
        <w:t xml:space="preserve">Note. </w:t>
      </w:r>
      <w:r>
        <w:rPr>
          <w:rFonts w:ascii="Arial" w:cs="Arial" w:eastAsia="Arial" w:hAnsi="Arial"/>
          <w:sz w:val="18"/>
          <w:szCs w:val="18"/>
        </w:rPr>
        <w:t xml:space="preserve">Scale: 1 = Strongly Disagree to 5 = Strongly Agree.</w:t>
      </w:r>
    </w:p>
    <w:p>
      <w:pPr>
        <w:pStyle w:val="Heading3"/>
        <w:spacing w:after="80" w:before="180"/>
      </w:pPr>
      <w:r>
        <w:rPr>
          <w:rFonts w:ascii="Arial" w:cs="Arial" w:eastAsia="Arial" w:hAnsi="Arial"/>
          <w:b/>
          <w:bCs/>
          <w:color w:val="4F4F4F"/>
          <w:sz w:val="22"/>
          <w:szCs w:val="22"/>
        </w:rPr>
        <w:t xml:space="preserve">5.2.3 Examination Practices and Institutional Governance</w:t>
      </w:r>
    </w:p>
    <w:p>
      <w:pPr>
        <w:spacing w:after="160" w:before="0" w:line="360"/>
        <w:jc w:val="both"/>
      </w:pPr>
      <w:r>
        <w:rPr>
          <w:rFonts w:ascii="Arial" w:cs="Arial" w:eastAsia="Arial" w:hAnsi="Arial"/>
          <w:b w:val="false"/>
          <w:bCs w:val="false"/>
          <w:color w:val="000000"/>
          <w:sz w:val="22"/>
          <w:szCs w:val="22"/>
        </w:rPr>
        <w:t xml:space="preserve">Governance registered an overall mean of 3.54 (SD = 0.89). Current examination practices remain predominantly paper-based (M = 3.89), manually prepared (M = 3.76), and memorisation-focused (M = 3.41), confirming the persistence of summative assessment orthodoxy. Teachers expressed strong support for transitioning to competency-based digital evaluation (M = 4.12), yet reported weak alignment between CDC curriculum and competency-based methods (M = 2.96) and insufficient policy guidance from CDC (M = 2.87). These findings indicate that governance structures create both demand for change and institutional barriers to its realisation.</w:t>
      </w:r>
    </w:p>
    <w:p>
      <w:pPr>
        <w:spacing w:after="80" w:before="240"/>
      </w:pPr>
      <w:r>
        <w:rPr>
          <w:rFonts w:ascii="Arial" w:cs="Arial" w:eastAsia="Arial" w:hAnsi="Arial"/>
          <w:b/>
          <w:bCs/>
          <w:sz w:val="22"/>
          <w:szCs w:val="22"/>
        </w:rPr>
        <w:t xml:space="preserve">Table 4</w:t>
      </w:r>
    </w:p>
    <w:p>
      <w:pPr>
        <w:spacing w:after="60" w:before="0" w:line="360"/>
        <w:jc w:val="both"/>
      </w:pPr>
      <w:r>
        <w:rPr>
          <w:rFonts w:ascii="Arial" w:cs="Arial" w:eastAsia="Arial" w:hAnsi="Arial"/>
          <w:b/>
          <w:bCs/>
          <w:color w:val="000000"/>
          <w:sz w:val="20"/>
          <w:szCs w:val="20"/>
        </w:rPr>
        <w:t xml:space="preserve">Descriptive Statistics: Examination Practices and Governance (n = 292)</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1000"/>
        <w:gridCol w:w="9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Statement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C17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Examinations are primarily paper-based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3.89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1.42</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C18</w:t>
            </w:r>
          </w:p>
        </w:tc>
        <w:tc>
          <w:tcPr>
            <w:tcW w:type="dxa" w:w="4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Question papers are prepared manually by teachers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3.76</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C19</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Tests mainly assess memorisation over application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3.41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1.33</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C20</w:t>
            </w:r>
          </w:p>
        </w:tc>
        <w:tc>
          <w:tcPr>
            <w:tcW w:type="dxa" w:w="4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Summative examinations are regularly conducted</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3.68</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C21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 clearly understand competency-based evaluation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1.24</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C22</w:t>
            </w:r>
          </w:p>
        </w:tc>
        <w:tc>
          <w:tcPr>
            <w:tcW w:type="dxa" w:w="4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CDC curriculum is not aligned with competency-based methods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2.96</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C23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 clear guidelines from CDC on competency-based assessment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2.87</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1.15</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C24</w:t>
            </w:r>
          </w:p>
        </w:tc>
        <w:tc>
          <w:tcPr>
            <w:tcW w:type="dxa" w:w="4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Transition to competency-based digital evaluation is necessary</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4.12</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Overall Governance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0.89</w:t>
            </w:r>
          </w:p>
        </w:tc>
      </w:tr>
    </w:tbl>
    <w:p>
      <w:pPr>
        <w:spacing w:after="200" w:before="60"/>
      </w:pPr>
      <w:r>
        <w:rPr>
          <w:rFonts w:ascii="Arial" w:cs="Arial" w:eastAsia="Arial" w:hAnsi="Arial"/>
          <w:b/>
          <w:bCs/>
          <w:sz w:val="18"/>
          <w:szCs w:val="18"/>
        </w:rPr>
        <w:t xml:space="preserve">Note. </w:t>
      </w:r>
      <w:r>
        <w:rPr>
          <w:rFonts w:ascii="Arial" w:cs="Arial" w:eastAsia="Arial" w:hAnsi="Arial"/>
          <w:sz w:val="18"/>
          <w:szCs w:val="18"/>
        </w:rPr>
        <w:t xml:space="preserve">Scale: 1 = Strongly Disagree to 5 = Strongly Agree.</w:t>
      </w:r>
    </w:p>
    <w:p>
      <w:pPr>
        <w:pStyle w:val="Heading2"/>
        <w:spacing w:after="120" w:before="240"/>
      </w:pPr>
      <w:r>
        <w:rPr>
          <w:rFonts w:ascii="Arial" w:cs="Arial" w:eastAsia="Arial" w:hAnsi="Arial"/>
          <w:b/>
          <w:bCs/>
          <w:color w:val="2E75B6"/>
          <w:sz w:val="24"/>
          <w:szCs w:val="24"/>
        </w:rPr>
        <w:t xml:space="preserve">5.3 Reliability Analysis</w:t>
      </w:r>
    </w:p>
    <w:p>
      <w:pPr>
        <w:spacing w:after="80" w:before="240"/>
      </w:pPr>
      <w:r>
        <w:rPr>
          <w:rFonts w:ascii="Arial" w:cs="Arial" w:eastAsia="Arial" w:hAnsi="Arial"/>
          <w:b/>
          <w:bCs/>
          <w:sz w:val="22"/>
          <w:szCs w:val="22"/>
        </w:rPr>
        <w:t xml:space="preserve">Table 5</w:t>
      </w:r>
    </w:p>
    <w:p>
      <w:pPr>
        <w:spacing w:after="60" w:before="0" w:line="360"/>
        <w:jc w:val="both"/>
      </w:pPr>
      <w:r>
        <w:rPr>
          <w:rFonts w:ascii="Arial" w:cs="Arial" w:eastAsia="Arial" w:hAnsi="Arial"/>
          <w:b/>
          <w:bCs/>
          <w:color w:val="000000"/>
          <w:sz w:val="20"/>
          <w:szCs w:val="20"/>
        </w:rPr>
        <w:t xml:space="preserve">Cronbach's Alpha Reliability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Construct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 of Items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Cronbach's α</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Reliability Level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Infrastructure Availability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.876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Excellent</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Personnel Factors</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.842</w:t>
            </w:r>
          </w:p>
        </w:tc>
        <w:tc>
          <w:tcPr>
            <w:tcW w:type="dxa" w:w="2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Good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Examination Practices &amp; 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.798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Acceptable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Overall Scale (24 items)</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.891</w:t>
            </w:r>
          </w:p>
        </w:tc>
        <w:tc>
          <w:tcPr>
            <w:tcW w:type="dxa" w:w="2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Excellent</w:t>
            </w:r>
          </w:p>
        </w:tc>
      </w:tr>
    </w:tbl>
    <w:p>
      <w:pPr>
        <w:spacing w:after="200" w:before="60"/>
      </w:pPr>
      <w:r>
        <w:rPr>
          <w:rFonts w:ascii="Arial" w:cs="Arial" w:eastAsia="Arial" w:hAnsi="Arial"/>
          <w:b/>
          <w:bCs/>
          <w:sz w:val="18"/>
          <w:szCs w:val="18"/>
        </w:rPr>
        <w:t xml:space="preserve">Note. </w:t>
      </w:r>
      <w:r>
        <w:rPr>
          <w:rFonts w:ascii="Arial" w:cs="Arial" w:eastAsia="Arial" w:hAnsi="Arial"/>
          <w:sz w:val="18"/>
          <w:szCs w:val="18"/>
        </w:rPr>
        <w:t xml:space="preserve">Threshold: α ≥ .70 (Nunnally, 1978).</w:t>
      </w:r>
    </w:p>
    <w:p>
      <w:pPr>
        <w:pStyle w:val="Heading2"/>
        <w:spacing w:after="120" w:before="240"/>
      </w:pPr>
      <w:r>
        <w:rPr>
          <w:rFonts w:ascii="Arial" w:cs="Arial" w:eastAsia="Arial" w:hAnsi="Arial"/>
          <w:b/>
          <w:bCs/>
          <w:color w:val="2E75B6"/>
          <w:sz w:val="24"/>
          <w:szCs w:val="24"/>
        </w:rPr>
        <w:t xml:space="preserve">5.4 Pearson Correlation Analysis</w:t>
      </w:r>
    </w:p>
    <w:p>
      <w:pPr>
        <w:spacing w:after="160" w:before="0" w:line="360"/>
        <w:jc w:val="both"/>
      </w:pPr>
      <w:r>
        <w:rPr>
          <w:rFonts w:ascii="Arial" w:cs="Arial" w:eastAsia="Arial" w:hAnsi="Arial"/>
          <w:b w:val="false"/>
          <w:bCs w:val="false"/>
          <w:color w:val="000000"/>
          <w:sz w:val="22"/>
          <w:szCs w:val="22"/>
        </w:rPr>
        <w:t xml:space="preserve">All three independent variables were significantly and positively correlated with e-learning adoption at p &lt; .01 (Table 6). Personnel factors showed the strongest bivariate association (r = .748), followed by infrastructure availability (r = .623) and governance (r = .581). Inter-predictor correlations ranged from .438 to .594, indicating meaningful but non-collinear relationships. These findings confirm H4 at the bivariate level and provide preliminary support for H1, H2, and H3.</w:t>
      </w:r>
    </w:p>
    <w:p>
      <w:pPr>
        <w:spacing w:after="80" w:before="240"/>
      </w:pPr>
      <w:r>
        <w:rPr>
          <w:rFonts w:ascii="Arial" w:cs="Arial" w:eastAsia="Arial" w:hAnsi="Arial"/>
          <w:b/>
          <w:bCs/>
          <w:sz w:val="22"/>
          <w:szCs w:val="22"/>
        </w:rPr>
        <w:t xml:space="preserve">Table 6</w:t>
      </w:r>
    </w:p>
    <w:p>
      <w:pPr>
        <w:spacing w:after="60" w:before="0" w:line="360"/>
        <w:jc w:val="both"/>
      </w:pPr>
      <w:r>
        <w:rPr>
          <w:rFonts w:ascii="Arial" w:cs="Arial" w:eastAsia="Arial" w:hAnsi="Arial"/>
          <w:b/>
          <w:bCs/>
          <w:color w:val="000000"/>
          <w:sz w:val="20"/>
          <w:szCs w:val="20"/>
        </w:rPr>
        <w:t xml:space="preserve">Pearson Correlation Matrix (N = 292)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1</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3</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Infrastructure Availability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Personnel Factors</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.512**</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1.000</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Governance &amp; Exam Practices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.438**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.594**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E-learning Adoption</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.623**</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.748**</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.581**</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1.000</w:t>
            </w:r>
          </w:p>
        </w:tc>
      </w:tr>
    </w:tbl>
    <w:p>
      <w:pPr>
        <w:spacing w:after="200" w:before="60"/>
      </w:pPr>
      <w:r>
        <w:rPr>
          <w:rFonts w:ascii="Arial" w:cs="Arial" w:eastAsia="Arial" w:hAnsi="Arial"/>
          <w:b/>
          <w:bCs/>
          <w:sz w:val="18"/>
          <w:szCs w:val="18"/>
        </w:rPr>
        <w:t xml:space="preserve">Note. </w:t>
      </w:r>
      <w:r>
        <w:rPr>
          <w:rFonts w:ascii="Arial" w:cs="Arial" w:eastAsia="Arial" w:hAnsi="Arial"/>
          <w:sz w:val="18"/>
          <w:szCs w:val="18"/>
        </w:rPr>
        <w:t xml:space="preserve">** Correlation is significant at the .01 level (two-tailed). VIF values for all predictors &lt; 2.0, confirming absence of multicollinearity.</w:t>
      </w:r>
    </w:p>
    <w:p>
      <w:pPr>
        <w:pStyle w:val="Heading2"/>
        <w:spacing w:after="120" w:before="240"/>
      </w:pPr>
      <w:r>
        <w:rPr>
          <w:rFonts w:ascii="Arial" w:cs="Arial" w:eastAsia="Arial" w:hAnsi="Arial"/>
          <w:b/>
          <w:bCs/>
          <w:color w:val="2E75B6"/>
          <w:sz w:val="24"/>
          <w:szCs w:val="24"/>
        </w:rPr>
        <w:t xml:space="preserve">5.5 Multiple Regression Analysis</w:t>
      </w:r>
    </w:p>
    <w:p>
      <w:pPr>
        <w:spacing w:after="160" w:before="0" w:line="360"/>
        <w:jc w:val="both"/>
      </w:pPr>
      <w:r>
        <w:rPr>
          <w:rFonts w:ascii="Arial" w:cs="Arial" w:eastAsia="Arial" w:hAnsi="Arial"/>
          <w:b w:val="false"/>
          <w:bCs w:val="false"/>
          <w:color w:val="000000"/>
          <w:sz w:val="22"/>
          <w:szCs w:val="22"/>
        </w:rPr>
        <w:t xml:space="preserve">Multiple linear regression was conducted with e-learning adoption as the dependent variable and the three independent variable clusters as predictors (Table 7). The overall model was statistically significant (F(3, 288) = 45.82, p &lt; .001) with R² = .659, indicating that the three predictors collectively explained 65.9% of variance in e-learning adoption. Adjusted R² = .645 confirms the model's robustness after controlling for the number of predictors.</w:t>
      </w:r>
    </w:p>
    <w:p>
      <w:pPr>
        <w:spacing w:after="160" w:before="0" w:line="360"/>
        <w:jc w:val="both"/>
      </w:pPr>
      <w:r>
        <w:rPr>
          <w:rFonts w:ascii="Arial" w:cs="Arial" w:eastAsia="Arial" w:hAnsi="Arial"/>
          <w:b w:val="false"/>
          <w:bCs w:val="false"/>
          <w:color w:val="000000"/>
          <w:sz w:val="22"/>
          <w:szCs w:val="22"/>
        </w:rPr>
        <w:t xml:space="preserve">All three predictors made statistically significant independent contributions. Personnel factors emerged as the strongest predictor (β = .476, t = 5.663, p &lt; .001, VIF = 1.68), confirming H2. Infrastructure availability produced the second largest effect (β = .289, t = 3.506, p = .001, VIF = 1.42), supporting H1. Governance was the weakest but still significant predictor (β = .221, t = 2.988, p = .004, VIF = 1.54), confirming H3. All VIF values were below 2.0, confirming the absence of multicollinearity.</w:t>
      </w:r>
    </w:p>
    <w:p>
      <w:pPr>
        <w:spacing w:after="80" w:before="240"/>
      </w:pPr>
      <w:r>
        <w:rPr>
          <w:rFonts w:ascii="Arial" w:cs="Arial" w:eastAsia="Arial" w:hAnsi="Arial"/>
          <w:b/>
          <w:bCs/>
          <w:sz w:val="22"/>
          <w:szCs w:val="22"/>
        </w:rPr>
        <w:t xml:space="preserve">Table 7</w:t>
      </w:r>
    </w:p>
    <w:p>
      <w:pPr>
        <w:spacing w:after="60" w:before="0" w:line="360"/>
        <w:jc w:val="both"/>
      </w:pPr>
      <w:r>
        <w:rPr>
          <w:rFonts w:ascii="Arial" w:cs="Arial" w:eastAsia="Arial" w:hAnsi="Arial"/>
          <w:b/>
          <w:bCs/>
          <w:color w:val="000000"/>
          <w:sz w:val="20"/>
          <w:szCs w:val="20"/>
        </w:rPr>
        <w:t xml:space="preserve">Multiple Regression Results: Predictors of E-Learning Adoption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900"/>
        <w:gridCol w:w="1000"/>
        <w:gridCol w:w="900"/>
        <w:gridCol w:w="900"/>
        <w:gridCol w:w="8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β</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w:t>
            </w:r>
          </w:p>
        </w:tc>
        <w:tc>
          <w:tcPr>
            <w:tcW w:type="dxa" w:w="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(Constant)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0.847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0.324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2.614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.011</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Infrastructure Availability</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0.312</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0.089</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.289</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3.506</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.001**</w:t>
            </w:r>
          </w:p>
        </w:tc>
        <w:tc>
          <w:tcPr>
            <w:tcW w:type="dxa" w:w="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Personnel Factors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0.538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0.095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.476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5.663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.001**</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1.68</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Governance &amp; Exam Practices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0.245</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0.082</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.221</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2.988</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.004**</w:t>
            </w:r>
          </w:p>
        </w:tc>
        <w:tc>
          <w:tcPr>
            <w:tcW w:type="dxa" w:w="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1.54</w:t>
            </w:r>
          </w:p>
        </w:tc>
      </w:tr>
    </w:tbl>
    <w:p>
      <w:pPr>
        <w:spacing w:after="200" w:before="60"/>
      </w:pPr>
      <w:r>
        <w:rPr>
          <w:rFonts w:ascii="Arial" w:cs="Arial" w:eastAsia="Arial" w:hAnsi="Arial"/>
          <w:b/>
          <w:bCs/>
          <w:sz w:val="18"/>
          <w:szCs w:val="18"/>
        </w:rPr>
        <w:t xml:space="preserve">Note. </w:t>
      </w:r>
      <w:r>
        <w:rPr>
          <w:rFonts w:ascii="Arial" w:cs="Arial" w:eastAsia="Arial" w:hAnsi="Arial"/>
          <w:sz w:val="18"/>
          <w:szCs w:val="18"/>
        </w:rPr>
        <w:t xml:space="preserve">Model: R = .812, R² = .659, Adjusted R² = .645, F(3,288) = 45.82, p &lt; .001. ** p &lt; .01.</w:t>
      </w:r>
    </w:p>
    <w:p>
      <w:pPr>
        <w:pStyle w:val="Heading2"/>
        <w:spacing w:after="120" w:before="240"/>
      </w:pPr>
      <w:r>
        <w:rPr>
          <w:rFonts w:ascii="Arial" w:cs="Arial" w:eastAsia="Arial" w:hAnsi="Arial"/>
          <w:b/>
          <w:bCs/>
          <w:color w:val="2E75B6"/>
          <w:sz w:val="24"/>
          <w:szCs w:val="24"/>
        </w:rPr>
        <w:t xml:space="preserve">5.6 Demographic Comparisons</w:t>
      </w:r>
    </w:p>
    <w:p>
      <w:pPr>
        <w:pStyle w:val="Heading3"/>
        <w:spacing w:after="80" w:before="180"/>
      </w:pPr>
      <w:r>
        <w:rPr>
          <w:rFonts w:ascii="Arial" w:cs="Arial" w:eastAsia="Arial" w:hAnsi="Arial"/>
          <w:b/>
          <w:bCs/>
          <w:color w:val="4F4F4F"/>
          <w:sz w:val="22"/>
          <w:szCs w:val="22"/>
        </w:rPr>
        <w:t xml:space="preserve">5.6.1 Gender</w:t>
      </w:r>
    </w:p>
    <w:p>
      <w:pPr>
        <w:spacing w:after="160" w:before="0" w:line="360"/>
        <w:jc w:val="both"/>
      </w:pPr>
      <w:r>
        <w:rPr>
          <w:rFonts w:ascii="Arial" w:cs="Arial" w:eastAsia="Arial" w:hAnsi="Arial"/>
          <w:b w:val="false"/>
          <w:bCs w:val="false"/>
          <w:color w:val="000000"/>
          <w:sz w:val="22"/>
          <w:szCs w:val="22"/>
        </w:rPr>
        <w:t xml:space="preserve">An independent samples t-test revealed no statistically significant difference in e-learning adoption between male (M = 3.62, SD = 0.84) and female teachers (M = 3.89, SD = 0.71), t(290) = −1.423, p = .159 (Cohen's d = 0.17, small effect). H5a was not supported. While female teachers demonstrated marginally higher mean adoption scores, the difference did not reach statistical significance.</w:t>
      </w:r>
    </w:p>
    <w:p>
      <w:pPr>
        <w:pStyle w:val="Heading3"/>
        <w:spacing w:after="80" w:before="180"/>
      </w:pPr>
      <w:r>
        <w:rPr>
          <w:rFonts w:ascii="Arial" w:cs="Arial" w:eastAsia="Arial" w:hAnsi="Arial"/>
          <w:b/>
          <w:bCs/>
          <w:color w:val="4F4F4F"/>
          <w:sz w:val="22"/>
          <w:szCs w:val="22"/>
        </w:rPr>
        <w:t xml:space="preserve">5.6.2 Teaching Experience</w:t>
      </w:r>
    </w:p>
    <w:p>
      <w:pPr>
        <w:spacing w:after="160" w:before="0" w:line="360"/>
        <w:jc w:val="both"/>
      </w:pPr>
      <w:r>
        <w:rPr>
          <w:rFonts w:ascii="Arial" w:cs="Arial" w:eastAsia="Arial" w:hAnsi="Arial"/>
          <w:b w:val="false"/>
          <w:bCs w:val="false"/>
          <w:color w:val="000000"/>
          <w:sz w:val="22"/>
          <w:szCs w:val="22"/>
        </w:rPr>
        <w:t xml:space="preserve">One-way ANOVA revealed a significant main effect of teaching experience on e-learning adoption, F(4, 287) = 3.842, p = .007, η² = .051 (medium effect), supporting H5b. An inverse relationship was evident: teachers with fewer than 5 years of experience demonstrated the highest adoption readiness (M = 4.12), compared with those possessing more than 20 years of experience (M = 3.11). Tukey's HSD post-hoc analysis identified significant pairwise differences between the &lt; 5 year group and the &gt; 20 year (mean difference = 1.01, p &lt; .05), 16–20 year (difference = 0.70), and 11–15 year (difference = 0.54) groups.</w:t>
      </w:r>
    </w:p>
    <w:p>
      <w:pPr>
        <w:spacing w:after="80" w:before="240"/>
      </w:pPr>
      <w:r>
        <w:rPr>
          <w:rFonts w:ascii="Arial" w:cs="Arial" w:eastAsia="Arial" w:hAnsi="Arial"/>
          <w:b/>
          <w:bCs/>
          <w:sz w:val="22"/>
          <w:szCs w:val="22"/>
        </w:rPr>
        <w:t xml:space="preserve">Table 8</w:t>
      </w:r>
    </w:p>
    <w:p>
      <w:pPr>
        <w:spacing w:after="60" w:before="0" w:line="360"/>
        <w:jc w:val="both"/>
      </w:pPr>
      <w:r>
        <w:rPr>
          <w:rFonts w:ascii="Arial" w:cs="Arial" w:eastAsia="Arial" w:hAnsi="Arial"/>
          <w:b/>
          <w:bCs/>
          <w:color w:val="000000"/>
          <w:sz w:val="20"/>
          <w:szCs w:val="20"/>
        </w:rPr>
        <w:t xml:space="preserve">E-Learning Adoption by Teaching Experience: One-Way ANOVA</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1680"/>
        <w:gridCol w:w="16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Experience Level</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SD</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5 years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3.842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.007**</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5–10 years</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105</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3.85</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0.72</w:t>
            </w:r>
          </w:p>
        </w:tc>
        <w:tc>
          <w:tcPr>
            <w:tcW w:type="dxa" w:w="1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11–15 years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16–20 years</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3.42</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0.89</w:t>
            </w:r>
          </w:p>
        </w:tc>
        <w:tc>
          <w:tcPr>
            <w:tcW w:type="dxa" w:w="1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20 years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bl>
    <w:p>
      <w:pPr>
        <w:spacing w:after="200" w:before="60"/>
      </w:pPr>
      <w:r>
        <w:rPr>
          <w:rFonts w:ascii="Arial" w:cs="Arial" w:eastAsia="Arial" w:hAnsi="Arial"/>
          <w:b/>
          <w:bCs/>
          <w:sz w:val="18"/>
          <w:szCs w:val="18"/>
        </w:rPr>
        <w:t xml:space="preserve">Note. </w:t>
      </w:r>
      <w:r>
        <w:rPr>
          <w:rFonts w:ascii="Arial" w:cs="Arial" w:eastAsia="Arial" w:hAnsi="Arial"/>
          <w:sz w:val="18"/>
          <w:szCs w:val="18"/>
        </w:rPr>
        <w:t xml:space="preserve">** p &lt; .01. Post-hoc Tukey's HSD: &lt; 5 years significantly higher than 11–15, 16–20, and &gt; 20 year groups (all p &lt; .05).</w:t>
      </w:r>
    </w:p>
    <w:p>
      <w:pPr>
        <w:pStyle w:val="Heading3"/>
        <w:spacing w:after="80" w:before="180"/>
      </w:pPr>
      <w:r>
        <w:rPr>
          <w:rFonts w:ascii="Arial" w:cs="Arial" w:eastAsia="Arial" w:hAnsi="Arial"/>
          <w:b/>
          <w:bCs/>
          <w:color w:val="4F4F4F"/>
          <w:sz w:val="22"/>
          <w:szCs w:val="22"/>
        </w:rPr>
        <w:t xml:space="preserve">5.6.3 Educational Qualification</w:t>
      </w:r>
    </w:p>
    <w:p>
      <w:pPr>
        <w:spacing w:after="160" w:before="0" w:line="360"/>
        <w:jc w:val="both"/>
      </w:pPr>
      <w:r>
        <w:rPr>
          <w:rFonts w:ascii="Arial" w:cs="Arial" w:eastAsia="Arial" w:hAnsi="Arial"/>
          <w:b w:val="false"/>
          <w:bCs w:val="false"/>
          <w:color w:val="000000"/>
          <w:sz w:val="22"/>
          <w:szCs w:val="22"/>
        </w:rPr>
        <w:t xml:space="preserve">One-way ANOVA yielded no significant difference in e-learning adoption across educational qualification levels, F(2, 289) = 2.184, p = .114, η² = .015 (small effect). H5c was not supported. While M.Phil./Ph.D. holders obtained the highest mean (M = 4.05) compared with Master's (M = 3.82) and Bachelor's degree holders (M = 3.65), these differences were not statistically significant, suggesting that degree level does not independently predict e-learning readiness.</w:t>
      </w:r>
    </w:p>
    <w:p>
      <w:pPr>
        <w:pStyle w:val="Heading2"/>
        <w:spacing w:after="120" w:before="240"/>
      </w:pPr>
      <w:r>
        <w:rPr>
          <w:rFonts w:ascii="Arial" w:cs="Arial" w:eastAsia="Arial" w:hAnsi="Arial"/>
          <w:b/>
          <w:bCs/>
          <w:color w:val="2E75B6"/>
          <w:sz w:val="24"/>
          <w:szCs w:val="24"/>
        </w:rPr>
        <w:t xml:space="preserve">5.7 Hypotheses Summary</w:t>
      </w:r>
    </w:p>
    <w:p>
      <w:pPr>
        <w:spacing w:after="80" w:before="240"/>
      </w:pPr>
      <w:r>
        <w:rPr>
          <w:rFonts w:ascii="Arial" w:cs="Arial" w:eastAsia="Arial" w:hAnsi="Arial"/>
          <w:b/>
          <w:bCs/>
          <w:sz w:val="22"/>
          <w:szCs w:val="22"/>
        </w:rPr>
        <w:t xml:space="preserve">Table 9</w:t>
      </w:r>
    </w:p>
    <w:p>
      <w:pPr>
        <w:spacing w:after="60" w:before="0" w:line="360"/>
        <w:jc w:val="both"/>
      </w:pPr>
      <w:r>
        <w:rPr>
          <w:rFonts w:ascii="Arial" w:cs="Arial" w:eastAsia="Arial" w:hAnsi="Arial"/>
          <w:b/>
          <w:bCs/>
          <w:color w:val="000000"/>
          <w:sz w:val="20"/>
          <w:szCs w:val="20"/>
        </w:rPr>
        <w:t xml:space="preserve">Summary of Hypotheses Testing Results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900"/>
        <w:gridCol w:w="10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Hypothesis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Statistic</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w:t>
            </w:r>
          </w:p>
        </w:tc>
        <w:tc>
          <w:tcPr>
            <w:tcW w:type="dxa" w:w="1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H1: Infrastructure → Adoption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Multiple Regression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β = .289, t = 3.506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.001**</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Supported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H2: Personnel Factors → Adoption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Multiple Regression</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β = .476, t = 5.663</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.001**</w:t>
            </w:r>
          </w:p>
        </w:tc>
        <w:tc>
          <w:tcPr>
            <w:tcW w:type="dxa" w:w="1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Supported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H3: Governance → Adoption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Multiple Regression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β = .221, t = 2.988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.004**</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Supported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H4: Combined Model</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Multiple Regression</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R² = .659, F = 45.82</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.001**</w:t>
            </w:r>
          </w:p>
        </w:tc>
        <w:tc>
          <w:tcPr>
            <w:tcW w:type="dxa" w:w="1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Supported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H5a: Gender differences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Independent t-test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t(290) = −1.423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.159</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Not Supported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H5b: Experience differences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One-way ANOVA</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F(4,287) = 3.842</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.007**</w:t>
            </w:r>
          </w:p>
        </w:tc>
        <w:tc>
          <w:tcPr>
            <w:tcW w:type="dxa" w:w="1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Supported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H5c: Qualification differences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One-way ANOVA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F(2,289) = 2.184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.114</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Not Supported</w:t>
            </w:r>
          </w:p>
        </w:tc>
      </w:tr>
    </w:tbl>
    <w:p>
      <w:pPr>
        <w:spacing w:after="200" w:before="60"/>
      </w:pPr>
      <w:r>
        <w:rPr>
          <w:rFonts w:ascii="Arial" w:cs="Arial" w:eastAsia="Arial" w:hAnsi="Arial"/>
          <w:b/>
          <w:bCs/>
          <w:sz w:val="18"/>
          <w:szCs w:val="18"/>
        </w:rPr>
        <w:t xml:space="preserve">Note. </w:t>
      </w:r>
      <w:r>
        <w:rPr>
          <w:rFonts w:ascii="Arial" w:cs="Arial" w:eastAsia="Arial" w:hAnsi="Arial"/>
          <w:sz w:val="18"/>
          <w:szCs w:val="18"/>
        </w:rPr>
        <w:t xml:space="preserve">** p &lt; .01.</w:t>
      </w:r>
    </w:p>
    <w:p>
      <w:pPr>
        <w:pStyle w:val="Heading1"/>
        <w:pBdr>
          <w:bottom w:val="single" w:color="2E75B6" w:sz="4" w:space="4"/>
        </w:pBdr>
        <w:spacing w:after="160" w:before="320"/>
      </w:pPr>
      <w:r>
        <w:rPr>
          <w:rFonts w:ascii="Arial" w:cs="Arial" w:eastAsia="Arial" w:hAnsi="Arial"/>
          <w:b/>
          <w:bCs/>
          <w:color w:val="1F3864"/>
          <w:sz w:val="28"/>
          <w:szCs w:val="28"/>
        </w:rPr>
        <w:t xml:space="preserve">6. Discussion</w:t>
      </w:r>
    </w:p>
    <w:p>
      <w:pPr>
        <w:pStyle w:val="Heading2"/>
        <w:spacing w:after="120" w:before="240"/>
      </w:pPr>
      <w:r>
        <w:rPr>
          <w:rFonts w:ascii="Arial" w:cs="Arial" w:eastAsia="Arial" w:hAnsi="Arial"/>
          <w:b/>
          <w:bCs/>
          <w:color w:val="2E75B6"/>
          <w:sz w:val="24"/>
          <w:szCs w:val="24"/>
        </w:rPr>
        <w:t xml:space="preserve">6.1 The Readiness-Resources Paradox</w:t>
      </w:r>
    </w:p>
    <w:p>
      <w:pPr>
        <w:spacing w:after="160" w:before="0" w:line="360"/>
        <w:jc w:val="both"/>
      </w:pPr>
      <w:r>
        <w:rPr>
          <w:rFonts w:ascii="Arial" w:cs="Arial" w:eastAsia="Arial" w:hAnsi="Arial"/>
          <w:b w:val="false"/>
          <w:bCs w:val="false"/>
          <w:color w:val="000000"/>
          <w:sz w:val="22"/>
          <w:szCs w:val="22"/>
        </w:rPr>
        <w:t xml:space="preserve">The most theoretically significant finding of this study is the coexistence of high teacher motivational readiness (personnel factors: M = 3.78) with critically low infrastructure availability (M = 2.53). This configuration—which we term the readiness-resources paradox—represents a structural inversion of the typical barriers framework, in which low adoption is attributed to insufficient motivation or negative technology attitudes. In Bhaktapur's government schools, teachers are not reluctant adopters; they are capable individuals constrained by systemic resource failures.</w:t>
      </w:r>
    </w:p>
    <w:p>
      <w:pPr>
        <w:spacing w:after="160" w:before="0" w:line="360"/>
        <w:jc w:val="both"/>
      </w:pPr>
      <w:r>
        <w:rPr>
          <w:rFonts w:ascii="Arial" w:cs="Arial" w:eastAsia="Arial" w:hAnsi="Arial"/>
          <w:b w:val="false"/>
          <w:bCs w:val="false"/>
          <w:color w:val="000000"/>
          <w:sz w:val="22"/>
          <w:szCs w:val="22"/>
        </w:rPr>
        <w:t xml:space="preserve">This finding resonates with Al-Fraihat et al.'s (2020) contention that in low-resource educational environments, facilitating conditions operate as the binding constraint on adoption, rather than attitudinal or competency deficits. It also aligns with UTAUT's theoretical prediction that Facilitating Conditions exert direct effects on adoption behaviour, independent of Performance and Effort Expectancy, when institutional support is absent (Venkatesh et al., 2003). The qualitative evidence deepens this interpretation: teachers described repeatedly abandoning digital teaching attempts after encountering broken equipment (R1), inadequate hardware allocation (R3), and absent IT support (R7), ultimately reverting to traditional whiteboards despite personal motivation to integrate technology.</w:t>
      </w:r>
    </w:p>
    <w:p>
      <w:pPr>
        <w:pStyle w:val="Heading2"/>
        <w:spacing w:after="120" w:before="240"/>
      </w:pPr>
      <w:r>
        <w:rPr>
          <w:rFonts w:ascii="Arial" w:cs="Arial" w:eastAsia="Arial" w:hAnsi="Arial"/>
          <w:b/>
          <w:bCs/>
          <w:color w:val="2E75B6"/>
          <w:sz w:val="24"/>
          <w:szCs w:val="24"/>
        </w:rPr>
        <w:t xml:space="preserve">6.2 Personnel Factors and the Training Gap</w:t>
      </w:r>
    </w:p>
    <w:p>
      <w:pPr>
        <w:spacing w:after="160" w:before="0" w:line="360"/>
        <w:jc w:val="both"/>
      </w:pPr>
      <w:r>
        <w:rPr>
          <w:rFonts w:ascii="Arial" w:cs="Arial" w:eastAsia="Arial" w:hAnsi="Arial"/>
          <w:b w:val="false"/>
          <w:bCs w:val="false"/>
          <w:color w:val="000000"/>
          <w:sz w:val="22"/>
          <w:szCs w:val="22"/>
        </w:rPr>
        <w:t xml:space="preserve">The finding that personnel factors are the strongest predictor of adoption (β = .476) is consistent with TAM's emphasis on perceived usefulness as the primary determinant of technology acceptance (Davis et al., 1989). Teachers' strong perceived usefulness scores (M = 4.21) and positive attitudes toward e-learning (M = 4.18) confirm that the psychological preconditions for adoption are largely in place. However, the severe deficiency in formal ICT training (M = 2.84) represents a critical gap between attitudinal readiness and instructional competence—precisely the knowledge intersection that TPACK theory identifies as essential for technology-integrated teaching (Mishra &amp; Koehler, 2006).</w:t>
      </w:r>
    </w:p>
    <w:p>
      <w:pPr>
        <w:spacing w:after="160" w:before="0" w:line="360"/>
        <w:jc w:val="both"/>
      </w:pPr>
      <w:r>
        <w:rPr>
          <w:rFonts w:ascii="Arial" w:cs="Arial" w:eastAsia="Arial" w:hAnsi="Arial"/>
          <w:b w:val="false"/>
          <w:bCs w:val="false"/>
          <w:color w:val="000000"/>
          <w:sz w:val="22"/>
          <w:szCs w:val="22"/>
        </w:rPr>
        <w:t xml:space="preserve">The inverse relationship between teaching experience and adoption readiness (η² = .051) warrants specific attention. Younger teachers demonstrated significantly higher adoption scores (&lt; 5 years: M = 4.12) compared with the most experienced cohort (&gt; 20 years: M = 3.11). This pattern likely reflects generational differences in digital socialisation and comfort with technology rather than formal training differentials (Prensky, 2001). Notably, the absence of gender differences in adoption aligns with more recent international evidence challenging earlier findings of female disadvantage in technology acceptance (Wangdi et al., 2023), suggesting that Nepal's gender gap in e-learning may be narrowing.</w:t>
      </w:r>
    </w:p>
    <w:p>
      <w:pPr>
        <w:pStyle w:val="Heading2"/>
        <w:spacing w:after="120" w:before="240"/>
      </w:pPr>
      <w:r>
        <w:rPr>
          <w:rFonts w:ascii="Arial" w:cs="Arial" w:eastAsia="Arial" w:hAnsi="Arial"/>
          <w:b/>
          <w:bCs/>
          <w:color w:val="2E75B6"/>
          <w:sz w:val="24"/>
          <w:szCs w:val="24"/>
        </w:rPr>
        <w:t xml:space="preserve">6.3 Governance, Examination Culture, and Digital Pedagogy</w:t>
      </w:r>
    </w:p>
    <w:p>
      <w:pPr>
        <w:spacing w:after="160" w:before="0" w:line="360"/>
        <w:jc w:val="both"/>
      </w:pPr>
      <w:r>
        <w:rPr>
          <w:rFonts w:ascii="Arial" w:cs="Arial" w:eastAsia="Arial" w:hAnsi="Arial"/>
          <w:b w:val="false"/>
          <w:bCs w:val="false"/>
          <w:color w:val="000000"/>
          <w:sz w:val="22"/>
          <w:szCs w:val="22"/>
        </w:rPr>
        <w:t xml:space="preserve">The significant governance coefficient (β = .221) confirms that institutional examination structures function as a meaningful predictor of e-learning adoption, a relationship that has been theoretically asserted but rarely empirically quantified in the Nepalese context. Teachers' strong endorsement of competency-based evaluation (M = 4.12) contrasts sharply with their perception of weak CDC curriculum alignment (M = 2.96) and absent policy guidance (M = 2.87), revealing a governance implementation gap that constrains instructional innovation.</w:t>
      </w:r>
    </w:p>
    <w:p>
      <w:pPr>
        <w:spacing w:after="160" w:before="0" w:line="360"/>
        <w:jc w:val="both"/>
      </w:pPr>
      <w:r>
        <w:rPr>
          <w:rFonts w:ascii="Arial" w:cs="Arial" w:eastAsia="Arial" w:hAnsi="Arial"/>
          <w:b w:val="false"/>
          <w:bCs w:val="false"/>
          <w:color w:val="000000"/>
          <w:sz w:val="22"/>
          <w:szCs w:val="22"/>
        </w:rPr>
        <w:t xml:space="preserve">This finding has direct theoretical implications. Rogers' (2003) Diffusion of Innovations theory posits that institutional compatibility—the degree to which an innovation aligns with existing values and practices—is a critical adoption determinant. Nepal's summative examination culture represents an institutional incompatibility that structurally discourages the adoption of digital, competency-based pedagogies. As one interview participant articulated: 'Highest-stake exams are still paper-based in Grade 10 and 12. How can digital evaluation be used when these examinations are paper-based?' (R5). This observation captures the systemic incentive misalignment that governance reform must address.</w:t>
      </w:r>
    </w:p>
    <w:p>
      <w:pPr>
        <w:pStyle w:val="Heading2"/>
        <w:spacing w:after="120" w:before="240"/>
      </w:pPr>
      <w:r>
        <w:rPr>
          <w:rFonts w:ascii="Arial" w:cs="Arial" w:eastAsia="Arial" w:hAnsi="Arial"/>
          <w:b/>
          <w:bCs/>
          <w:color w:val="2E75B6"/>
          <w:sz w:val="24"/>
          <w:szCs w:val="24"/>
        </w:rPr>
        <w:t xml:space="preserve">6.4 Implications for Infrastructure Investment</w:t>
      </w:r>
    </w:p>
    <w:p>
      <w:pPr>
        <w:spacing w:after="160" w:before="0" w:line="360"/>
        <w:jc w:val="both"/>
      </w:pPr>
      <w:r>
        <w:rPr>
          <w:rFonts w:ascii="Arial" w:cs="Arial" w:eastAsia="Arial" w:hAnsi="Arial"/>
          <w:b w:val="false"/>
          <w:bCs w:val="false"/>
          <w:color w:val="000000"/>
          <w:sz w:val="22"/>
          <w:szCs w:val="22"/>
        </w:rPr>
        <w:t xml:space="preserve">With infrastructure explaining 28.9% of a standard deviation in adoption (β = .289), the policy case for targeted ICT infrastructure investment in government schools is quantitatively established. The qualitative evidence clarifies the specific mechanisms: the absence of dedicated IT support staff creates a fragility effect in which single equipment failures—broken projectors, non-functional computers—can persistently deter adoption by otherwise willing teachers (R1, R4). This suggests that infrastructure policy should prioritise not merely hardware procurement but sustainable maintenance systems, technical support staffing, and reliable connectivity, addressing the full ecosystem of facilitating conditions identified by UTAUT.</w:t>
      </w:r>
    </w:p>
    <w:p>
      <w:pPr>
        <w:pStyle w:val="Heading1"/>
        <w:pBdr>
          <w:bottom w:val="single" w:color="2E75B6" w:sz="4" w:space="4"/>
        </w:pBdr>
        <w:spacing w:after="160" w:before="320"/>
      </w:pPr>
      <w:r>
        <w:rPr>
          <w:rFonts w:ascii="Arial" w:cs="Arial" w:eastAsia="Arial" w:hAnsi="Arial"/>
          <w:b/>
          <w:bCs/>
          <w:color w:val="1F3864"/>
          <w:sz w:val="28"/>
          <w:szCs w:val="28"/>
        </w:rPr>
        <w:t xml:space="preserve">7. Conclusion</w:t>
      </w:r>
    </w:p>
    <w:p>
      <w:pPr>
        <w:spacing w:after="160" w:before="0" w:line="360"/>
        <w:jc w:val="both"/>
      </w:pPr>
      <w:r>
        <w:rPr>
          <w:rFonts w:ascii="Arial" w:cs="Arial" w:eastAsia="Arial" w:hAnsi="Arial"/>
          <w:b w:val="false"/>
          <w:bCs w:val="false"/>
          <w:color w:val="000000"/>
          <w:sz w:val="22"/>
          <w:szCs w:val="22"/>
        </w:rPr>
        <w:t xml:space="preserve">This study examined the determinants of e-learning adoption among 292 government school teachers in Bhaktapur District, Nepal, through the theoretical lens of TAM, UTAUT, and TPACK. The integrated regression model explained 65.9% of variance in adoption, with personnel factors, infrastructure availability, and institutional governance all emerging as significant predictors. The central finding is a readiness-resources paradox: teachers possess the motivational and attitudinal preconditions for e-learning adoption but are constrained by critically deficient infrastructure (M = 2.53) and inadequate formal ICT training (M = 2.84). This paradox reflects a systemic resource failure that policy intervention can meaningfully address.</w:t>
      </w:r>
    </w:p>
    <w:p>
      <w:pPr>
        <w:spacing w:after="160" w:before="0" w:line="360"/>
        <w:jc w:val="both"/>
      </w:pPr>
      <w:r>
        <w:rPr>
          <w:rFonts w:ascii="Arial" w:cs="Arial" w:eastAsia="Arial" w:hAnsi="Arial"/>
          <w:b w:val="false"/>
          <w:bCs w:val="false"/>
          <w:color w:val="000000"/>
          <w:sz w:val="22"/>
          <w:szCs w:val="22"/>
        </w:rPr>
        <w:t xml:space="preserve">Five policy recommendations emerge from these findings. First, federal and provincial governments should institute dedicated ICT infrastructure budgets for government schools, prioritising laptop provision, smart board deployment, and reliable broadband, with ring-fenced allocations not subject to reallocation for building maintenance or furniture procurement. Second, the Ministry of Education should develop a structured, subject-specific in-service ICT training programme extending beyond basic office application literacy toward content creation, digital assessment design, and learning management system use. Third, the NEB and CDC should initiate a phased pilot programme for competency-based digital assessment at lower-stakes examination levels, creating an institutionalised pathway toward examination reform that does not jeopardise Grade 10 and 12 outcomes. Fourth, school management committees should establish dedicated IT coordinator positions, ensuring that equipment failures receive timely resolution and that teachers have accessible technical support. Fifth, teacher professional development programmes should specifically target experienced teachers, who demonstrated the greatest digital adoption gap, through peer mentoring and technology integration coaching.</w:t>
      </w:r>
    </w:p>
    <w:p>
      <w:pPr>
        <w:spacing w:after="160" w:before="0" w:line="360"/>
        <w:jc w:val="both"/>
      </w:pPr>
      <w:r>
        <w:rPr>
          <w:rFonts w:ascii="Arial" w:cs="Arial" w:eastAsia="Arial" w:hAnsi="Arial"/>
          <w:b w:val="false"/>
          <w:bCs w:val="false"/>
          <w:color w:val="000000"/>
          <w:sz w:val="22"/>
          <w:szCs w:val="22"/>
        </w:rPr>
        <w:t xml:space="preserve">This study has limitations. Convenience sampling restricts generalisation beyond Bhaktapur District, and the cross-sectional design precludes causal inference. The exclusion of private schools limits comparability with the full teaching population. Future research should employ probability sampling across multiple districts, incorporate longitudinal designs to capture adoption trajectories, and investigate the specific governance mechanisms through which examination reform policies translate (or fail to translate) into classroom practice. Mixed-methods designs that more deeply explore the subjective experience of constrained adoption would enrich the quantitative findings reported here.</w:t>
      </w:r>
    </w:p>
    <w:p>
      <w:pPr>
        <w:spacing w:after="160" w:before="0" w:line="360"/>
        <w:jc w:val="both"/>
      </w:pPr>
      <w:r>
        <w:rPr>
          <w:rFonts w:ascii="Arial" w:cs="Arial" w:eastAsia="Arial" w:hAnsi="Arial"/>
          <w:b w:val="false"/>
          <w:bCs w:val="false"/>
          <w:color w:val="000000"/>
          <w:sz w:val="22"/>
          <w:szCs w:val="22"/>
        </w:rPr>
        <w:t xml:space="preserve">By generating systematic, quantitative evidence on e-learning adoption determinants in a resource-constrained public school context, this study contributes to an underrepresented strand of the global educational technology literature and provides an empirically grounded foundation for Nepal's ongoing digital education reform agenda.</w:t>
      </w:r>
    </w:p>
    <w:p>
      <w:pPr>
        <w:pStyle w:val="Heading1"/>
        <w:pBdr>
          <w:bottom w:val="single" w:color="2E75B6" w:sz="4" w:space="4"/>
        </w:pBdr>
        <w:spacing w:after="160" w:before="320"/>
      </w:pPr>
      <w:r>
        <w:rPr>
          <w:rFonts w:ascii="Arial" w:cs="Arial" w:eastAsia="Arial" w:hAnsi="Arial"/>
          <w:b/>
          <w:bCs/>
          <w:color w:val="1F3864"/>
          <w:sz w:val="28"/>
          <w:szCs w:val="28"/>
        </w:rPr>
        <w:t xml:space="preserve">References</w:t>
      </w:r>
    </w:p>
    <w:p>
      <w:pPr>
        <w:spacing w:after="120" w:before="80" w:line="320"/>
        <w:ind w:left="720" w:hanging="720"/>
      </w:pPr>
      <w:r>
        <w:rPr>
          <w:rFonts w:ascii="Arial" w:cs="Arial" w:eastAsia="Arial" w:hAnsi="Arial"/>
          <w:sz w:val="20"/>
          <w:szCs w:val="20"/>
        </w:rPr>
        <w:t xml:space="preserve">Adhikari, G. P. (2024). Technological challenges: A case of secondary-level mathematics teachers' integrating ICT in mathematics classrooms. Academia Research Journal, 3(2), 86–97.</w:t>
      </w:r>
    </w:p>
    <w:p>
      <w:pPr>
        <w:spacing w:after="120" w:before="80" w:line="320"/>
        <w:ind w:left="720" w:hanging="720"/>
      </w:pPr>
      <w:r>
        <w:rPr>
          <w:rFonts w:ascii="Arial" w:cs="Arial" w:eastAsia="Arial" w:hAnsi="Arial"/>
          <w:sz w:val="20"/>
          <w:szCs w:val="20"/>
        </w:rPr>
        <w:t xml:space="preserve">Akaslan, D., &amp; Law, E. L. C. (2011). Measuring teachers' readiness for e-learning in higher education institutions associated with the subject of electricity in Turkey. IEEE Global Engineering Education Conference (EDUCON), 482–487.</w:t>
      </w:r>
    </w:p>
    <w:p>
      <w:pPr>
        <w:spacing w:after="120" w:before="80" w:line="320"/>
        <w:ind w:left="720" w:hanging="720"/>
      </w:pPr>
      <w:r>
        <w:rPr>
          <w:rFonts w:ascii="Arial" w:cs="Arial" w:eastAsia="Arial" w:hAnsi="Arial"/>
          <w:sz w:val="20"/>
          <w:szCs w:val="20"/>
        </w:rPr>
        <w:t xml:space="preserve">Al-Fraihat, D., Joy, M., Masa'deh, R., &amp; Sinclair, J. (2020). Evaluating e-learning systems success: An empirical study. Computers in Human Behavior, 102, 67–86. https://doi.org/10.1016/j.chb.2019.08.004</w:t>
      </w:r>
    </w:p>
    <w:p>
      <w:pPr>
        <w:spacing w:after="120" w:before="80" w:line="320"/>
        <w:ind w:left="720" w:hanging="720"/>
      </w:pPr>
      <w:r>
        <w:rPr>
          <w:rFonts w:ascii="Arial" w:cs="Arial" w:eastAsia="Arial" w:hAnsi="Arial"/>
          <w:sz w:val="20"/>
          <w:szCs w:val="20"/>
        </w:rPr>
        <w:t xml:space="preserve">Aydin, C. H., &amp; Tasci, D. (2005). Measuring readiness for e-learning: Reflections from an emerging country. Educational Technology &amp; Society, 8(4), 244–257.</w:t>
      </w:r>
    </w:p>
    <w:p>
      <w:pPr>
        <w:spacing w:after="120" w:before="80" w:line="320"/>
        <w:ind w:left="720" w:hanging="720"/>
      </w:pPr>
      <w:r>
        <w:rPr>
          <w:rFonts w:ascii="Arial" w:cs="Arial" w:eastAsia="Arial" w:hAnsi="Arial"/>
          <w:sz w:val="20"/>
          <w:szCs w:val="20"/>
        </w:rPr>
        <w:t xml:space="preserve">Cohen, L., Manion, L., &amp; Morrison, K. (2018). Research methods in education (8th ed.). Routledge.</w:t>
      </w:r>
    </w:p>
    <w:p>
      <w:pPr>
        <w:spacing w:after="120" w:before="80" w:line="320"/>
        <w:ind w:left="720" w:hanging="720"/>
      </w:pPr>
      <w:r>
        <w:rPr>
          <w:rFonts w:ascii="Arial" w:cs="Arial" w:eastAsia="Arial" w:hAnsi="Arial"/>
          <w:sz w:val="20"/>
          <w:szCs w:val="20"/>
        </w:rPr>
        <w:t xml:space="preserve">Creswell, J. W., &amp; Creswell, J. D. (2017). Research design: Qualitative, quantitative, and mixed methods approaches (5th ed.). Sage.</w:t>
      </w:r>
    </w:p>
    <w:p>
      <w:pPr>
        <w:spacing w:after="120" w:before="80" w:line="320"/>
        <w:ind w:left="720" w:hanging="720"/>
      </w:pPr>
      <w:r>
        <w:rPr>
          <w:rFonts w:ascii="Arial" w:cs="Arial" w:eastAsia="Arial" w:hAnsi="Arial"/>
          <w:sz w:val="20"/>
          <w:szCs w:val="20"/>
        </w:rPr>
        <w:t xml:space="preserve">Davis, F. D., Bagozzi, R. P., &amp; Warshaw, P. R. (1989). User acceptance of computer technology: A comparison of two theoretical models. Management Science, 35(8), 982–1003.</w:t>
      </w:r>
    </w:p>
    <w:p>
      <w:pPr>
        <w:spacing w:after="120" w:before="80" w:line="320"/>
        <w:ind w:left="720" w:hanging="720"/>
      </w:pPr>
      <w:r>
        <w:rPr>
          <w:rFonts w:ascii="Arial" w:cs="Arial" w:eastAsia="Arial" w:hAnsi="Arial"/>
          <w:sz w:val="20"/>
          <w:szCs w:val="20"/>
        </w:rPr>
        <w:t xml:space="preserve">Ertmer, P. A., &amp; Ottenbreit-Leftwich, A. T. (2010). Teacher technology change: How knowledge, beliefs, and culture intersect. Journal of Research on Technology in Education, 42(3), 255–284.</w:t>
      </w:r>
    </w:p>
    <w:p>
      <w:pPr>
        <w:spacing w:after="120" w:before="80" w:line="320"/>
        <w:ind w:left="720" w:hanging="720"/>
      </w:pPr>
      <w:r>
        <w:rPr>
          <w:rFonts w:ascii="Arial" w:cs="Arial" w:eastAsia="Arial" w:hAnsi="Arial"/>
          <w:sz w:val="20"/>
          <w:szCs w:val="20"/>
        </w:rPr>
        <w:t xml:space="preserve">Kebritchi, M., Lipschuetz, A., &amp; Santiague, L. (2017). Issues and challenges for teaching successful online courses in higher education. Journal of Educational Technology Systems, 46(1), 4–29.</w:t>
      </w:r>
    </w:p>
    <w:p>
      <w:pPr>
        <w:spacing w:after="120" w:before="80" w:line="320"/>
        <w:ind w:left="720" w:hanging="720"/>
      </w:pPr>
      <w:r>
        <w:rPr>
          <w:rFonts w:ascii="Arial" w:cs="Arial" w:eastAsia="Arial" w:hAnsi="Arial"/>
          <w:sz w:val="20"/>
          <w:szCs w:val="20"/>
        </w:rPr>
        <w:t xml:space="preserve">Khan, M. A., Vivek, Nabi, M. K., Khojah, M., &amp; Tahir, M. (2021). Students' perception towards e-learning during COVID-19 pandemic in India. Sustainability, 13(1), 57.</w:t>
      </w:r>
    </w:p>
    <w:p>
      <w:pPr>
        <w:spacing w:after="120" w:before="80" w:line="320"/>
        <w:ind w:left="720" w:hanging="720"/>
      </w:pPr>
      <w:r>
        <w:rPr>
          <w:rFonts w:ascii="Arial" w:cs="Arial" w:eastAsia="Arial" w:hAnsi="Arial"/>
          <w:sz w:val="20"/>
          <w:szCs w:val="20"/>
        </w:rPr>
        <w:t xml:space="preserve">Koehler, M. J., &amp; Mishra, P. (2013). What is technological pedagogical content knowledge (TPACK)? Journal of Education, 193(3), 13–19.</w:t>
      </w:r>
    </w:p>
    <w:p>
      <w:pPr>
        <w:spacing w:after="120" w:before="80" w:line="320"/>
        <w:ind w:left="720" w:hanging="720"/>
      </w:pPr>
      <w:r>
        <w:rPr>
          <w:rFonts w:ascii="Arial" w:cs="Arial" w:eastAsia="Arial" w:hAnsi="Arial"/>
          <w:sz w:val="20"/>
          <w:szCs w:val="20"/>
        </w:rPr>
        <w:t xml:space="preserve">Koirala, M. P. (2023). Difficulties faced by students and teachers in online teaching during COVID-19 in Lalbandi municipality. The Geographical Journal of Nepal, 16, 1–18.</w:t>
      </w:r>
    </w:p>
    <w:p>
      <w:pPr>
        <w:spacing w:after="120" w:before="80" w:line="320"/>
        <w:ind w:left="720" w:hanging="720"/>
      </w:pPr>
      <w:r>
        <w:rPr>
          <w:rFonts w:ascii="Arial" w:cs="Arial" w:eastAsia="Arial" w:hAnsi="Arial"/>
          <w:sz w:val="20"/>
          <w:szCs w:val="20"/>
        </w:rPr>
        <w:t xml:space="preserve">Ministry of Education (MOE). (2016). School Sector Development Plan 2016–2023. Government of Nepal.</w:t>
      </w:r>
    </w:p>
    <w:p>
      <w:pPr>
        <w:spacing w:after="120" w:before="80" w:line="320"/>
        <w:ind w:left="720" w:hanging="720"/>
      </w:pPr>
      <w:r>
        <w:rPr>
          <w:rFonts w:ascii="Arial" w:cs="Arial" w:eastAsia="Arial" w:hAnsi="Arial"/>
          <w:sz w:val="20"/>
          <w:szCs w:val="20"/>
        </w:rPr>
        <w:t xml:space="preserve">Mishra, P., &amp; Koehler, M. J. (2006). Technological pedagogical content knowledge: A framework for teacher knowledge. Teachers College Record, 108(6), 1017–1054.</w:t>
      </w:r>
    </w:p>
    <w:p>
      <w:pPr>
        <w:spacing w:after="120" w:before="80" w:line="320"/>
        <w:ind w:left="720" w:hanging="720"/>
      </w:pPr>
      <w:r>
        <w:rPr>
          <w:rFonts w:ascii="Arial" w:cs="Arial" w:eastAsia="Arial" w:hAnsi="Arial"/>
          <w:sz w:val="20"/>
          <w:szCs w:val="20"/>
        </w:rPr>
        <w:t xml:space="preserve">Nunnally, J. C. (1978). Psychometric theory (2nd ed.). McGraw-Hill.</w:t>
      </w:r>
    </w:p>
    <w:p>
      <w:pPr>
        <w:spacing w:after="120" w:before="80" w:line="320"/>
        <w:ind w:left="720" w:hanging="720"/>
      </w:pPr>
      <w:r>
        <w:rPr>
          <w:rFonts w:ascii="Arial" w:cs="Arial" w:eastAsia="Arial" w:hAnsi="Arial"/>
          <w:sz w:val="20"/>
          <w:szCs w:val="20"/>
        </w:rPr>
        <w:t xml:space="preserve">Ojha, L. R. (2022). Challenges of using information and communication technology in teaching. KMC Journal, 4(1), 1–15.</w:t>
      </w:r>
    </w:p>
    <w:p>
      <w:pPr>
        <w:spacing w:after="120" w:before="80" w:line="320"/>
        <w:ind w:left="720" w:hanging="720"/>
      </w:pPr>
      <w:r>
        <w:rPr>
          <w:rFonts w:ascii="Arial" w:cs="Arial" w:eastAsia="Arial" w:hAnsi="Arial"/>
          <w:sz w:val="20"/>
          <w:szCs w:val="20"/>
        </w:rPr>
        <w:t xml:space="preserve">Paudel, P. (2022). Challenges of using ICT in teaching English in Nepal. KMC Journal, 4(2), 1–18. https://doi.org/10.3126/kmcj.v4i2.47725</w:t>
      </w:r>
    </w:p>
    <w:p>
      <w:pPr>
        <w:spacing w:after="120" w:before="80" w:line="320"/>
        <w:ind w:left="720" w:hanging="720"/>
      </w:pPr>
      <w:r>
        <w:rPr>
          <w:rFonts w:ascii="Arial" w:cs="Arial" w:eastAsia="Arial" w:hAnsi="Arial"/>
          <w:sz w:val="20"/>
          <w:szCs w:val="20"/>
        </w:rPr>
        <w:t xml:space="preserve">Poyck, M., Kirby, P., &amp; Wubbels, T. (2016). Assessment reform in Nepal: Challenges and opportunities. International Education Journal: Comparative Perspectives, 15(3), 1–18.</w:t>
      </w:r>
    </w:p>
    <w:p>
      <w:pPr>
        <w:spacing w:after="120" w:before="80" w:line="320"/>
        <w:ind w:left="720" w:hanging="720"/>
      </w:pPr>
      <w:r>
        <w:rPr>
          <w:rFonts w:ascii="Arial" w:cs="Arial" w:eastAsia="Arial" w:hAnsi="Arial"/>
          <w:sz w:val="20"/>
          <w:szCs w:val="20"/>
        </w:rPr>
        <w:t xml:space="preserve">Prensky, M. (2001). Digital natives, digital immigrants. On the Horizon, 9(5), 1–6.</w:t>
      </w:r>
    </w:p>
    <w:p>
      <w:pPr>
        <w:spacing w:after="120" w:before="80" w:line="320"/>
        <w:ind w:left="720" w:hanging="720"/>
      </w:pPr>
      <w:r>
        <w:rPr>
          <w:rFonts w:ascii="Arial" w:cs="Arial" w:eastAsia="Arial" w:hAnsi="Arial"/>
          <w:sz w:val="20"/>
          <w:szCs w:val="20"/>
        </w:rPr>
        <w:t xml:space="preserve">Rana, K., Greenwood, J., &amp; Fox-Turnbull, W. (2019). Implementation of Nepal's education policy in ICT: Examining current practice through an ecological model. The Electronic Journal of Information Systems in Developing Countries, 85(2), e12118.</w:t>
      </w:r>
    </w:p>
    <w:p>
      <w:pPr>
        <w:spacing w:after="120" w:before="80" w:line="320"/>
        <w:ind w:left="720" w:hanging="720"/>
      </w:pPr>
      <w:r>
        <w:rPr>
          <w:rFonts w:ascii="Arial" w:cs="Arial" w:eastAsia="Arial" w:hAnsi="Arial"/>
          <w:sz w:val="20"/>
          <w:szCs w:val="20"/>
        </w:rPr>
        <w:t xml:space="preserve">Rogers, E. M. (2003). Diffusion of innovations (5th ed.). Free Press.</w:t>
      </w:r>
    </w:p>
    <w:p>
      <w:pPr>
        <w:spacing w:after="120" w:before="80" w:line="320"/>
        <w:ind w:left="720" w:hanging="720"/>
      </w:pPr>
      <w:r>
        <w:rPr>
          <w:rFonts w:ascii="Arial" w:cs="Arial" w:eastAsia="Arial" w:hAnsi="Arial"/>
          <w:sz w:val="20"/>
          <w:szCs w:val="20"/>
        </w:rPr>
        <w:t xml:space="preserve">UNESCO. (2020). Global education monitoring report 2020: Inclusion and education. United Nations Educational, Scientific and Cultural Organization.</w:t>
      </w:r>
    </w:p>
    <w:p>
      <w:pPr>
        <w:spacing w:after="120" w:before="80" w:line="320"/>
        <w:ind w:left="720" w:hanging="720"/>
      </w:pPr>
      <w:r>
        <w:rPr>
          <w:rFonts w:ascii="Arial" w:cs="Arial" w:eastAsia="Arial" w:hAnsi="Arial"/>
          <w:sz w:val="20"/>
          <w:szCs w:val="20"/>
        </w:rPr>
        <w:t xml:space="preserve">UNESCO. (2021). Reimagining our futures together: A new social contract for education. United Nations Educational, Scientific and Cultural Organization.</w:t>
      </w:r>
    </w:p>
    <w:p>
      <w:pPr>
        <w:spacing w:after="120" w:before="80" w:line="320"/>
        <w:ind w:left="720" w:hanging="720"/>
      </w:pPr>
      <w:r>
        <w:rPr>
          <w:rFonts w:ascii="Arial" w:cs="Arial" w:eastAsia="Arial" w:hAnsi="Arial"/>
          <w:sz w:val="20"/>
          <w:szCs w:val="20"/>
        </w:rPr>
        <w:t xml:space="preserve">Venkatesh, V., Morris, M. G., Davis, G. B., &amp; Davis, F. D. (2003). User acceptance of information technology: Toward a unified view. MIS Quarterly, 27(3), 425–478.</w:t>
      </w:r>
    </w:p>
    <w:p>
      <w:pPr>
        <w:spacing w:after="120" w:before="80" w:line="320"/>
        <w:ind w:left="720" w:hanging="720"/>
      </w:pPr>
      <w:r>
        <w:rPr>
          <w:rFonts w:ascii="Arial" w:cs="Arial" w:eastAsia="Arial" w:hAnsi="Arial"/>
          <w:sz w:val="20"/>
          <w:szCs w:val="20"/>
        </w:rPr>
        <w:t xml:space="preserve">Venkatesh, V., &amp; Davis, F. D. (2000). A theoretical extension of the technology acceptance model: Four longitudinal field studies. Management Science, 46(2), 186–204.</w:t>
      </w:r>
    </w:p>
    <w:p>
      <w:pPr>
        <w:spacing w:after="120" w:before="80" w:line="320"/>
        <w:ind w:left="720" w:hanging="720"/>
      </w:pPr>
      <w:r>
        <w:rPr>
          <w:rFonts w:ascii="Arial" w:cs="Arial" w:eastAsia="Arial" w:hAnsi="Arial"/>
          <w:sz w:val="20"/>
          <w:szCs w:val="20"/>
        </w:rPr>
        <w:t xml:space="preserve">Venkatesh, V., Thong, J., &amp; Xu, X. (2016). Unified theory of acceptance and use of technology: A synthesis and the road ahead. Journal of the Association for Information Systems, 17(5), 328–376.</w:t>
      </w:r>
    </w:p>
    <w:p>
      <w:pPr>
        <w:spacing w:after="120" w:before="80" w:line="320"/>
        <w:ind w:left="720" w:hanging="720"/>
      </w:pPr>
      <w:r>
        <w:rPr>
          <w:rFonts w:ascii="Arial" w:cs="Arial" w:eastAsia="Arial" w:hAnsi="Arial"/>
          <w:sz w:val="20"/>
          <w:szCs w:val="20"/>
        </w:rPr>
        <w:t xml:space="preserve">Wangdi, T., Dhendup, S., &amp; Gyelmo, T. (2023). Factors influencing teachers' intention to use technology: Role of TPACK and facilitating conditions. International Journal of Instruction, 16(2), 1017–1036.</w:t>
      </w:r>
    </w:p>
    <w:p>
      <w:pPr>
        <w:spacing w:after="120" w:before="80" w:line="320"/>
        <w:ind w:left="720" w:hanging="720"/>
      </w:pPr>
      <w:r>
        <w:rPr>
          <w:rFonts w:ascii="Arial" w:cs="Arial" w:eastAsia="Arial" w:hAnsi="Arial"/>
          <w:sz w:val="20"/>
          <w:szCs w:val="20"/>
        </w:rPr>
        <w:t xml:space="preserve">World Bank. (2021). The promise of education in Nepal. World Bank Group.</w:t>
      </w:r>
    </w:p>
    <w:p>
      <w:pPr>
        <w:pageBreakBefore/>
      </w:pPr>
      <w:r>
        <w:t xml:space="preserve"/>
      </w:r>
    </w:p>
    <w:p>
      <w:pPr>
        <w:pStyle w:val="Heading1"/>
        <w:pBdr>
          <w:bottom w:val="single" w:color="2E75B6" w:sz="4" w:space="4"/>
        </w:pBdr>
        <w:spacing w:after="160" w:before="320"/>
      </w:pPr>
      <w:r>
        <w:rPr>
          <w:rFonts w:ascii="Arial" w:cs="Arial" w:eastAsia="Arial" w:hAnsi="Arial"/>
          <w:b/>
          <w:bCs/>
          <w:color w:val="1F3864"/>
          <w:sz w:val="28"/>
          <w:szCs w:val="28"/>
        </w:rPr>
        <w:t xml:space="preserve">Appendix A: Detailed Correction Report and Publication Improvement Checklist</w:t>
      </w:r>
    </w:p>
    <w:p>
      <w:pPr>
        <w:pStyle w:val="Heading2"/>
        <w:spacing w:after="120" w:before="240"/>
      </w:pPr>
      <w:r>
        <w:rPr>
          <w:rFonts w:ascii="Arial" w:cs="Arial" w:eastAsia="Arial" w:hAnsi="Arial"/>
          <w:b/>
          <w:bCs/>
          <w:color w:val="2E75B6"/>
          <w:sz w:val="24"/>
          <w:szCs w:val="24"/>
        </w:rPr>
        <w:t xml:space="preserve">A.1 Major Weaknesses in the Dissertation</w:t>
      </w:r>
    </w:p>
    <w:p>
      <w:pPr>
        <w:pStyle w:val="ListParagraph"/>
        <w:numPr>
          <w:ilvl w:val="0"/>
          <w:numId w:val="2"/>
        </w:numPr>
        <w:spacing w:after="40" w:before="40" w:line="320"/>
      </w:pPr>
      <w:r>
        <w:rPr>
          <w:rFonts w:ascii="Arial" w:cs="Arial" w:eastAsia="Arial" w:hAnsi="Arial"/>
          <w:sz w:val="22"/>
          <w:szCs w:val="22"/>
        </w:rPr>
        <w:t xml:space="preserve">The abstract does not follow a structured IMRAD pattern; background, objective, methodology, findings, and implications are conflated in dense narrative prose with insufficient statistical reporting.</w:t>
      </w:r>
    </w:p>
    <w:p>
      <w:pPr>
        <w:pStyle w:val="ListParagraph"/>
        <w:numPr>
          <w:ilvl w:val="0"/>
          <w:numId w:val="2"/>
        </w:numPr>
        <w:spacing w:after="40" w:before="40" w:line="320"/>
      </w:pPr>
      <w:r>
        <w:rPr>
          <w:rFonts w:ascii="Arial" w:cs="Arial" w:eastAsia="Arial" w:hAnsi="Arial"/>
          <w:sz w:val="22"/>
          <w:szCs w:val="22"/>
        </w:rPr>
        <w:t xml:space="preserve">The introduction mixes literature review content with background context; the research gap is stated but not analytically justified with reference to specific gaps in existing evidence.</w:t>
      </w:r>
    </w:p>
    <w:p>
      <w:pPr>
        <w:pStyle w:val="ListParagraph"/>
        <w:numPr>
          <w:ilvl w:val="0"/>
          <w:numId w:val="2"/>
        </w:numPr>
        <w:spacing w:after="40" w:before="40" w:line="320"/>
      </w:pPr>
      <w:r>
        <w:rPr>
          <w:rFonts w:ascii="Arial" w:cs="Arial" w:eastAsia="Arial" w:hAnsi="Arial"/>
          <w:sz w:val="22"/>
          <w:szCs w:val="22"/>
        </w:rPr>
        <w:t xml:space="preserve">The literature review is textbook-expository in tone, presenting TAM, UTAUT, and TPACK as definitional summaries rather than as analytical frameworks linked to the study's specific context.</w:t>
      </w:r>
    </w:p>
    <w:p>
      <w:pPr>
        <w:pStyle w:val="ListParagraph"/>
        <w:numPr>
          <w:ilvl w:val="0"/>
          <w:numId w:val="2"/>
        </w:numPr>
        <w:spacing w:after="40" w:before="40" w:line="320"/>
      </w:pPr>
      <w:r>
        <w:rPr>
          <w:rFonts w:ascii="Arial" w:cs="Arial" w:eastAsia="Arial" w:hAnsi="Arial"/>
          <w:sz w:val="22"/>
          <w:szCs w:val="22"/>
        </w:rPr>
        <w:t xml:space="preserve">The research design section under-specifies the sampling procedure; convenience sampling is acknowledged but its implications for generalisability are not adequately discussed.</w:t>
      </w:r>
    </w:p>
    <w:p>
      <w:pPr>
        <w:pStyle w:val="ListParagraph"/>
        <w:numPr>
          <w:ilvl w:val="0"/>
          <w:numId w:val="2"/>
        </w:numPr>
        <w:spacing w:after="40" w:before="40" w:line="320"/>
      </w:pPr>
      <w:r>
        <w:rPr>
          <w:rFonts w:ascii="Arial" w:cs="Arial" w:eastAsia="Arial" w:hAnsi="Arial"/>
          <w:sz w:val="22"/>
          <w:szCs w:val="22"/>
        </w:rPr>
        <w:t xml:space="preserve">The discussion chapter largely restates results rather than interpreting them against existing literature; critical engagement with contradictory or confirmatory international evidence is absent.</w:t>
      </w:r>
    </w:p>
    <w:p>
      <w:pPr>
        <w:pStyle w:val="ListParagraph"/>
        <w:numPr>
          <w:ilvl w:val="0"/>
          <w:numId w:val="2"/>
        </w:numPr>
        <w:spacing w:after="40" w:before="40" w:line="320"/>
      </w:pPr>
      <w:r>
        <w:rPr>
          <w:rFonts w:ascii="Arial" w:cs="Arial" w:eastAsia="Arial" w:hAnsi="Arial"/>
          <w:sz w:val="22"/>
          <w:szCs w:val="22"/>
        </w:rPr>
        <w:t xml:space="preserve">The conclusion is repetitive of the summary (Section 5.1); policy implications are listed without analytical prioritisation or practical operationalisation.</w:t>
      </w:r>
    </w:p>
    <w:p>
      <w:pPr>
        <w:pStyle w:val="Heading2"/>
        <w:spacing w:after="120" w:before="240"/>
      </w:pPr>
      <w:r>
        <w:rPr>
          <w:rFonts w:ascii="Arial" w:cs="Arial" w:eastAsia="Arial" w:hAnsi="Arial"/>
          <w:b/>
          <w:bCs/>
          <w:color w:val="2E75B6"/>
          <w:sz w:val="24"/>
          <w:szCs w:val="24"/>
        </w:rPr>
        <w:t xml:space="preserve">A.2 Academic Writing Problems</w:t>
      </w:r>
    </w:p>
    <w:p>
      <w:pPr>
        <w:pStyle w:val="ListParagraph"/>
        <w:numPr>
          <w:ilvl w:val="0"/>
          <w:numId w:val="2"/>
        </w:numPr>
        <w:spacing w:after="40" w:before="40" w:line="320"/>
      </w:pPr>
      <w:r>
        <w:rPr>
          <w:rFonts w:ascii="Arial" w:cs="Arial" w:eastAsia="Arial" w:hAnsi="Arial"/>
          <w:sz w:val="22"/>
          <w:szCs w:val="22"/>
        </w:rPr>
        <w:t xml:space="preserve">Pervasive grammatical errors throughout: subject-verb agreement failures, misuse of articles ('a', 'the'), inconsistent tense, dangling modifiers (e.g., 'Teacher is highly motivated despite of lack of ICT training').</w:t>
      </w:r>
    </w:p>
    <w:p>
      <w:pPr>
        <w:pStyle w:val="ListParagraph"/>
        <w:numPr>
          <w:ilvl w:val="0"/>
          <w:numId w:val="2"/>
        </w:numPr>
        <w:spacing w:after="40" w:before="40" w:line="320"/>
      </w:pPr>
      <w:r>
        <w:rPr>
          <w:rFonts w:ascii="Arial" w:cs="Arial" w:eastAsia="Arial" w:hAnsi="Arial"/>
          <w:sz w:val="22"/>
          <w:szCs w:val="22"/>
        </w:rPr>
        <w:t xml:space="preserve">Informal register frequently intrudes (e.g., 'show case', 'quite challenge', 'at last'), inappropriate for academic journal submission.</w:t>
      </w:r>
    </w:p>
    <w:p>
      <w:pPr>
        <w:pStyle w:val="ListParagraph"/>
        <w:numPr>
          <w:ilvl w:val="0"/>
          <w:numId w:val="2"/>
        </w:numPr>
        <w:spacing w:after="40" w:before="40" w:line="320"/>
      </w:pPr>
      <w:r>
        <w:rPr>
          <w:rFonts w:ascii="Arial" w:cs="Arial" w:eastAsia="Arial" w:hAnsi="Arial"/>
          <w:sz w:val="22"/>
          <w:szCs w:val="22"/>
        </w:rPr>
        <w:t xml:space="preserve">Passive voice is overused without rhetorical purpose, obscuring analytical agency.</w:t>
      </w:r>
    </w:p>
    <w:p>
      <w:pPr>
        <w:pStyle w:val="ListParagraph"/>
        <w:numPr>
          <w:ilvl w:val="0"/>
          <w:numId w:val="2"/>
        </w:numPr>
        <w:spacing w:after="40" w:before="40" w:line="320"/>
      </w:pPr>
      <w:r>
        <w:rPr>
          <w:rFonts w:ascii="Arial" w:cs="Arial" w:eastAsia="Arial" w:hAnsi="Arial"/>
          <w:sz w:val="22"/>
          <w:szCs w:val="22"/>
        </w:rPr>
        <w:t xml:space="preserve">Hedging language (e.g., 'seems to', 'sort of') weakens argumentative authority and should be replaced by qualified declarative statements.</w:t>
      </w:r>
    </w:p>
    <w:p>
      <w:pPr>
        <w:pStyle w:val="ListParagraph"/>
        <w:numPr>
          <w:ilvl w:val="0"/>
          <w:numId w:val="2"/>
        </w:numPr>
        <w:spacing w:after="40" w:before="40" w:line="320"/>
      </w:pPr>
      <w:r>
        <w:rPr>
          <w:rFonts w:ascii="Arial" w:cs="Arial" w:eastAsia="Arial" w:hAnsi="Arial"/>
          <w:sz w:val="22"/>
          <w:szCs w:val="22"/>
        </w:rPr>
        <w:t xml:space="preserve">Paragraph coherence is poor in Chapters I and II; topic sentences do not consistently anchor paragraph-level arguments.</w:t>
      </w:r>
    </w:p>
    <w:p>
      <w:pPr>
        <w:pStyle w:val="Heading2"/>
        <w:spacing w:after="120" w:before="240"/>
      </w:pPr>
      <w:r>
        <w:rPr>
          <w:rFonts w:ascii="Arial" w:cs="Arial" w:eastAsia="Arial" w:hAnsi="Arial"/>
          <w:b/>
          <w:bCs/>
          <w:color w:val="2E75B6"/>
          <w:sz w:val="24"/>
          <w:szCs w:val="24"/>
        </w:rPr>
        <w:t xml:space="preserve">A.3 Citation and Reference Issues</w:t>
      </w:r>
    </w:p>
    <w:p>
      <w:pPr>
        <w:pStyle w:val="ListParagraph"/>
        <w:numPr>
          <w:ilvl w:val="0"/>
          <w:numId w:val="2"/>
        </w:numPr>
        <w:spacing w:after="40" w:before="40" w:line="320"/>
      </w:pPr>
      <w:r>
        <w:rPr>
          <w:rFonts w:ascii="Arial" w:cs="Arial" w:eastAsia="Arial" w:hAnsi="Arial"/>
          <w:sz w:val="22"/>
          <w:szCs w:val="22"/>
        </w:rPr>
        <w:t xml:space="preserve">Davis &amp; Davis (1989) is incorrectly cited in the text; the foundational TAM paper should be cited as Davis (1989) or Davis et al. (1989).</w:t>
      </w:r>
    </w:p>
    <w:p>
      <w:pPr>
        <w:pStyle w:val="ListParagraph"/>
        <w:numPr>
          <w:ilvl w:val="0"/>
          <w:numId w:val="2"/>
        </w:numPr>
        <w:spacing w:after="40" w:before="40" w:line="320"/>
      </w:pPr>
      <w:r>
        <w:rPr>
          <w:rFonts w:ascii="Arial" w:cs="Arial" w:eastAsia="Arial" w:hAnsi="Arial"/>
          <w:sz w:val="22"/>
          <w:szCs w:val="22"/>
        </w:rPr>
        <w:t xml:space="preserve">Tea (2011) in Chapter I appears to be a typographical error for Teo (2011); verify and correct throughout.</w:t>
      </w:r>
    </w:p>
    <w:p>
      <w:pPr>
        <w:pStyle w:val="ListParagraph"/>
        <w:numPr>
          <w:ilvl w:val="0"/>
          <w:numId w:val="2"/>
        </w:numPr>
        <w:spacing w:after="40" w:before="40" w:line="320"/>
      </w:pPr>
      <w:r>
        <w:rPr>
          <w:rFonts w:ascii="Arial" w:cs="Arial" w:eastAsia="Arial" w:hAnsi="Arial"/>
          <w:sz w:val="22"/>
          <w:szCs w:val="22"/>
        </w:rPr>
        <w:t xml:space="preserve">Al-Fraihat et al. (2018) cited in Chapter I; the correct year for that team's major study is 2020 — verify and standardise.</w:t>
      </w:r>
    </w:p>
    <w:p>
      <w:pPr>
        <w:pStyle w:val="ListParagraph"/>
        <w:numPr>
          <w:ilvl w:val="0"/>
          <w:numId w:val="2"/>
        </w:numPr>
        <w:spacing w:after="40" w:before="40" w:line="320"/>
      </w:pPr>
      <w:r>
        <w:rPr>
          <w:rFonts w:ascii="Arial" w:cs="Arial" w:eastAsia="Arial" w:hAnsi="Arial"/>
          <w:sz w:val="22"/>
          <w:szCs w:val="22"/>
        </w:rPr>
        <w:t xml:space="preserve">Several in-text citations lack year verification (e.g., 'Rogers, 2003' appears as 'Rogers (2003)' inconsistently across chapters).</w:t>
      </w:r>
    </w:p>
    <w:p>
      <w:pPr>
        <w:pStyle w:val="ListParagraph"/>
        <w:numPr>
          <w:ilvl w:val="0"/>
          <w:numId w:val="2"/>
        </w:numPr>
        <w:spacing w:after="40" w:before="40" w:line="320"/>
      </w:pPr>
      <w:r>
        <w:rPr>
          <w:rFonts w:ascii="Arial" w:cs="Arial" w:eastAsia="Arial" w:hAnsi="Arial"/>
          <w:sz w:val="22"/>
          <w:szCs w:val="22"/>
        </w:rPr>
        <w:t xml:space="preserve">Reference list is not fully consistent with APA 7th edition: DOIs are missing for several journal articles; publisher location is inconsistently included; some reference entries contain incomplete volume/issue numbers.</w:t>
      </w:r>
    </w:p>
    <w:p>
      <w:pPr>
        <w:pStyle w:val="ListParagraph"/>
        <w:numPr>
          <w:ilvl w:val="0"/>
          <w:numId w:val="2"/>
        </w:numPr>
        <w:spacing w:after="40" w:before="40" w:line="320"/>
      </w:pPr>
      <w:r>
        <w:rPr>
          <w:rFonts w:ascii="Arial" w:cs="Arial" w:eastAsia="Arial" w:hAnsi="Arial"/>
          <w:sz w:val="22"/>
          <w:szCs w:val="22"/>
        </w:rPr>
        <w:t xml:space="preserve">Cochran's formula citation should be Cochran (1977), not 'Aloy Chijioke Onyeka (2015)', which is a methodological paper referencing Cochran rather than the primary source.</w:t>
      </w:r>
    </w:p>
    <w:p>
      <w:pPr>
        <w:pStyle w:val="Heading2"/>
        <w:spacing w:after="120" w:before="240"/>
      </w:pPr>
      <w:r>
        <w:rPr>
          <w:rFonts w:ascii="Arial" w:cs="Arial" w:eastAsia="Arial" w:hAnsi="Arial"/>
          <w:b/>
          <w:bCs/>
          <w:color w:val="2E75B6"/>
          <w:sz w:val="24"/>
          <w:szCs w:val="24"/>
        </w:rPr>
        <w:t xml:space="preserve">A.4 Methodological Weaknesses</w:t>
      </w:r>
    </w:p>
    <w:p>
      <w:pPr>
        <w:pStyle w:val="ListParagraph"/>
        <w:numPr>
          <w:ilvl w:val="0"/>
          <w:numId w:val="2"/>
        </w:numPr>
        <w:spacing w:after="40" w:before="40" w:line="320"/>
      </w:pPr>
      <w:r>
        <w:rPr>
          <w:rFonts w:ascii="Arial" w:cs="Arial" w:eastAsia="Arial" w:hAnsi="Arial"/>
          <w:sz w:val="22"/>
          <w:szCs w:val="22"/>
        </w:rPr>
        <w:t xml:space="preserve">Convenience sampling is a significant limitation inadequately addressed; probability-based sampling (stratified or cluster sampling across schools) would substantially strengthen external validity claims.</w:t>
      </w:r>
    </w:p>
    <w:p>
      <w:pPr>
        <w:pStyle w:val="ListParagraph"/>
        <w:numPr>
          <w:ilvl w:val="0"/>
          <w:numId w:val="2"/>
        </w:numPr>
        <w:spacing w:after="40" w:before="40" w:line="320"/>
      </w:pPr>
      <w:r>
        <w:rPr>
          <w:rFonts w:ascii="Arial" w:cs="Arial" w:eastAsia="Arial" w:hAnsi="Arial"/>
          <w:sz w:val="22"/>
          <w:szCs w:val="22"/>
        </w:rPr>
        <w:t xml:space="preserve">The operationalisation of 'e-learning adoption' as the dependent variable is ambiguous; the variable appears to amalgamate attitudinal readiness, behavioural intention, and actual usage frequency without clear conceptual demarcation.</w:t>
      </w:r>
    </w:p>
    <w:p>
      <w:pPr>
        <w:pStyle w:val="ListParagraph"/>
        <w:numPr>
          <w:ilvl w:val="0"/>
          <w:numId w:val="2"/>
        </w:numPr>
        <w:spacing w:after="40" w:before="40" w:line="320"/>
      </w:pPr>
      <w:r>
        <w:rPr>
          <w:rFonts w:ascii="Arial" w:cs="Arial" w:eastAsia="Arial" w:hAnsi="Arial"/>
          <w:sz w:val="22"/>
          <w:szCs w:val="22"/>
        </w:rPr>
        <w:t xml:space="preserve">Common Method Bias (CMB) is not addressed; when all variables are measured through self-report in a single administration, Harman's single-factor test or procedural remedies should be documented.</w:t>
      </w:r>
    </w:p>
    <w:p>
      <w:pPr>
        <w:pStyle w:val="ListParagraph"/>
        <w:numPr>
          <w:ilvl w:val="0"/>
          <w:numId w:val="2"/>
        </w:numPr>
        <w:spacing w:after="40" w:before="40" w:line="320"/>
      </w:pPr>
      <w:r>
        <w:rPr>
          <w:rFonts w:ascii="Arial" w:cs="Arial" w:eastAsia="Arial" w:hAnsi="Arial"/>
          <w:sz w:val="22"/>
          <w:szCs w:val="22"/>
        </w:rPr>
        <w:t xml:space="preserve">Semi-structured interview data with 7 participants is presented without a systematic coding framework or inter-rater reliability assessment, limiting its credibility as independent triangulation.</w:t>
      </w:r>
    </w:p>
    <w:p>
      <w:pPr>
        <w:pStyle w:val="ListParagraph"/>
        <w:numPr>
          <w:ilvl w:val="0"/>
          <w:numId w:val="2"/>
        </w:numPr>
        <w:spacing w:after="40" w:before="40" w:line="320"/>
      </w:pPr>
      <w:r>
        <w:rPr>
          <w:rFonts w:ascii="Arial" w:cs="Arial" w:eastAsia="Arial" w:hAnsi="Arial"/>
          <w:sz w:val="22"/>
          <w:szCs w:val="22"/>
        </w:rPr>
        <w:t xml:space="preserve">The paper states 'data collected between October–November 2025' in the methodology and 'December 19–24, 2024' in the on-site section — this date inconsistency must be resolved.</w:t>
      </w:r>
    </w:p>
    <w:p>
      <w:pPr>
        <w:pStyle w:val="Heading2"/>
        <w:spacing w:after="120" w:before="240"/>
      </w:pPr>
      <w:r>
        <w:rPr>
          <w:rFonts w:ascii="Arial" w:cs="Arial" w:eastAsia="Arial" w:hAnsi="Arial"/>
          <w:b/>
          <w:bCs/>
          <w:color w:val="2E75B6"/>
          <w:sz w:val="24"/>
          <w:szCs w:val="24"/>
        </w:rPr>
        <w:t xml:space="preserve">A.5 Statistical Presentation Issues</w:t>
      </w:r>
    </w:p>
    <w:p>
      <w:pPr>
        <w:pStyle w:val="ListParagraph"/>
        <w:numPr>
          <w:ilvl w:val="0"/>
          <w:numId w:val="2"/>
        </w:numPr>
        <w:spacing w:after="40" w:before="40" w:line="320"/>
      </w:pPr>
      <w:r>
        <w:rPr>
          <w:rFonts w:ascii="Arial" w:cs="Arial" w:eastAsia="Arial" w:hAnsi="Arial"/>
          <w:sz w:val="22"/>
          <w:szCs w:val="22"/>
        </w:rPr>
        <w:t xml:space="preserve">Standardised beta (β) and unstandardised (B) coefficients are conflated in the hypotheses summary table; both should be reported but clearly distinguished.</w:t>
      </w:r>
    </w:p>
    <w:p>
      <w:pPr>
        <w:pStyle w:val="ListParagraph"/>
        <w:numPr>
          <w:ilvl w:val="0"/>
          <w:numId w:val="2"/>
        </w:numPr>
        <w:spacing w:after="40" w:before="40" w:line="320"/>
      </w:pPr>
      <w:r>
        <w:rPr>
          <w:rFonts w:ascii="Arial" w:cs="Arial" w:eastAsia="Arial" w:hAnsi="Arial"/>
          <w:sz w:val="22"/>
          <w:szCs w:val="22"/>
        </w:rPr>
        <w:t xml:space="preserve">Effect sizes (Cohen's d, η²) are reported inconsistently; they should be computed and reported for all inferential tests to enable meta-analytic comparison.</w:t>
      </w:r>
    </w:p>
    <w:p>
      <w:pPr>
        <w:pStyle w:val="ListParagraph"/>
        <w:numPr>
          <w:ilvl w:val="0"/>
          <w:numId w:val="2"/>
        </w:numPr>
        <w:spacing w:after="40" w:before="40" w:line="320"/>
      </w:pPr>
      <w:r>
        <w:rPr>
          <w:rFonts w:ascii="Arial" w:cs="Arial" w:eastAsia="Arial" w:hAnsi="Arial"/>
          <w:sz w:val="22"/>
          <w:szCs w:val="22"/>
        </w:rPr>
        <w:t xml:space="preserve">The regression constant (β = 0.847, p = .001) is incorrectly interpreted as a meaningful predictor in Section 4.7; the constant reflects baseline adoption when all predictors equal zero, not an independent variable effect.</w:t>
      </w:r>
    </w:p>
    <w:p>
      <w:pPr>
        <w:pStyle w:val="ListParagraph"/>
        <w:numPr>
          <w:ilvl w:val="0"/>
          <w:numId w:val="2"/>
        </w:numPr>
        <w:spacing w:after="40" w:before="40" w:line="320"/>
      </w:pPr>
      <w:r>
        <w:rPr>
          <w:rFonts w:ascii="Arial" w:cs="Arial" w:eastAsia="Arial" w:hAnsi="Arial"/>
          <w:sz w:val="22"/>
          <w:szCs w:val="22"/>
        </w:rPr>
        <w:t xml:space="preserve">The explanation that adjusted R² of 0.645 suggests the model 'contains strong descriptive power' should be phrased as 'predictive power' and contextualised against comparable studies.</w:t>
      </w:r>
    </w:p>
    <w:p>
      <w:pPr>
        <w:pStyle w:val="ListParagraph"/>
        <w:numPr>
          <w:ilvl w:val="0"/>
          <w:numId w:val="2"/>
        </w:numPr>
        <w:spacing w:after="40" w:before="40" w:line="320"/>
      </w:pPr>
      <w:r>
        <w:rPr>
          <w:rFonts w:ascii="Arial" w:cs="Arial" w:eastAsia="Arial" w:hAnsi="Arial"/>
          <w:sz w:val="22"/>
          <w:szCs w:val="22"/>
        </w:rPr>
        <w:t xml:space="preserve">ANOVA for teaching experience reports p = 0.07 in one location and p = 0.007 in another — verify the correct value throughout.</w:t>
      </w:r>
    </w:p>
    <w:p>
      <w:pPr>
        <w:pStyle w:val="Heading2"/>
        <w:spacing w:after="120" w:before="240"/>
      </w:pPr>
      <w:r>
        <w:rPr>
          <w:rFonts w:ascii="Arial" w:cs="Arial" w:eastAsia="Arial" w:hAnsi="Arial"/>
          <w:b/>
          <w:bCs/>
          <w:color w:val="2E75B6"/>
          <w:sz w:val="24"/>
          <w:szCs w:val="24"/>
        </w:rPr>
        <w:t xml:space="preserve">A.6 SSRN Submission Risks</w:t>
      </w:r>
    </w:p>
    <w:p>
      <w:pPr>
        <w:pStyle w:val="ListParagraph"/>
        <w:numPr>
          <w:ilvl w:val="0"/>
          <w:numId w:val="2"/>
        </w:numPr>
        <w:spacing w:after="40" w:before="40" w:line="320"/>
      </w:pPr>
      <w:r>
        <w:rPr>
          <w:rFonts w:ascii="Arial" w:cs="Arial" w:eastAsia="Arial" w:hAnsi="Arial"/>
          <w:sz w:val="22"/>
          <w:szCs w:val="22"/>
        </w:rPr>
        <w:t xml:space="preserve">Articles with pervasive grammatical errors face rejection from SSRN moderators; thorough English proofreading by a native speaker or professional editing service is essential before submission.</w:t>
      </w:r>
    </w:p>
    <w:p>
      <w:pPr>
        <w:pStyle w:val="ListParagraph"/>
        <w:numPr>
          <w:ilvl w:val="0"/>
          <w:numId w:val="2"/>
        </w:numPr>
        <w:spacing w:after="40" w:before="40" w:line="320"/>
      </w:pPr>
      <w:r>
        <w:rPr>
          <w:rFonts w:ascii="Arial" w:cs="Arial" w:eastAsia="Arial" w:hAnsi="Arial"/>
          <w:sz w:val="22"/>
          <w:szCs w:val="22"/>
        </w:rPr>
        <w:t xml:space="preserve">The SSRN abstract field has a 250-word limit; the revised abstract (in the main article) should be compressed further for the submission form.</w:t>
      </w:r>
    </w:p>
    <w:p>
      <w:pPr>
        <w:pStyle w:val="ListParagraph"/>
        <w:numPr>
          <w:ilvl w:val="0"/>
          <w:numId w:val="2"/>
        </w:numPr>
        <w:spacing w:after="40" w:before="40" w:line="320"/>
      </w:pPr>
      <w:r>
        <w:rPr>
          <w:rFonts w:ascii="Arial" w:cs="Arial" w:eastAsia="Arial" w:hAnsi="Arial"/>
          <w:sz w:val="22"/>
          <w:szCs w:val="22"/>
        </w:rPr>
        <w:t xml:space="preserve">The dissertation format (chapter headers, institutional pages, appendices with questionnaires) must be entirely removed before submission; SSRN readers expect journal article structure.</w:t>
      </w:r>
    </w:p>
    <w:p>
      <w:pPr>
        <w:pStyle w:val="ListParagraph"/>
        <w:numPr>
          <w:ilvl w:val="0"/>
          <w:numId w:val="2"/>
        </w:numPr>
        <w:spacing w:after="40" w:before="40" w:line="320"/>
      </w:pPr>
      <w:r>
        <w:rPr>
          <w:rFonts w:ascii="Arial" w:cs="Arial" w:eastAsia="Arial" w:hAnsi="Arial"/>
          <w:sz w:val="22"/>
          <w:szCs w:val="22"/>
        </w:rPr>
        <w:t xml:space="preserve">The title should be updated to the improved scholarly version provided in this document (see Section A.8).</w:t>
      </w:r>
    </w:p>
    <w:p>
      <w:pPr>
        <w:pStyle w:val="Heading2"/>
        <w:spacing w:after="120" w:before="240"/>
      </w:pPr>
      <w:r>
        <w:rPr>
          <w:rFonts w:ascii="Arial" w:cs="Arial" w:eastAsia="Arial" w:hAnsi="Arial"/>
          <w:b/>
          <w:bCs/>
          <w:color w:val="2E75B6"/>
          <w:sz w:val="24"/>
          <w:szCs w:val="24"/>
        </w:rPr>
        <w:t xml:space="preserve">A.7 Plagiarism Risk Sections</w:t>
      </w:r>
    </w:p>
    <w:p>
      <w:pPr>
        <w:pStyle w:val="ListParagraph"/>
        <w:numPr>
          <w:ilvl w:val="0"/>
          <w:numId w:val="2"/>
        </w:numPr>
        <w:spacing w:after="40" w:before="40" w:line="320"/>
      </w:pPr>
      <w:r>
        <w:rPr>
          <w:rFonts w:ascii="Arial" w:cs="Arial" w:eastAsia="Arial" w:hAnsi="Arial"/>
          <w:sz w:val="22"/>
          <w:szCs w:val="22"/>
        </w:rPr>
        <w:t xml:space="preserve">Chapter II (Literature Review), Sections 2.3.1–2.3.3: theoretical definitions of TAM, UTAUT, and TPACK are reproduced in ways that closely paraphrase original sources; rephrase analytically with clear synthetic commentary.</w:t>
      </w:r>
    </w:p>
    <w:p>
      <w:pPr>
        <w:pStyle w:val="ListParagraph"/>
        <w:numPr>
          <w:ilvl w:val="0"/>
          <w:numId w:val="2"/>
        </w:numPr>
        <w:spacing w:after="40" w:before="40" w:line="320"/>
      </w:pPr>
      <w:r>
        <w:rPr>
          <w:rFonts w:ascii="Arial" w:cs="Arial" w:eastAsia="Arial" w:hAnsi="Arial"/>
          <w:sz w:val="22"/>
          <w:szCs w:val="22"/>
        </w:rPr>
        <w:t xml:space="preserve">Chapter I (Introduction), paragraphs 2–3: sentence-level phrasing closely mirrors Rana et al. (2019) and Al-Fraihat et al. (2020); paraphrase substantively and ensure citations are accurate.</w:t>
      </w:r>
    </w:p>
    <w:p>
      <w:pPr>
        <w:pStyle w:val="ListParagraph"/>
        <w:numPr>
          <w:ilvl w:val="0"/>
          <w:numId w:val="2"/>
        </w:numPr>
        <w:spacing w:after="40" w:before="40" w:line="320"/>
      </w:pPr>
      <w:r>
        <w:rPr>
          <w:rFonts w:ascii="Arial" w:cs="Arial" w:eastAsia="Arial" w:hAnsi="Arial"/>
          <w:sz w:val="22"/>
          <w:szCs w:val="22"/>
        </w:rPr>
        <w:t xml:space="preserve">Chapter V (Conclusion): several sentences repeat verbatim content from Chapter IV's major findings section; restructure to provide genuine synthesis rather than repetition.</w:t>
      </w:r>
    </w:p>
    <w:p>
      <w:pPr>
        <w:pStyle w:val="Heading2"/>
        <w:spacing w:after="120" w:before="240"/>
      </w:pPr>
      <w:r>
        <w:rPr>
          <w:rFonts w:ascii="Arial" w:cs="Arial" w:eastAsia="Arial" w:hAnsi="Arial"/>
          <w:b/>
          <w:bCs/>
          <w:color w:val="2E75B6"/>
          <w:sz w:val="24"/>
          <w:szCs w:val="24"/>
        </w:rPr>
        <w:t xml:space="preserve">A.8 Ten Improved Title Suggestions</w:t>
      </w:r>
    </w:p>
    <w:p>
      <w:pPr>
        <w:pStyle w:val="ListParagraph"/>
        <w:numPr>
          <w:ilvl w:val="0"/>
          <w:numId w:val="2"/>
        </w:numPr>
        <w:spacing w:after="40" w:before="40" w:line="320"/>
      </w:pPr>
      <w:r>
        <w:rPr>
          <w:rFonts w:ascii="Arial" w:cs="Arial" w:eastAsia="Arial" w:hAnsi="Arial"/>
          <w:sz w:val="22"/>
          <w:szCs w:val="22"/>
        </w:rPr>
        <w:t xml:space="preserve">1. [RECOMMENDED] Determinants of E-Learning Adoption Among Government School Teachers: Evidence from Bhaktapur District, Nepal</w:t>
      </w:r>
    </w:p>
    <w:p>
      <w:pPr>
        <w:pStyle w:val="ListParagraph"/>
        <w:numPr>
          <w:ilvl w:val="0"/>
          <w:numId w:val="2"/>
        </w:numPr>
        <w:spacing w:after="40" w:before="40" w:line="320"/>
      </w:pPr>
      <w:r>
        <w:rPr>
          <w:rFonts w:ascii="Arial" w:cs="Arial" w:eastAsia="Arial" w:hAnsi="Arial"/>
          <w:sz w:val="22"/>
          <w:szCs w:val="22"/>
        </w:rPr>
        <w:t xml:space="preserve">2. Infrastructure, Readiness, and Governance: Explaining E-Learning Adoption in Nepal's Public Schools</w:t>
      </w:r>
    </w:p>
    <w:p>
      <w:pPr>
        <w:pStyle w:val="ListParagraph"/>
        <w:numPr>
          <w:ilvl w:val="0"/>
          <w:numId w:val="2"/>
        </w:numPr>
        <w:spacing w:after="40" w:before="40" w:line="320"/>
      </w:pPr>
      <w:r>
        <w:rPr>
          <w:rFonts w:ascii="Arial" w:cs="Arial" w:eastAsia="Arial" w:hAnsi="Arial"/>
          <w:sz w:val="22"/>
          <w:szCs w:val="22"/>
        </w:rPr>
        <w:t xml:space="preserve">3. Teacher Readiness Versus Resource Constraints: A Multi-Dimensional Analysis of E-Learning Adoption in Bhaktapur District Government Schools</w:t>
      </w:r>
    </w:p>
    <w:p>
      <w:pPr>
        <w:pStyle w:val="ListParagraph"/>
        <w:numPr>
          <w:ilvl w:val="0"/>
          <w:numId w:val="2"/>
        </w:numPr>
        <w:spacing w:after="40" w:before="40" w:line="320"/>
      </w:pPr>
      <w:r>
        <w:rPr>
          <w:rFonts w:ascii="Arial" w:cs="Arial" w:eastAsia="Arial" w:hAnsi="Arial"/>
          <w:sz w:val="22"/>
          <w:szCs w:val="22"/>
        </w:rPr>
        <w:t xml:space="preserve">4. Technology Acceptance, Training Deficits, and Governance Barriers: E-Learning Adoption Among Nepalese Government School Teachers</w:t>
      </w:r>
    </w:p>
    <w:p>
      <w:pPr>
        <w:pStyle w:val="ListParagraph"/>
        <w:numPr>
          <w:ilvl w:val="0"/>
          <w:numId w:val="2"/>
        </w:numPr>
        <w:spacing w:after="40" w:before="40" w:line="320"/>
      </w:pPr>
      <w:r>
        <w:rPr>
          <w:rFonts w:ascii="Arial" w:cs="Arial" w:eastAsia="Arial" w:hAnsi="Arial"/>
          <w:sz w:val="22"/>
          <w:szCs w:val="22"/>
        </w:rPr>
        <w:t xml:space="preserve">5. From Motivation to Practice: Determinants of E-Learning Integration Among Public School Teachers in Nepal</w:t>
      </w:r>
    </w:p>
    <w:p>
      <w:pPr>
        <w:pStyle w:val="ListParagraph"/>
        <w:numPr>
          <w:ilvl w:val="0"/>
          <w:numId w:val="2"/>
        </w:numPr>
        <w:spacing w:after="40" w:before="40" w:line="320"/>
      </w:pPr>
      <w:r>
        <w:rPr>
          <w:rFonts w:ascii="Arial" w:cs="Arial" w:eastAsia="Arial" w:hAnsi="Arial"/>
          <w:sz w:val="22"/>
          <w:szCs w:val="22"/>
        </w:rPr>
        <w:t xml:space="preserve">6. Assessing E-Learning Adoption Readiness in Nepal's Government Schools: A TAM-UTAUT-TPACK Framework Analysis</w:t>
      </w:r>
    </w:p>
    <w:p>
      <w:pPr>
        <w:pStyle w:val="ListParagraph"/>
        <w:numPr>
          <w:ilvl w:val="0"/>
          <w:numId w:val="2"/>
        </w:numPr>
        <w:spacing w:after="40" w:before="40" w:line="320"/>
      </w:pPr>
      <w:r>
        <w:rPr>
          <w:rFonts w:ascii="Arial" w:cs="Arial" w:eastAsia="Arial" w:hAnsi="Arial"/>
          <w:sz w:val="22"/>
          <w:szCs w:val="22"/>
        </w:rPr>
        <w:t xml:space="preserve">7. Digital Transformation in Nepal's Public Education System: Evidence from Government School Teachers in Bhaktapur</w:t>
      </w:r>
    </w:p>
    <w:p>
      <w:pPr>
        <w:pStyle w:val="ListParagraph"/>
        <w:numPr>
          <w:ilvl w:val="0"/>
          <w:numId w:val="2"/>
        </w:numPr>
        <w:spacing w:after="40" w:before="40" w:line="320"/>
      </w:pPr>
      <w:r>
        <w:rPr>
          <w:rFonts w:ascii="Arial" w:cs="Arial" w:eastAsia="Arial" w:hAnsi="Arial"/>
          <w:sz w:val="22"/>
          <w:szCs w:val="22"/>
        </w:rPr>
        <w:t xml:space="preserve">8. The Readiness-Resources Paradox in Educational Technology: E-Learning Adoption Among Government School Teachers in Bhaktapur, Nepal</w:t>
      </w:r>
    </w:p>
    <w:p>
      <w:pPr>
        <w:pStyle w:val="ListParagraph"/>
        <w:numPr>
          <w:ilvl w:val="0"/>
          <w:numId w:val="2"/>
        </w:numPr>
        <w:spacing w:after="40" w:before="40" w:line="320"/>
      </w:pPr>
      <w:r>
        <w:rPr>
          <w:rFonts w:ascii="Arial" w:cs="Arial" w:eastAsia="Arial" w:hAnsi="Arial"/>
          <w:sz w:val="22"/>
          <w:szCs w:val="22"/>
        </w:rPr>
        <w:t xml:space="preserve">9. E-Learning Adoption Barriers in Government Schools of a Developing Economy: Empirical Evidence from Nepal</w:t>
      </w:r>
    </w:p>
    <w:p>
      <w:pPr>
        <w:pStyle w:val="ListParagraph"/>
        <w:numPr>
          <w:ilvl w:val="0"/>
          <w:numId w:val="2"/>
        </w:numPr>
        <w:spacing w:after="40" w:before="40" w:line="320"/>
      </w:pPr>
      <w:r>
        <w:rPr>
          <w:rFonts w:ascii="Arial" w:cs="Arial" w:eastAsia="Arial" w:hAnsi="Arial"/>
          <w:sz w:val="22"/>
          <w:szCs w:val="22"/>
        </w:rPr>
        <w:t xml:space="preserve">10. Infrastructure Availability, Personnel Readiness, and Institutional Governance as Predictors of E-Learning Adoption: A Nepalese Government School Study</w:t>
      </w:r>
    </w:p>
    <w:p>
      <w:pPr>
        <w:pStyle w:val="Heading2"/>
        <w:spacing w:after="120" w:before="240"/>
      </w:pPr>
      <w:r>
        <w:rPr>
          <w:rFonts w:ascii="Arial" w:cs="Arial" w:eastAsia="Arial" w:hAnsi="Arial"/>
          <w:b/>
          <w:bCs/>
          <w:color w:val="2E75B6"/>
          <w:sz w:val="24"/>
          <w:szCs w:val="24"/>
        </w:rPr>
        <w:t xml:space="preserve">A.9 Three Abstract Versions</w:t>
      </w:r>
    </w:p>
    <w:p>
      <w:pPr>
        <w:pStyle w:val="Heading3"/>
        <w:spacing w:after="80" w:before="180"/>
      </w:pPr>
      <w:r>
        <w:rPr>
          <w:rFonts w:ascii="Arial" w:cs="Arial" w:eastAsia="Arial" w:hAnsi="Arial"/>
          <w:b/>
          <w:bCs/>
          <w:color w:val="4F4F4F"/>
          <w:sz w:val="22"/>
          <w:szCs w:val="22"/>
        </w:rPr>
        <w:t xml:space="preserve">Version 1: SSRN Working Paper Style</w:t>
      </w:r>
    </w:p>
    <w:p>
      <w:pPr>
        <w:spacing w:after="160" w:before="80" w:line="360"/>
        <w:jc w:val="both"/>
      </w:pPr>
      <w:r>
        <w:rPr>
          <w:rFonts w:ascii="Arial" w:cs="Arial" w:eastAsia="Arial" w:hAnsi="Arial"/>
          <w:b w:val="false"/>
          <w:bCs w:val="false"/>
          <w:color w:val="000000"/>
          <w:sz w:val="22"/>
          <w:szCs w:val="22"/>
        </w:rPr>
        <w:t xml:space="preserve">This study investigates determinants of e-learning adoption among 292 government school teachers in Bhaktapur District, Nepal, using a quantitative descriptive-analytical design. Grounded in TAM, UTAUT, and TPACK, the research examines three predictor clusters: infrastructure availability, personnel factors, and institutional governance. Multiple regression analysis (R² = .659, F = 45.82, p &lt; .001) identified personnel factors (β = .476), infrastructure (β = .289), and governance (β = .221) as significant predictors. A critical paradox was observed: teachers demonstrated high motivational readiness (M = 3.78) yet faced critically deficient infrastructure (M = 2.53) and formal ICT training gaps (M = 2.84). Younger, less experienced teachers exhibited significantly higher adoption readiness (F = 3.842, p = .007), while gender and qualification level produced no significant differences. Findings contribute to evidence on e-learning adoption in low-resource public school contexts and have direct implications for Nepal's educational technology policy agenda.</w:t>
      </w:r>
    </w:p>
    <w:p>
      <w:pPr>
        <w:pStyle w:val="Heading3"/>
        <w:spacing w:after="80" w:before="180"/>
      </w:pPr>
      <w:r>
        <w:rPr>
          <w:rFonts w:ascii="Arial" w:cs="Arial" w:eastAsia="Arial" w:hAnsi="Arial"/>
          <w:b/>
          <w:bCs/>
          <w:color w:val="4F4F4F"/>
          <w:sz w:val="22"/>
          <w:szCs w:val="22"/>
        </w:rPr>
        <w:t xml:space="preserve">Version 2: Peer-Reviewed Journal Style</w:t>
      </w:r>
    </w:p>
    <w:p>
      <w:pPr>
        <w:spacing w:after="160" w:before="80" w:line="360"/>
        <w:jc w:val="both"/>
      </w:pPr>
      <w:r>
        <w:rPr>
          <w:rFonts w:ascii="Arial" w:cs="Arial" w:eastAsia="Arial" w:hAnsi="Arial"/>
          <w:b w:val="false"/>
          <w:bCs w:val="false"/>
          <w:color w:val="000000"/>
          <w:sz w:val="22"/>
          <w:szCs w:val="22"/>
        </w:rPr>
        <w:t xml:space="preserve">Background and Aim: Despite sustained policy commitment to educational digitalisation, e-learning adoption remains limited in Nepal's government schools. This study examines infrastructure availability, personnel factors, and institutional governance as determinants of e-learning adoption among government school teachers in Bhaktapur District. Methods: Using a quantitative, descriptive-analytical design, structured questionnaires were administered to 292 teachers (December 2024). Data were analysed via Pearson correlation, multiple linear regression, independent t-tests, and one-way ANOVA. Results: The regression model explained 65.9% of variance in adoption. Personnel factors were the strongest predictor (β = .476, p &lt; .001), followed by infrastructure (β = .289, p = .001) and governance (β = .221, p = .004). Infrastructure availability was critically low (M = 2.53), despite high teacher motivation (M = 3.78). Formal ICT training was severely deficient (M = 2.84). Teaching experience was inversely associated with adoption readiness (p = .007). Conclusions: A readiness-resources paradox characterises e-learning adoption in Bhaktapur government schools. Coordinated investment in ICT infrastructure, structured teacher training, and governance reform is essential to realise Nepal's digital education agenda.</w:t>
      </w:r>
    </w:p>
    <w:p>
      <w:pPr>
        <w:pStyle w:val="Heading3"/>
        <w:spacing w:after="80" w:before="180"/>
      </w:pPr>
      <w:r>
        <w:rPr>
          <w:rFonts w:ascii="Arial" w:cs="Arial" w:eastAsia="Arial" w:hAnsi="Arial"/>
          <w:b/>
          <w:bCs/>
          <w:color w:val="4F4F4F"/>
          <w:sz w:val="22"/>
          <w:szCs w:val="22"/>
        </w:rPr>
        <w:t xml:space="preserve">Version 3: Scopus-Style Concise Abstract</w:t>
      </w:r>
    </w:p>
    <w:p>
      <w:pPr>
        <w:spacing w:after="160" w:before="80" w:line="360"/>
        <w:jc w:val="both"/>
      </w:pPr>
      <w:r>
        <w:rPr>
          <w:rFonts w:ascii="Arial" w:cs="Arial" w:eastAsia="Arial" w:hAnsi="Arial"/>
          <w:b w:val="false"/>
          <w:bCs w:val="false"/>
          <w:color w:val="000000"/>
          <w:sz w:val="22"/>
          <w:szCs w:val="22"/>
        </w:rPr>
        <w:t xml:space="preserve">This study examines infrastructure availability, personnel factors, and institutional governance as predictors of e-learning adoption among 292 government school teachers in Bhaktapur District, Nepal. Using multiple regression analysis, the model accounted for 65.9% of variance in adoption (R² = .659, p &lt; .001). Personnel factors (β = .476) emerged as the strongest predictor, followed by infrastructure availability (β = .289) and governance (β = .221). Teachers demonstrated high motivational readiness (M = 3.78) yet faced critically low infrastructure availability (M = 2.53) and severe ICT training deficits (M = 2.84). Teaching experience was inversely associated with adoption readiness (p = .007). Findings highlight a readiness-resources paradox warranting coordinated policy intervention in infrastructure investment, teacher professional development, and examination governance reform in Nepal's public school system.</w:t>
      </w:r>
    </w:p>
    <w:p>
      <w:pPr>
        <w:pStyle w:val="Heading2"/>
        <w:spacing w:after="120" w:before="240"/>
      </w:pPr>
      <w:r>
        <w:rPr>
          <w:rFonts w:ascii="Arial" w:cs="Arial" w:eastAsia="Arial" w:hAnsi="Arial"/>
          <w:b/>
          <w:bCs/>
          <w:color w:val="2E75B6"/>
          <w:sz w:val="24"/>
          <w:szCs w:val="24"/>
        </w:rPr>
        <w:t xml:space="preserve">A.10 SSRN Submission Guidance</w:t>
      </w:r>
    </w:p>
    <w:p>
      <w:pPr>
        <w:pStyle w:val="Heading3"/>
        <w:spacing w:after="80" w:before="180"/>
      </w:pPr>
      <w:r>
        <w:rPr>
          <w:rFonts w:ascii="Arial" w:cs="Arial" w:eastAsia="Arial" w:hAnsi="Arial"/>
          <w:b/>
          <w:bCs/>
          <w:color w:val="4F4F4F"/>
          <w:sz w:val="22"/>
          <w:szCs w:val="22"/>
        </w:rPr>
        <w:t xml:space="preserve">Recommended SSRN Classification</w:t>
      </w:r>
    </w:p>
    <w:p>
      <w:pPr>
        <w:pStyle w:val="ListParagraph"/>
        <w:numPr>
          <w:ilvl w:val="0"/>
          <w:numId w:val="2"/>
        </w:numPr>
        <w:spacing w:after="40" w:before="40" w:line="320"/>
      </w:pPr>
      <w:r>
        <w:rPr>
          <w:rFonts w:ascii="Arial" w:cs="Arial" w:eastAsia="Arial" w:hAnsi="Arial"/>
          <w:sz w:val="22"/>
          <w:szCs w:val="22"/>
        </w:rPr>
        <w:t xml:space="preserve">Primary Network: Education Research Network (ERN)</w:t>
      </w:r>
    </w:p>
    <w:p>
      <w:pPr>
        <w:pStyle w:val="ListParagraph"/>
        <w:numPr>
          <w:ilvl w:val="0"/>
          <w:numId w:val="2"/>
        </w:numPr>
        <w:spacing w:after="40" w:before="40" w:line="320"/>
      </w:pPr>
      <w:r>
        <w:rPr>
          <w:rFonts w:ascii="Arial" w:cs="Arial" w:eastAsia="Arial" w:hAnsi="Arial"/>
          <w:sz w:val="22"/>
          <w:szCs w:val="22"/>
        </w:rPr>
        <w:t xml:space="preserve">Secondary Networks: Public Policy &amp; Law (for governance dimension); Information Systems &amp; eBusiness</w:t>
      </w:r>
    </w:p>
    <w:p>
      <w:pPr>
        <w:pStyle w:val="ListParagraph"/>
        <w:numPr>
          <w:ilvl w:val="0"/>
          <w:numId w:val="2"/>
        </w:numPr>
        <w:spacing w:after="40" w:before="40" w:line="320"/>
      </w:pPr>
      <w:r>
        <w:rPr>
          <w:rFonts w:ascii="Arial" w:cs="Arial" w:eastAsia="Arial" w:hAnsi="Arial"/>
          <w:sz w:val="22"/>
          <w:szCs w:val="22"/>
        </w:rPr>
        <w:t xml:space="preserve">Disciplines: Education, Educational Technology, Public Administration, Development Economics</w:t>
      </w:r>
    </w:p>
    <w:p>
      <w:pPr>
        <w:pStyle w:val="ListParagraph"/>
        <w:numPr>
          <w:ilvl w:val="0"/>
          <w:numId w:val="2"/>
        </w:numPr>
        <w:spacing w:after="40" w:before="40" w:line="320"/>
      </w:pPr>
      <w:r>
        <w:rPr>
          <w:rFonts w:ascii="Arial" w:cs="Arial" w:eastAsia="Arial" w:hAnsi="Arial"/>
          <w:sz w:val="22"/>
          <w:szCs w:val="22"/>
        </w:rPr>
        <w:t xml:space="preserve">JEL Codes: I21 (Analysis of Education), I28 (Government Policy), O33 (Technological Change — Choices and Consequences)</w:t>
      </w:r>
    </w:p>
    <w:p>
      <w:pPr>
        <w:pStyle w:val="Heading3"/>
        <w:spacing w:after="80" w:before="180"/>
      </w:pPr>
      <w:r>
        <w:rPr>
          <w:rFonts w:ascii="Arial" w:cs="Arial" w:eastAsia="Arial" w:hAnsi="Arial"/>
          <w:b/>
          <w:bCs/>
          <w:color w:val="4F4F4F"/>
          <w:sz w:val="22"/>
          <w:szCs w:val="22"/>
        </w:rPr>
        <w:t xml:space="preserve">Recommended Keywords for SSRN Submission Form</w:t>
      </w:r>
    </w:p>
    <w:p>
      <w:pPr>
        <w:pStyle w:val="ListParagraph"/>
        <w:numPr>
          <w:ilvl w:val="0"/>
          <w:numId w:val="2"/>
        </w:numPr>
        <w:spacing w:after="40" w:before="40" w:line="320"/>
      </w:pPr>
      <w:r>
        <w:rPr>
          <w:rFonts w:ascii="Arial" w:cs="Arial" w:eastAsia="Arial" w:hAnsi="Arial"/>
          <w:sz w:val="22"/>
          <w:szCs w:val="22"/>
        </w:rPr>
        <w:t xml:space="preserve">e-learning adoption; technology acceptance model; Nepal; government schools; ICT infrastructure; teacher readiness; UTAUT; TPACK; digital transformation; South Asia</w:t>
      </w:r>
    </w:p>
    <w:p>
      <w:pPr>
        <w:pStyle w:val="Heading3"/>
        <w:spacing w:after="80" w:before="180"/>
      </w:pPr>
      <w:r>
        <w:rPr>
          <w:rFonts w:ascii="Arial" w:cs="Arial" w:eastAsia="Arial" w:hAnsi="Arial"/>
          <w:b/>
          <w:bCs/>
          <w:color w:val="4F4F4F"/>
          <w:sz w:val="22"/>
          <w:szCs w:val="22"/>
        </w:rPr>
        <w:t xml:space="preserve">Submission Type Recommendation</w:t>
      </w:r>
    </w:p>
    <w:p>
      <w:pPr>
        <w:pStyle w:val="ListParagraph"/>
        <w:numPr>
          <w:ilvl w:val="0"/>
          <w:numId w:val="2"/>
        </w:numPr>
        <w:spacing w:after="40" w:before="40" w:line="320"/>
      </w:pPr>
      <w:r>
        <w:rPr>
          <w:rFonts w:ascii="Arial" w:cs="Arial" w:eastAsia="Arial" w:hAnsi="Arial"/>
          <w:sz w:val="22"/>
          <w:szCs w:val="22"/>
        </w:rPr>
        <w:t xml:space="preserve">Submit as: Working Paper / Preprint (not Published Version, as this is a thesis conversion — disclose thesis origin in cover note)</w:t>
      </w:r>
    </w:p>
    <w:p>
      <w:pPr>
        <w:pStyle w:val="ListParagraph"/>
        <w:numPr>
          <w:ilvl w:val="0"/>
          <w:numId w:val="2"/>
        </w:numPr>
        <w:spacing w:after="40" w:before="40" w:line="320"/>
      </w:pPr>
      <w:r>
        <w:rPr>
          <w:rFonts w:ascii="Arial" w:cs="Arial" w:eastAsia="Arial" w:hAnsi="Arial"/>
          <w:sz w:val="22"/>
          <w:szCs w:val="22"/>
        </w:rPr>
        <w:t xml:space="preserve">Note in abstract: 'This paper is based on a master's thesis submitted to Tribhuvan University, January 2026.'</w:t>
      </w:r>
    </w:p>
    <w:p>
      <w:pPr>
        <w:pStyle w:val="Heading3"/>
        <w:spacing w:after="80" w:before="180"/>
      </w:pPr>
      <w:r>
        <w:rPr>
          <w:rFonts w:ascii="Arial" w:cs="Arial" w:eastAsia="Arial" w:hAnsi="Arial"/>
          <w:b/>
          <w:bCs/>
          <w:color w:val="4F4F4F"/>
          <w:sz w:val="22"/>
          <w:szCs w:val="22"/>
        </w:rPr>
        <w:t xml:space="preserve">Recommended Journals for Future Submission</w:t>
      </w:r>
    </w:p>
    <w:p>
      <w:pPr>
        <w:pStyle w:val="ListParagraph"/>
        <w:numPr>
          <w:ilvl w:val="0"/>
          <w:numId w:val="2"/>
        </w:numPr>
        <w:spacing w:after="40" w:before="40" w:line="320"/>
      </w:pPr>
      <w:r>
        <w:rPr>
          <w:rFonts w:ascii="Arial" w:cs="Arial" w:eastAsia="Arial" w:hAnsi="Arial"/>
          <w:sz w:val="22"/>
          <w:szCs w:val="22"/>
        </w:rPr>
        <w:t xml:space="preserve">Computers &amp; Education (Elsevier) — Impact Factor ~12; scope aligns closely</w:t>
      </w:r>
    </w:p>
    <w:p>
      <w:pPr>
        <w:pStyle w:val="ListParagraph"/>
        <w:numPr>
          <w:ilvl w:val="0"/>
          <w:numId w:val="2"/>
        </w:numPr>
        <w:spacing w:after="40" w:before="40" w:line="320"/>
      </w:pPr>
      <w:r>
        <w:rPr>
          <w:rFonts w:ascii="Arial" w:cs="Arial" w:eastAsia="Arial" w:hAnsi="Arial"/>
          <w:sz w:val="22"/>
          <w:szCs w:val="22"/>
        </w:rPr>
        <w:t xml:space="preserve">British Journal of Educational Technology (Wiley) — strong e-learning adoption track record</w:t>
      </w:r>
    </w:p>
    <w:p>
      <w:pPr>
        <w:pStyle w:val="ListParagraph"/>
        <w:numPr>
          <w:ilvl w:val="0"/>
          <w:numId w:val="2"/>
        </w:numPr>
        <w:spacing w:after="40" w:before="40" w:line="320"/>
      </w:pPr>
      <w:r>
        <w:rPr>
          <w:rFonts w:ascii="Arial" w:cs="Arial" w:eastAsia="Arial" w:hAnsi="Arial"/>
          <w:sz w:val="22"/>
          <w:szCs w:val="22"/>
        </w:rPr>
        <w:t xml:space="preserve">Education and Information Technologies (Springer) — South Asian context articles published</w:t>
      </w:r>
    </w:p>
    <w:p>
      <w:pPr>
        <w:pStyle w:val="ListParagraph"/>
        <w:numPr>
          <w:ilvl w:val="0"/>
          <w:numId w:val="2"/>
        </w:numPr>
        <w:spacing w:after="40" w:before="40" w:line="320"/>
      </w:pPr>
      <w:r>
        <w:rPr>
          <w:rFonts w:ascii="Arial" w:cs="Arial" w:eastAsia="Arial" w:hAnsi="Arial"/>
          <w:sz w:val="22"/>
          <w:szCs w:val="22"/>
        </w:rPr>
        <w:t xml:space="preserve">International Journal of Educational Technology in Higher Education (Springer Open) — open access</w:t>
      </w:r>
    </w:p>
    <w:p>
      <w:pPr>
        <w:pStyle w:val="ListParagraph"/>
        <w:numPr>
          <w:ilvl w:val="0"/>
          <w:numId w:val="2"/>
        </w:numPr>
        <w:spacing w:after="40" w:before="40" w:line="320"/>
      </w:pPr>
      <w:r>
        <w:rPr>
          <w:rFonts w:ascii="Arial" w:cs="Arial" w:eastAsia="Arial" w:hAnsi="Arial"/>
          <w:sz w:val="22"/>
          <w:szCs w:val="22"/>
        </w:rPr>
        <w:t xml:space="preserve">Journal of Computers in Education — emerging, open access, Asia-Pacific focus</w:t>
      </w:r>
    </w:p>
    <w:p>
      <w:pPr>
        <w:pStyle w:val="ListParagraph"/>
        <w:numPr>
          <w:ilvl w:val="0"/>
          <w:numId w:val="2"/>
        </w:numPr>
        <w:spacing w:after="40" w:before="40" w:line="320"/>
      </w:pPr>
      <w:r>
        <w:rPr>
          <w:rFonts w:ascii="Arial" w:cs="Arial" w:eastAsia="Arial" w:hAnsi="Arial"/>
          <w:sz w:val="22"/>
          <w:szCs w:val="22"/>
        </w:rPr>
        <w:t xml:space="preserve">Electronic Journal of e-Learning — practice-oriented; appropriate for policy-focused articles</w:t>
      </w:r>
    </w:p>
    <w:p>
      <w:pPr>
        <w:pStyle w:val="ListParagraph"/>
        <w:numPr>
          <w:ilvl w:val="0"/>
          <w:numId w:val="2"/>
        </w:numPr>
        <w:spacing w:after="40" w:before="40" w:line="320"/>
      </w:pPr>
      <w:r>
        <w:rPr>
          <w:rFonts w:ascii="Arial" w:cs="Arial" w:eastAsia="Arial" w:hAnsi="Arial"/>
          <w:sz w:val="22"/>
          <w:szCs w:val="22"/>
        </w:rPr>
        <w:t xml:space="preserve">International Journal of Education and Development using ICT — developing country focus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F4F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2026-05-26T09:42:30.939Z</dcterms:created>
  <dcterms:modified xsi:type="dcterms:W3CDTF">2026-05-26T09:42:30.954Z</dcterms:modified>
</cp:coreProperties>
</file>

<file path=docProps/custom.xml><?xml version="1.0" encoding="utf-8"?>
<Properties xmlns="http://schemas.openxmlformats.org/officeDocument/2006/custom-properties" xmlns:vt="http://schemas.openxmlformats.org/officeDocument/2006/docPropsVTypes"/>
</file>