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600"/>
        <w:jc w:val="center"/>
      </w:pPr>
      <w:r>
        <w:rPr>
          <w:rFonts w:ascii="Arial" w:cs="Arial" w:eastAsia="Arial" w:hAnsi="Arial"/>
          <w:b/>
          <w:bCs/>
          <w:color w:val="1F3864"/>
          <w:sz w:val="38"/>
          <w:szCs w:val="38"/>
        </w:rPr>
        <w:t xml:space="preserve">Determinants of E-Learning Adoption Among Government School Teachers: Evidence from Bhaktapur District, Nepal</w:t>
      </w:r>
    </w:p>
    <w:p>
      <w:pPr>
        <w:pBdr>
          <w:bottom w:val="single" w:color="CCCCCC" w:sz="2" w:space="1"/>
        </w:pBdr>
        <w:spacing w:after="80" w:before="80"/>
      </w:pPr>
      <w:r>
        <w:t xml:space="preserve"/>
      </w:r>
    </w:p>
    <w:p>
      <w:pPr>
        <w:spacing w:after="80" w:before="240"/>
        <w:jc w:val="center"/>
      </w:pPr>
      <w:r>
        <w:rPr>
          <w:rFonts w:ascii="Arial" w:cs="Arial" w:eastAsia="Arial" w:hAnsi="Arial"/>
          <w:b/>
          <w:bCs/>
          <w:sz w:val="26"/>
          <w:szCs w:val="26"/>
        </w:rPr>
        <w:t xml:space="preserve">Sanam Sitoula</w:t>
      </w:r>
    </w:p>
    <w:p>
      <w:pPr>
        <w:spacing w:after="80"/>
        <w:jc w:val="center"/>
      </w:pPr>
      <w:r>
        <w:rPr>
          <w:rFonts w:ascii="Arial" w:cs="Arial" w:eastAsia="Arial" w:hAnsi="Arial"/>
          <w:color w:val="4F4F4F"/>
          <w:sz w:val="22"/>
          <w:szCs w:val="22"/>
        </w:rPr>
        <w:t xml:space="preserve">Public Administration Campus, Faculty of Management</w:t>
      </w:r>
    </w:p>
    <w:p>
      <w:pPr>
        <w:spacing w:after="80"/>
        <w:jc w:val="center"/>
      </w:pPr>
      <w:r>
        <w:rPr>
          <w:rFonts w:ascii="Arial" w:cs="Arial" w:eastAsia="Arial" w:hAnsi="Arial"/>
          <w:color w:val="4F4F4F"/>
          <w:sz w:val="22"/>
          <w:szCs w:val="22"/>
        </w:rPr>
        <w:t xml:space="preserve">Tribhuvan University, Balkhu, Kathmandu, Nepal</w:t>
      </w:r>
    </w:p>
    <w:p>
      <w:pPr>
        <w:spacing w:after="80"/>
        <w:jc w:val="center"/>
      </w:pPr>
      <w:r>
        <w:rPr>
          <w:rFonts w:ascii="Arial" w:cs="Arial" w:eastAsia="Arial" w:hAnsi="Arial"/>
          <w:color w:val="2E75B6"/>
          <w:sz w:val="22"/>
          <w:szCs w:val="22"/>
        </w:rPr>
        <w:t xml:space="preserve">Email: sanam.ctaula@gmail.com</w:t>
      </w:r>
    </w:p>
    <w:p>
      <w:pPr>
        <w:spacing w:after="80"/>
        <w:jc w:val="center"/>
      </w:pPr>
      <w:r>
        <w:rPr>
          <w:rFonts w:ascii="Arial" w:cs="Arial" w:eastAsia="Arial" w:hAnsi="Arial"/>
          <w:color w:val="4F4F4F"/>
          <w:sz w:val="22"/>
          <w:szCs w:val="22"/>
        </w:rPr>
        <w:t xml:space="preserve">ORCID: [Register at orcid.org to obtain identifier]</w:t>
      </w:r>
    </w:p>
    <w:p>
      <w:pPr>
        <w:spacing w:after="80"/>
        <w:jc w:val="center"/>
      </w:pPr>
      <w:r>
        <w:rPr>
          <w:rFonts w:ascii="Arial" w:cs="Arial" w:eastAsia="Arial" w:hAnsi="Arial"/>
          <w:color w:val="4F4F4F"/>
          <w:sz w:val="22"/>
          <w:szCs w:val="22"/>
        </w:rPr>
        <w:t xml:space="preserve">Supervisor: Dr. Mukesh Kumar Bastola</w:t>
      </w:r>
    </w:p>
    <w:p>
      <w:pPr>
        <w:spacing w:after="80"/>
        <w:jc w:val="center"/>
      </w:pPr>
      <w:r>
        <w:rPr>
          <w:rFonts w:ascii="Arial" w:cs="Arial" w:eastAsia="Arial" w:hAnsi="Arial"/>
          <w:color w:val="4F4F4F"/>
          <w:sz w:val="22"/>
          <w:szCs w:val="22"/>
        </w:rPr>
        <w:t xml:space="preserve">January 2026</w:t>
      </w:r>
    </w:p>
    <w:p>
      <w:pPr>
        <w:spacing w:after="80"/>
        <w:jc w:val="center"/>
      </w:pPr>
      <w:r>
        <w:rPr>
          <w:rFonts w:ascii="Arial" w:cs="Arial" w:eastAsia="Arial" w:hAnsi="Arial"/>
          <w:color w:val="4F4F4F"/>
          <w:sz w:val="20"/>
          <w:szCs w:val="20"/>
        </w:rPr>
        <w:t xml:space="preserve">Note: This article is derived from a master's thesis submitted to Tribhuvan University, January 2026, and is submitted as a working paper/preprint.</w:t>
      </w:r>
    </w:p>
    <w:p>
      <w:pPr>
        <w:pageBreakBefore/>
      </w:pPr>
      <w:r>
        <w:t xml:space="preserve"/>
      </w:r>
    </w:p>
    <w:p>
      <w:pPr>
        <w:pStyle w:val="Heading1"/>
        <w:pBdr>
          <w:bottom w:val="single" w:color="2E75B6" w:sz="4" w:space="4"/>
        </w:pBdr>
        <w:spacing w:after="180" w:before="360"/>
      </w:pPr>
      <w:r>
        <w:rPr>
          <w:rFonts w:ascii="Arial" w:cs="Arial" w:eastAsia="Arial" w:hAnsi="Arial"/>
          <w:b/>
          <w:bCs/>
          <w:color w:val="1F3864"/>
          <w:sz w:val="30"/>
          <w:szCs w:val="30"/>
        </w:rPr>
        <w:t xml:space="preserve">Abstract</w:t>
      </w:r>
    </w:p>
    <w:p>
      <w:pPr>
        <w:spacing w:after="180" w:before="0" w:line="360"/>
        <w:jc w:val="both"/>
      </w:pPr>
      <w:r>
        <w:rPr>
          <w:rFonts w:ascii="Arial" w:cs="Arial" w:eastAsia="Arial" w:hAnsi="Arial"/>
          <w:b w:val="false"/>
          <w:bCs w:val="false"/>
          <w:color w:val="000000"/>
          <w:sz w:val="22"/>
          <w:szCs w:val="22"/>
        </w:rPr>
        <w:t xml:space="preserve">Background: The global expansion of digital education has intensified pressure on developing nations to integrate e-learning into public school systems. In Nepal, government schools face persistent structural challenges — inadequate infrastructure, deficient teacher training, and weak governance alignment — that impede this transition despite growing policy commitment.</w:t>
      </w:r>
    </w:p>
    <w:p>
      <w:pPr>
        <w:spacing w:after="180" w:before="0" w:line="360"/>
        <w:jc w:val="both"/>
      </w:pPr>
      <w:r>
        <w:rPr>
          <w:rFonts w:ascii="Arial" w:cs="Arial" w:eastAsia="Arial" w:hAnsi="Arial"/>
          <w:b w:val="false"/>
          <w:bCs w:val="false"/>
          <w:color w:val="000000"/>
          <w:sz w:val="22"/>
          <w:szCs w:val="22"/>
        </w:rPr>
        <w:t xml:space="preserve">Objective: This study examines the determinants of e-learning adoption among government school teachers in Bhaktapur District, Nepal, focusing on three explanatory dimensions: technology infrastructure availability, personnel factors (training, perceived usefulness, and self-efficacy), and institutional governance (examination practices and curriculum alignment).</w:t>
      </w:r>
    </w:p>
    <w:p>
      <w:pPr>
        <w:spacing w:after="180" w:before="0" w:line="360"/>
        <w:jc w:val="both"/>
      </w:pPr>
      <w:r>
        <w:rPr>
          <w:rFonts w:ascii="Arial" w:cs="Arial" w:eastAsia="Arial" w:hAnsi="Arial"/>
          <w:b w:val="false"/>
          <w:bCs w:val="false"/>
          <w:color w:val="000000"/>
          <w:sz w:val="22"/>
          <w:szCs w:val="22"/>
        </w:rPr>
        <w:t xml:space="preserve">Methodology: A quantitative, descriptive-analytical research design was employed. Primary data were collected from 292 government school teachers using structured questionnaires (24 Likert-scale items, 9 demographic items, 3 open-ended questions) administered on-site between December 19–24, 2024. Seven semi-structured interviews provided qualitative triangulation. Analysis used SPSS v26 and included descriptive statistics, Pearson correlation, multiple linear regression, independent samples t-tests, and one-way ANOVA with Tukey's HSD post-hoc tests. Cronbach's alpha confirmed acceptable-to-excellent reliability across all scales (alpha = .798 to .891).</w:t>
      </w:r>
    </w:p>
    <w:p>
      <w:pPr>
        <w:spacing w:after="180" w:before="0" w:line="360"/>
        <w:jc w:val="both"/>
      </w:pPr>
      <w:r>
        <w:rPr>
          <w:rFonts w:ascii="Arial" w:cs="Arial" w:eastAsia="Arial" w:hAnsi="Arial"/>
          <w:b w:val="false"/>
          <w:bCs w:val="false"/>
          <w:color w:val="000000"/>
          <w:sz w:val="22"/>
          <w:szCs w:val="22"/>
        </w:rPr>
        <w:t xml:space="preserve">Key Findings: The regression model explained 65.9% of variance in e-learning adoption (R = .812, F(3,288) = 45.82, p &lt; .001). Personnel factors were the strongest predictor (beta = .476, p &lt; .001), followed by infrastructure availability (beta = .289, p = .001) and governance (beta = .221, p = .004). A critical paradox was identified: high teacher motivational readiness (M = 3.78) coexisted with critically deficient infrastructure (M = 2.53) and severe formal ICT training gaps (M = 2.84). Teaching experience was inversely associated with adoption readiness (F(4,287) = 3.842, p = .007, eta-squared = .051), while gender and educational qualification produced no significant differences.</w:t>
      </w:r>
    </w:p>
    <w:p>
      <w:pPr>
        <w:spacing w:after="180" w:before="0" w:line="360"/>
        <w:jc w:val="both"/>
      </w:pPr>
      <w:r>
        <w:rPr>
          <w:rFonts w:ascii="Arial" w:cs="Arial" w:eastAsia="Arial" w:hAnsi="Arial"/>
          <w:b w:val="false"/>
          <w:bCs w:val="false"/>
          <w:color w:val="000000"/>
          <w:sz w:val="22"/>
          <w:szCs w:val="22"/>
        </w:rPr>
        <w:t xml:space="preserve">Conclusion: E-learning adoption in Bhaktapur's government schools is constrained by a fundamental readiness-resources gap. Coordinated policy interventions targeting infrastructure investment, structured in-service ICT training, and examination governance reform are essential to translate teacher motivation into effective digital classroom practice.</w:t>
      </w:r>
    </w:p>
    <w:p>
      <w:pPr>
        <w:spacing w:after="80" w:before="180"/>
      </w:pPr>
      <w:r>
        <w:rPr>
          <w:rFonts w:ascii="Arial" w:cs="Arial" w:eastAsia="Arial" w:hAnsi="Arial"/>
          <w:b/>
          <w:bCs/>
          <w:sz w:val="22"/>
          <w:szCs w:val="22"/>
        </w:rPr>
        <w:t xml:space="preserve">Keywords: </w:t>
      </w:r>
      <w:r>
        <w:rPr>
          <w:rFonts w:ascii="Arial" w:cs="Arial" w:eastAsia="Arial" w:hAnsi="Arial"/>
          <w:sz w:val="22"/>
          <w:szCs w:val="22"/>
        </w:rPr>
        <w:t xml:space="preserve">e-learning adoption; technology acceptance; government school teachers; ICT infrastructure; Nepal education policy; TAM; UTAUT; TPACK; digital transformation; Bhaktapur District</w:t>
      </w:r>
    </w:p>
    <w:p>
      <w:pPr>
        <w:pageBreakBefore/>
      </w:pPr>
      <w:r>
        <w:t xml:space="preserve"/>
      </w:r>
    </w:p>
    <w:p>
      <w:pPr>
        <w:pStyle w:val="Heading1"/>
        <w:pBdr>
          <w:bottom w:val="single" w:color="2E75B6" w:sz="4" w:space="4"/>
        </w:pBdr>
        <w:spacing w:after="180" w:before="360"/>
      </w:pPr>
      <w:r>
        <w:rPr>
          <w:rFonts w:ascii="Arial" w:cs="Arial" w:eastAsia="Arial" w:hAnsi="Arial"/>
          <w:b/>
          <w:bCs/>
          <w:color w:val="1F3864"/>
          <w:sz w:val="30"/>
          <w:szCs w:val="30"/>
        </w:rPr>
        <w:t xml:space="preserve">1. Introduction</w:t>
      </w:r>
    </w:p>
    <w:p>
      <w:pPr>
        <w:spacing w:after="180" w:before="0" w:line="360"/>
        <w:jc w:val="both"/>
      </w:pPr>
      <w:r>
        <w:rPr>
          <w:rFonts w:ascii="Arial" w:cs="Arial" w:eastAsia="Arial" w:hAnsi="Arial"/>
          <w:b w:val="false"/>
          <w:bCs w:val="false"/>
          <w:color w:val="000000"/>
          <w:sz w:val="22"/>
          <w:szCs w:val="22"/>
        </w:rPr>
        <w:t xml:space="preserve">The integration of digital technologies into educational systems has emerged as a defining strategic priority for governments worldwide, a trend accelerated sharply by the COVID-19 pandemic, which exposed profound structural inequalities in learning continuity across educational contexts (UNESCO, 2021). For low- and middle-income countries, e-learning presents a paradoxical opportunity: the same digital tools that can bridge geographical and resource divides require precisely the infrastructure and institutional capacity that these systems most critically lack.</w:t>
      </w:r>
    </w:p>
    <w:p>
      <w:pPr>
        <w:spacing w:after="180" w:before="0" w:line="360"/>
        <w:jc w:val="both"/>
      </w:pPr>
      <w:r>
        <w:rPr>
          <w:rFonts w:ascii="Arial" w:cs="Arial" w:eastAsia="Arial" w:hAnsi="Arial"/>
          <w:b w:val="false"/>
          <w:bCs w:val="false"/>
          <w:color w:val="000000"/>
          <w:sz w:val="22"/>
          <w:szCs w:val="22"/>
        </w:rPr>
        <w:t xml:space="preserve">Nepal illustrates this paradox acutely. The country's federal education framework, distributed across national, provincial, and local governance tiers, has progressively incorporated e-learning as a strategic priority within successive sector plans, including the School Sector Reform Plan (SSRP, 2009–2015) and the School Sector Development Plan (SSDP, 2016–2023). Despite these commitments, implementation has remained fragmented. Disparities between urban private schools and rural government institutions are pronounced: while metropolitan schools increasingly access digital infrastructure and trained personnel, government schools continue to grapple with hardware shortages, intermittent connectivity, and limited professional development opportunities (World Bank, 2021; Paudel, 2022).</w:t>
      </w:r>
    </w:p>
    <w:p>
      <w:pPr>
        <w:spacing w:after="180" w:before="0" w:line="360"/>
        <w:jc w:val="both"/>
      </w:pPr>
      <w:r>
        <w:rPr>
          <w:rFonts w:ascii="Arial" w:cs="Arial" w:eastAsia="Arial" w:hAnsi="Arial"/>
          <w:b w:val="false"/>
          <w:bCs w:val="false"/>
          <w:color w:val="000000"/>
          <w:sz w:val="22"/>
          <w:szCs w:val="22"/>
        </w:rPr>
        <w:t xml:space="preserve">This study investigates the determinants of e-learning adoption among government school teachers in Bhaktapur District — a peri-urban district in Bagmati Province with 1,187 government school teachers. The research is theoretically grounded in three complementary frameworks: Davis et al.'s (1989) Technology Acceptance Model (TAM), Venkatesh et al.'s (2003) Unified Theory of Acceptance and Use of Technology (UTAUT), and Mishra and Koehler's (2006) Technological Pedagogical Content Knowledge (TPACK) model. These frameworks collectively inform a multi-dimensional model in which infrastructure availability, personnel factors, and institutional governance jointly predict adoption behaviour.</w:t>
      </w:r>
    </w:p>
    <w:p>
      <w:pPr>
        <w:spacing w:after="180" w:before="0" w:line="360"/>
        <w:jc w:val="both"/>
      </w:pPr>
      <w:r>
        <w:rPr>
          <w:rFonts w:ascii="Arial" w:cs="Arial" w:eastAsia="Arial" w:hAnsi="Arial"/>
          <w:b w:val="false"/>
          <w:bCs w:val="false"/>
          <w:color w:val="000000"/>
          <w:sz w:val="22"/>
          <w:szCs w:val="22"/>
        </w:rPr>
        <w:t xml:space="preserve">A significant empirical gap motivates this inquiry. Existing Nepalese studies of e-learning adoption have disproportionately concentrated on higher education and urban contexts (Rana et al., 2019; Adhikari, 2024). The specific constraints confronting government school teachers — particularly the intersection of examination governance, curriculum alignment, and classroom-level adoption — remain underexplored. Furthermore, the role of Nepal's predominantly summative, paper-based examination culture as a structural inhibitor of digital pedagogy has received scant empirical attention.</w:t>
      </w:r>
    </w:p>
    <w:p>
      <w:pPr>
        <w:spacing w:after="180" w:before="0" w:line="360"/>
        <w:jc w:val="both"/>
      </w:pPr>
      <w:r>
        <w:rPr>
          <w:rFonts w:ascii="Arial" w:cs="Arial" w:eastAsia="Arial" w:hAnsi="Arial"/>
          <w:b w:val="false"/>
          <w:bCs w:val="false"/>
          <w:color w:val="000000"/>
          <w:sz w:val="22"/>
          <w:szCs w:val="22"/>
        </w:rPr>
        <w:t xml:space="preserve">The study addresses three primary objectives: (1) to assess infrastructure availability supporting e-learning adoption in government schools; (2) to analyse personnel factors influencing teacher readiness; and (3) to examine institutional governance mechanisms and their alignment with digital assessment reform. It additionally tests whether adoption differs across key demographic characteristics. By generating empirical evidence from 292 government school teachers, this study contributes to the international literature on e-learning adoption in resource-constrained public school systems and provides an evidence base for targeted policy reform in Nepal and comparable developing country contexts.</w:t>
      </w:r>
    </w:p>
    <w:p>
      <w:pPr>
        <w:pStyle w:val="Heading1"/>
        <w:pBdr>
          <w:bottom w:val="single" w:color="2E75B6" w:sz="4" w:space="4"/>
        </w:pBdr>
        <w:spacing w:after="180" w:before="360"/>
      </w:pPr>
      <w:r>
        <w:rPr>
          <w:rFonts w:ascii="Arial" w:cs="Arial" w:eastAsia="Arial" w:hAnsi="Arial"/>
          <w:b/>
          <w:bCs/>
          <w:color w:val="1F3864"/>
          <w:sz w:val="30"/>
          <w:szCs w:val="30"/>
        </w:rPr>
        <w:t xml:space="preserve">2. Literature Review</w:t>
      </w:r>
    </w:p>
    <w:p>
      <w:pPr>
        <w:pStyle w:val="Heading2"/>
        <w:spacing w:after="120" w:before="280"/>
      </w:pPr>
      <w:r>
        <w:rPr>
          <w:rFonts w:ascii="Arial" w:cs="Arial" w:eastAsia="Arial" w:hAnsi="Arial"/>
          <w:b/>
          <w:bCs/>
          <w:color w:val="2E75B6"/>
          <w:sz w:val="25"/>
          <w:szCs w:val="25"/>
        </w:rPr>
        <w:t xml:space="preserve">2.1 E-Learning Adoption in Developing Country Contexts</w:t>
      </w:r>
    </w:p>
    <w:p>
      <w:pPr>
        <w:spacing w:after="180" w:before="0" w:line="360"/>
        <w:jc w:val="both"/>
      </w:pPr>
      <w:r>
        <w:rPr>
          <w:rFonts w:ascii="Arial" w:cs="Arial" w:eastAsia="Arial" w:hAnsi="Arial"/>
          <w:b w:val="false"/>
          <w:bCs w:val="false"/>
          <w:color w:val="000000"/>
          <w:sz w:val="22"/>
          <w:szCs w:val="22"/>
        </w:rPr>
        <w:t xml:space="preserve">E-learning — broadly defined as technology-mediated learning facilitated through digital platforms, multimedia content, and internet-based resources — has transformed educational delivery across institutional levels globally (Wangdi et al., 2023). In developed country contexts, adoption barriers are primarily attitudinal or competency-related, as infrastructure and connectivity are generally assumed. In developing country contexts, however, infrastructure constraints function as primary barriers, often overwhelming positive attitudinal dispositions (Al-Fraihat et al., 2020; Kebritchi et al., 2017). Research across Sub-Saharan Africa and South Asia consistently identifies hardware scarcity, unreliable electricity, inadequate technical support, and weak institutional governance as structural inhibitors of adoption (UNESCO, 2020; World Bank, 2021). In such environments, governance mechanisms — policy coherence, institutional leadership, and curriculum-assessment alignment — function as critical moderators of whether infrastructure investments translate into classroom practice.</w:t>
      </w:r>
    </w:p>
    <w:p>
      <w:pPr>
        <w:pStyle w:val="Heading2"/>
        <w:spacing w:after="120" w:before="280"/>
      </w:pPr>
      <w:r>
        <w:rPr>
          <w:rFonts w:ascii="Arial" w:cs="Arial" w:eastAsia="Arial" w:hAnsi="Arial"/>
          <w:b/>
          <w:bCs/>
          <w:color w:val="2E75B6"/>
          <w:sz w:val="25"/>
          <w:szCs w:val="25"/>
        </w:rPr>
        <w:t xml:space="preserve">2.2 Theoretical Frameworks</w:t>
      </w:r>
    </w:p>
    <w:p>
      <w:pPr>
        <w:pStyle w:val="Heading3"/>
        <w:spacing w:after="80" w:before="200"/>
      </w:pPr>
      <w:r>
        <w:rPr>
          <w:rFonts w:ascii="Arial" w:cs="Arial" w:eastAsia="Arial" w:hAnsi="Arial"/>
          <w:b/>
          <w:bCs/>
          <w:color w:val="4F4F4F"/>
          <w:sz w:val="23"/>
          <w:szCs w:val="23"/>
        </w:rPr>
        <w:t xml:space="preserve">2.2.1 Technology Acceptance Model (TAM)</w:t>
      </w:r>
    </w:p>
    <w:p>
      <w:pPr>
        <w:spacing w:after="180" w:before="0" w:line="360"/>
        <w:jc w:val="both"/>
      </w:pPr>
      <w:r>
        <w:rPr>
          <w:rFonts w:ascii="Arial" w:cs="Arial" w:eastAsia="Arial" w:hAnsi="Arial"/>
          <w:b w:val="false"/>
          <w:bCs w:val="false"/>
          <w:color w:val="000000"/>
          <w:sz w:val="22"/>
          <w:szCs w:val="22"/>
        </w:rPr>
        <w:t xml:space="preserve">Davis et al.'s (1989) TAM remains the most widely applied framework for studying technology adoption in educational settings. The model posits that Perceived Usefulness (PU) — the degree to which users believe technology enhances job performance — and Perceived Ease of Use (PEOU) — the degree to which use is perceived as effort-free — jointly determine Behavioural Intention to use technology. Both constructs derive from the Theory of Reasoned Action and have demonstrated robust predictive validity across cultural and institutional contexts (Venkatesh &amp; Davis, 2000). In the e-learning literature, TAM has been extensively validated in teacher populations, with perceived usefulness consistently emerging as the stronger predictor of adoption intention (Al-Fraihat et al., 2020).</w:t>
      </w:r>
    </w:p>
    <w:p>
      <w:pPr>
        <w:pStyle w:val="Heading3"/>
        <w:spacing w:after="80" w:before="200"/>
      </w:pPr>
      <w:r>
        <w:rPr>
          <w:rFonts w:ascii="Arial" w:cs="Arial" w:eastAsia="Arial" w:hAnsi="Arial"/>
          <w:b/>
          <w:bCs/>
          <w:color w:val="4F4F4F"/>
          <w:sz w:val="23"/>
          <w:szCs w:val="23"/>
        </w:rPr>
        <w:t xml:space="preserve">2.2.2 Unified Theory of Acceptance and Use of Technology (UTAUT)</w:t>
      </w:r>
    </w:p>
    <w:p>
      <w:pPr>
        <w:spacing w:after="180" w:before="0" w:line="360"/>
        <w:jc w:val="both"/>
      </w:pPr>
      <w:r>
        <w:rPr>
          <w:rFonts w:ascii="Arial" w:cs="Arial" w:eastAsia="Arial" w:hAnsi="Arial"/>
          <w:b w:val="false"/>
          <w:bCs w:val="false"/>
          <w:color w:val="000000"/>
          <w:sz w:val="22"/>
          <w:szCs w:val="22"/>
        </w:rPr>
        <w:t xml:space="preserve">Venkatesh et al. (2003) extended TAM by synthesising eight prior technology acceptance theories into the UTAUT model, identifying four core determinants of adoption: Performance Expectancy, Effort Expectancy, Social Influence, and Facilitating Conditions. The Facilitating Conditions construct — representing the technical and organisational support structures enabling technology use — is particularly relevant to government school contexts, where reliable hardware, connectivity, and technical personnel constitute the foundational precondition for adoption. In low-resource environments, facilitating conditions have been shown to exert stronger direct effects on adoption than attitudinal predictors alone, because the absence of basic infrastructure overrides motivational readiness (Venkatesh et al., 2016; Wangdi et al., 2023).</w:t>
      </w:r>
    </w:p>
    <w:p>
      <w:pPr>
        <w:pStyle w:val="Heading3"/>
        <w:spacing w:after="80" w:before="200"/>
      </w:pPr>
      <w:r>
        <w:rPr>
          <w:rFonts w:ascii="Arial" w:cs="Arial" w:eastAsia="Arial" w:hAnsi="Arial"/>
          <w:b/>
          <w:bCs/>
          <w:color w:val="4F4F4F"/>
          <w:sz w:val="23"/>
          <w:szCs w:val="23"/>
        </w:rPr>
        <w:t xml:space="preserve">2.2.3 Technological Pedagogical Content Knowledge (TPACK)</w:t>
      </w:r>
    </w:p>
    <w:p>
      <w:pPr>
        <w:spacing w:after="180" w:before="0" w:line="360"/>
        <w:jc w:val="both"/>
      </w:pPr>
      <w:r>
        <w:rPr>
          <w:rFonts w:ascii="Arial" w:cs="Arial" w:eastAsia="Arial" w:hAnsi="Arial"/>
          <w:b w:val="false"/>
          <w:bCs w:val="false"/>
          <w:color w:val="000000"/>
          <w:sz w:val="22"/>
          <w:szCs w:val="22"/>
        </w:rPr>
        <w:t xml:space="preserve">Mishra and Koehler's (2006) TPACK framework addresses the knowledge intersections required for technology-integrated teaching: Content Knowledge (CK), Pedagogical Knowledge (PK), and Technology Knowledge (TK). Effective digital pedagogy requires not merely technical competence but the capacity to deploy technology in pedagogically appropriate, content-specific ways (Koehler, 2013). Research confirms that TPACK competence significantly mediates the relationship between technology access and effective instructional use (Wangdi et al., 2023). The training deficit identified in the present study — where formal ICT training remains severely lacking (M = 2.84) — directly reflects a TPACK development gap, since generic office software training does not equip teachers with the subject-specific digital content creation skills that TPACK theory identifies as essential.</w:t>
      </w:r>
    </w:p>
    <w:p>
      <w:pPr>
        <w:pStyle w:val="Heading2"/>
        <w:spacing w:after="120" w:before="280"/>
      </w:pPr>
      <w:r>
        <w:rPr>
          <w:rFonts w:ascii="Arial" w:cs="Arial" w:eastAsia="Arial" w:hAnsi="Arial"/>
          <w:b/>
          <w:bCs/>
          <w:color w:val="2E75B6"/>
          <w:sz w:val="25"/>
          <w:szCs w:val="25"/>
        </w:rPr>
        <w:t xml:space="preserve">2.3 The Nepalese Education Context</w:t>
      </w:r>
    </w:p>
    <w:p>
      <w:pPr>
        <w:spacing w:after="180" w:before="0" w:line="360"/>
        <w:jc w:val="both"/>
      </w:pPr>
      <w:r>
        <w:rPr>
          <w:rFonts w:ascii="Arial" w:cs="Arial" w:eastAsia="Arial" w:hAnsi="Arial"/>
          <w:b w:val="false"/>
          <w:bCs w:val="false"/>
          <w:color w:val="000000"/>
          <w:sz w:val="22"/>
          <w:szCs w:val="22"/>
        </w:rPr>
        <w:t xml:space="preserve">Nepal's e-learning landscape is characterised by a persistent tension between policy ambition and implementation capacity. The ICT in Education Master Plan 2013–2017, the SSRP, and the SSDP each articulate digital integration commitments; however, implementation has been constrained by budget shortfalls, decentralisation-induced coordination gaps, and limited teacher training infrastructure (Rana et al., 2019; MOE, 2016). Adhikari (2024) found that while secondary mathematics teachers in Kathmandu reported moderate ICT self-efficacy, hardware access was severely deficient, with all respondents reporting insufficient internet-connected computers. Koirala (2023) similarly documented that slow internet, irregular power supply, and device scarcity constituted the primary barriers to online teaching during COVID-19.</w:t>
      </w:r>
    </w:p>
    <w:p>
      <w:pPr>
        <w:spacing w:after="180" w:before="0" w:line="360"/>
        <w:jc w:val="both"/>
      </w:pPr>
      <w:r>
        <w:rPr>
          <w:rFonts w:ascii="Arial" w:cs="Arial" w:eastAsia="Arial" w:hAnsi="Arial"/>
          <w:b w:val="false"/>
          <w:bCs w:val="false"/>
          <w:color w:val="000000"/>
          <w:sz w:val="22"/>
          <w:szCs w:val="22"/>
        </w:rPr>
        <w:t xml:space="preserve">The governance dimension is equally significant. Nepal's examination system, overseen by the National Examinations Board (NEB), remains predominantly summative, paper-based, and rote-memorisation-oriented at Grade 10 and 12 levels. This examination culture creates a systemic disincentive for teachers to invest in competency-based or digital pedagogies, since instructional approaches are functionally aligned with terminal examination formats. The Continuous Assessment System (CAS) introduced in 2009 has been weakly implemented, with many teachers treating it as an administrative record-keeping mechanism rather than a formative learning instrument (Poyck et al., 2016; MOE, 2016). This governance-pedagogy misalignment represents a structural barrier that has not previously been empirically quantified as a predictor of e-learning adoption.</w:t>
      </w:r>
    </w:p>
    <w:p>
      <w:pPr>
        <w:pStyle w:val="Heading2"/>
        <w:spacing w:after="120" w:before="280"/>
      </w:pPr>
      <w:r>
        <w:rPr>
          <w:rFonts w:ascii="Arial" w:cs="Arial" w:eastAsia="Arial" w:hAnsi="Arial"/>
          <w:b/>
          <w:bCs/>
          <w:color w:val="2E75B6"/>
          <w:sz w:val="25"/>
          <w:szCs w:val="25"/>
        </w:rPr>
        <w:t xml:space="preserve">2.4 Research Gap</w:t>
      </w:r>
    </w:p>
    <w:p>
      <w:pPr>
        <w:spacing w:after="180" w:before="0" w:line="360"/>
        <w:jc w:val="both"/>
      </w:pPr>
      <w:r>
        <w:rPr>
          <w:rFonts w:ascii="Arial" w:cs="Arial" w:eastAsia="Arial" w:hAnsi="Arial"/>
          <w:b w:val="false"/>
          <w:bCs w:val="false"/>
          <w:color w:val="000000"/>
          <w:sz w:val="22"/>
          <w:szCs w:val="22"/>
        </w:rPr>
        <w:t xml:space="preserve">Three gaps in the existing literature motivate this study. First, empirical studies of e-learning adoption in Nepal have concentrated on higher education and urban private school contexts, leaving government school teachers — the majority of the national teaching workforce — underrepresented in the evidence base. Second, existing studies treat infrastructure, personnel factors, and governance as discrete constructs; integrated multi-dimensional models examining their combined predictive power are rare in the Nepalese context. Third, the role of examination governance and summative assessment culture as structural inhibitors of digital pedagogy has not been empirically quantified. The present study addresses all three gaps through a systematic investigation of 292 government school teachers in Bhaktapur District.</w:t>
      </w:r>
    </w:p>
    <w:p>
      <w:pPr>
        <w:pStyle w:val="Heading1"/>
        <w:pBdr>
          <w:bottom w:val="single" w:color="2E75B6" w:sz="4" w:space="4"/>
        </w:pBdr>
        <w:spacing w:after="180" w:before="360"/>
      </w:pPr>
      <w:r>
        <w:rPr>
          <w:rFonts w:ascii="Arial" w:cs="Arial" w:eastAsia="Arial" w:hAnsi="Arial"/>
          <w:b/>
          <w:bCs/>
          <w:color w:val="1F3864"/>
          <w:sz w:val="30"/>
          <w:szCs w:val="30"/>
        </w:rPr>
        <w:t xml:space="preserve">3. Conceptual Framework and Hypotheses</w:t>
      </w:r>
    </w:p>
    <w:p>
      <w:pPr>
        <w:spacing w:after="180" w:before="0" w:line="360"/>
        <w:jc w:val="both"/>
      </w:pPr>
      <w:r>
        <w:rPr>
          <w:rFonts w:ascii="Arial" w:cs="Arial" w:eastAsia="Arial" w:hAnsi="Arial"/>
          <w:b w:val="false"/>
          <w:bCs w:val="false"/>
          <w:color w:val="000000"/>
          <w:sz w:val="22"/>
          <w:szCs w:val="22"/>
        </w:rPr>
        <w:t xml:space="preserve">The study's conceptual framework positions e-learning adoption as the dependent variable, operationalised as the frequency and self-reported readiness to integrate digital tools into instructional practice. Three independent variable clusters, each grounded in the theoretical frameworks reviewed above, constitute the predictors:</w:t>
      </w:r>
    </w:p>
    <w:p>
      <w:pPr>
        <w:spacing w:after="180" w:before="0" w:line="360"/>
        <w:jc w:val="both"/>
      </w:pPr>
      <w:r>
        <w:rPr>
          <w:rFonts w:ascii="Arial" w:cs="Arial" w:eastAsia="Arial" w:hAnsi="Arial"/>
          <w:b w:val="false"/>
          <w:bCs w:val="false"/>
          <w:color w:val="000000"/>
          <w:sz w:val="22"/>
          <w:szCs w:val="22"/>
        </w:rPr>
        <w:t xml:space="preserve">Infrastructure Availability (IV1), aligned with UTAUT's Facilitating Conditions construct, captures the physical and technical enablers of adoption: ICT equipment, digital learning materials, technical support personnel, and institutional funding mechanisms.</w:t>
      </w:r>
    </w:p>
    <w:p>
      <w:pPr>
        <w:spacing w:after="180" w:before="0" w:line="360"/>
        <w:jc w:val="both"/>
      </w:pPr>
      <w:r>
        <w:rPr>
          <w:rFonts w:ascii="Arial" w:cs="Arial" w:eastAsia="Arial" w:hAnsi="Arial"/>
          <w:b w:val="false"/>
          <w:bCs w:val="false"/>
          <w:color w:val="000000"/>
          <w:sz w:val="22"/>
          <w:szCs w:val="22"/>
        </w:rPr>
        <w:t xml:space="preserve">Personnel Factors (IV2), aligned with TAM's core constructs and TPACK's focus on technological-pedagogical knowledge, encompasses perceived usefulness, perceived ease of use, formal ICT training, digital content creation capability, motivation, and teaching self-efficacy.</w:t>
      </w:r>
    </w:p>
    <w:p>
      <w:pPr>
        <w:spacing w:after="180" w:before="0" w:line="360"/>
        <w:jc w:val="both"/>
      </w:pPr>
      <w:r>
        <w:rPr>
          <w:rFonts w:ascii="Arial" w:cs="Arial" w:eastAsia="Arial" w:hAnsi="Arial"/>
          <w:b w:val="false"/>
          <w:bCs w:val="false"/>
          <w:color w:val="000000"/>
          <w:sz w:val="22"/>
          <w:szCs w:val="22"/>
        </w:rPr>
        <w:t xml:space="preserve">Institutional Governance (IV3), informed by Rogers' (2003) Diffusion of Innovations framework and Nepal's SSDP reform architecture, captures the degree to which examination structures, curriculum frameworks, and policy guidelines support or constrain digital pedagogical adoption.</w:t>
      </w:r>
    </w:p>
    <w:p>
      <w:pPr>
        <w:spacing w:after="180" w:before="0" w:line="360"/>
        <w:jc w:val="both"/>
      </w:pPr>
      <w:r>
        <w:rPr>
          <w:rFonts w:ascii="Arial" w:cs="Arial" w:eastAsia="Arial" w:hAnsi="Arial"/>
          <w:b w:val="false"/>
          <w:bCs w:val="false"/>
          <w:color w:val="000000"/>
          <w:sz w:val="22"/>
          <w:szCs w:val="22"/>
        </w:rPr>
        <w:t xml:space="preserve">Demographic characteristics — gender, teaching experience, and educational qualification — are examined as variables that may moderate adoption readiness. The following hypotheses were tested:</w:t>
      </w:r>
    </w:p>
    <w:p>
      <w:pPr>
        <w:pStyle w:val="ListParagraph"/>
        <w:numPr>
          <w:ilvl w:val="0"/>
          <w:numId w:val="2"/>
        </w:numPr>
        <w:spacing w:after="60" w:before="60" w:line="320"/>
      </w:pPr>
      <w:r>
        <w:rPr>
          <w:rFonts w:ascii="Arial" w:cs="Arial" w:eastAsia="Arial" w:hAnsi="Arial"/>
          <w:sz w:val="22"/>
          <w:szCs w:val="22"/>
        </w:rPr>
        <w:t xml:space="preserve">H1: Infrastructure availability significantly and positively predicts teachers' e-learning adoption.</w:t>
      </w:r>
    </w:p>
    <w:p>
      <w:pPr>
        <w:pStyle w:val="ListParagraph"/>
        <w:numPr>
          <w:ilvl w:val="0"/>
          <w:numId w:val="2"/>
        </w:numPr>
        <w:spacing w:after="60" w:before="60" w:line="320"/>
      </w:pPr>
      <w:r>
        <w:rPr>
          <w:rFonts w:ascii="Arial" w:cs="Arial" w:eastAsia="Arial" w:hAnsi="Arial"/>
          <w:sz w:val="22"/>
          <w:szCs w:val="22"/>
        </w:rPr>
        <w:t xml:space="preserve">H2: Personnel factors significantly and positively predict teachers' e-learning adoption.</w:t>
      </w:r>
    </w:p>
    <w:p>
      <w:pPr>
        <w:pStyle w:val="ListParagraph"/>
        <w:numPr>
          <w:ilvl w:val="0"/>
          <w:numId w:val="2"/>
        </w:numPr>
        <w:spacing w:after="60" w:before="60" w:line="320"/>
      </w:pPr>
      <w:r>
        <w:rPr>
          <w:rFonts w:ascii="Arial" w:cs="Arial" w:eastAsia="Arial" w:hAnsi="Arial"/>
          <w:sz w:val="22"/>
          <w:szCs w:val="22"/>
        </w:rPr>
        <w:t xml:space="preserve">H3: Institutional governance significantly and positively predicts teachers' e-learning adoption.</w:t>
      </w:r>
    </w:p>
    <w:p>
      <w:pPr>
        <w:pStyle w:val="ListParagraph"/>
        <w:numPr>
          <w:ilvl w:val="0"/>
          <w:numId w:val="2"/>
        </w:numPr>
        <w:spacing w:after="60" w:before="60" w:line="320"/>
      </w:pPr>
      <w:r>
        <w:rPr>
          <w:rFonts w:ascii="Arial" w:cs="Arial" w:eastAsia="Arial" w:hAnsi="Arial"/>
          <w:sz w:val="22"/>
          <w:szCs w:val="22"/>
        </w:rPr>
        <w:t xml:space="preserve">H4: Infrastructure availability, personnel factors, and governance collectively and significantly predict e-learning adoption.</w:t>
      </w:r>
    </w:p>
    <w:p>
      <w:pPr>
        <w:pStyle w:val="ListParagraph"/>
        <w:numPr>
          <w:ilvl w:val="0"/>
          <w:numId w:val="2"/>
        </w:numPr>
        <w:spacing w:after="60" w:before="60" w:line="320"/>
      </w:pPr>
      <w:r>
        <w:rPr>
          <w:rFonts w:ascii="Arial" w:cs="Arial" w:eastAsia="Arial" w:hAnsi="Arial"/>
          <w:sz w:val="22"/>
          <w:szCs w:val="22"/>
        </w:rPr>
        <w:t xml:space="preserve">H5a: E-learning adoption differs significantly by gender.</w:t>
      </w:r>
    </w:p>
    <w:p>
      <w:pPr>
        <w:pStyle w:val="ListParagraph"/>
        <w:numPr>
          <w:ilvl w:val="0"/>
          <w:numId w:val="2"/>
        </w:numPr>
        <w:spacing w:after="60" w:before="60" w:line="320"/>
      </w:pPr>
      <w:r>
        <w:rPr>
          <w:rFonts w:ascii="Arial" w:cs="Arial" w:eastAsia="Arial" w:hAnsi="Arial"/>
          <w:sz w:val="22"/>
          <w:szCs w:val="22"/>
        </w:rPr>
        <w:t xml:space="preserve">H5b: E-learning adoption differs significantly by teaching experience level.</w:t>
      </w:r>
    </w:p>
    <w:p>
      <w:pPr>
        <w:pStyle w:val="ListParagraph"/>
        <w:numPr>
          <w:ilvl w:val="0"/>
          <w:numId w:val="2"/>
        </w:numPr>
        <w:spacing w:after="60" w:before="60" w:line="320"/>
      </w:pPr>
      <w:r>
        <w:rPr>
          <w:rFonts w:ascii="Arial" w:cs="Arial" w:eastAsia="Arial" w:hAnsi="Arial"/>
          <w:sz w:val="22"/>
          <w:szCs w:val="22"/>
        </w:rPr>
        <w:t xml:space="preserve">H5c: E-learning adoption differs significantly by educational qualification level.</w:t>
      </w:r>
    </w:p>
    <w:p>
      <w:pPr>
        <w:pStyle w:val="Heading1"/>
        <w:pBdr>
          <w:bottom w:val="single" w:color="2E75B6" w:sz="4" w:space="4"/>
        </w:pBdr>
        <w:spacing w:after="180" w:before="360"/>
      </w:pPr>
      <w:r>
        <w:rPr>
          <w:rFonts w:ascii="Arial" w:cs="Arial" w:eastAsia="Arial" w:hAnsi="Arial"/>
          <w:b/>
          <w:bCs/>
          <w:color w:val="1F3864"/>
          <w:sz w:val="30"/>
          <w:szCs w:val="30"/>
        </w:rPr>
        <w:t xml:space="preserve">4. Research Methodology</w:t>
      </w:r>
    </w:p>
    <w:p>
      <w:pPr>
        <w:pStyle w:val="Heading2"/>
        <w:spacing w:after="120" w:before="280"/>
      </w:pPr>
      <w:r>
        <w:rPr>
          <w:rFonts w:ascii="Arial" w:cs="Arial" w:eastAsia="Arial" w:hAnsi="Arial"/>
          <w:b/>
          <w:bCs/>
          <w:color w:val="2E75B6"/>
          <w:sz w:val="25"/>
          <w:szCs w:val="25"/>
        </w:rPr>
        <w:t xml:space="preserve">4.1 Research Design</w:t>
      </w:r>
    </w:p>
    <w:p>
      <w:pPr>
        <w:spacing w:after="180" w:before="0" w:line="360"/>
        <w:jc w:val="both"/>
      </w:pPr>
      <w:r>
        <w:rPr>
          <w:rFonts w:ascii="Arial" w:cs="Arial" w:eastAsia="Arial" w:hAnsi="Arial"/>
          <w:b w:val="false"/>
          <w:bCs w:val="false"/>
          <w:color w:val="000000"/>
          <w:sz w:val="22"/>
          <w:szCs w:val="22"/>
        </w:rPr>
        <w:t xml:space="preserve">A quantitative, descriptive-analytical research design was employed, consistent with the study's objective of measuring the magnitude and direction of relationships between e-learning adoption and its proposed determinants. A qualitative component — comprising open-ended survey responses and semi-structured teacher interviews — served a supplementary, explanatory function to contextualise and triangulate the quantitative findings.</w:t>
      </w:r>
    </w:p>
    <w:p>
      <w:pPr>
        <w:pStyle w:val="Heading2"/>
        <w:spacing w:after="120" w:before="280"/>
      </w:pPr>
      <w:r>
        <w:rPr>
          <w:rFonts w:ascii="Arial" w:cs="Arial" w:eastAsia="Arial" w:hAnsi="Arial"/>
          <w:b/>
          <w:bCs/>
          <w:color w:val="2E75B6"/>
          <w:sz w:val="25"/>
          <w:szCs w:val="25"/>
        </w:rPr>
        <w:t xml:space="preserve">4.2 Population and Sample</w:t>
      </w:r>
    </w:p>
    <w:p>
      <w:pPr>
        <w:spacing w:after="180" w:before="0" w:line="360"/>
        <w:jc w:val="both"/>
      </w:pPr>
      <w:r>
        <w:rPr>
          <w:rFonts w:ascii="Arial" w:cs="Arial" w:eastAsia="Arial" w:hAnsi="Arial"/>
          <w:b w:val="false"/>
          <w:bCs w:val="false"/>
          <w:color w:val="000000"/>
          <w:sz w:val="22"/>
          <w:szCs w:val="22"/>
        </w:rPr>
        <w:t xml:space="preserve">The target population comprised all 1,187 government school teachers in Bhaktapur District (Education Development and Coordination Unit [EDCU], 2024). A representative sample size of 292 was determined using Cochran's (1977) formula for finite populations at a 95% confidence level, 50% maximum variability (p = 0.5), and a 5% margin of error:</w:t>
      </w:r>
    </w:p>
    <w:p>
      <w:pPr>
        <w:spacing w:after="180" w:before="0" w:line="360"/>
        <w:jc w:val="center"/>
      </w:pPr>
      <w:r>
        <w:rPr>
          <w:rFonts w:ascii="Arial" w:cs="Arial" w:eastAsia="Arial" w:hAnsi="Arial"/>
          <w:b w:val="false"/>
          <w:bCs w:val="false"/>
          <w:color w:val="000000"/>
          <w:sz w:val="22"/>
          <w:szCs w:val="22"/>
        </w:rPr>
        <w:t xml:space="preserve">n = (Z² × p × q × N) / (e²(N-1) + Z² × p × q) = (1.96² × 0.5 × 0.5 × 1187) / (0.05²(1186) + 1.96² × 0.5 × 0.5) = 292</w:t>
      </w:r>
    </w:p>
    <w:p>
      <w:pPr>
        <w:spacing w:after="180" w:before="0" w:line="360"/>
        <w:jc w:val="both"/>
      </w:pPr>
      <w:r>
        <w:rPr>
          <w:rFonts w:ascii="Arial" w:cs="Arial" w:eastAsia="Arial" w:hAnsi="Arial"/>
          <w:b w:val="false"/>
          <w:bCs w:val="false"/>
          <w:color w:val="000000"/>
          <w:sz w:val="22"/>
          <w:szCs w:val="22"/>
        </w:rPr>
        <w:t xml:space="preserve">Convenience sampling was employed due to on-site access constraints. Diversity across age groups, experience levels, subject specialisations, and school types was considered during participant selection. All data were collected on-site between December 19–24, 2024, yielding a 100% completion rate across the 292 distributed questionnaires.</w:t>
      </w:r>
    </w:p>
    <w:p>
      <w:pPr>
        <w:pStyle w:val="Heading2"/>
        <w:spacing w:after="120" w:before="280"/>
      </w:pPr>
      <w:r>
        <w:rPr>
          <w:rFonts w:ascii="Arial" w:cs="Arial" w:eastAsia="Arial" w:hAnsi="Arial"/>
          <w:b/>
          <w:bCs/>
          <w:color w:val="2E75B6"/>
          <w:sz w:val="25"/>
          <w:szCs w:val="25"/>
        </w:rPr>
        <w:t xml:space="preserve">4.3 Research Instrument</w:t>
      </w:r>
    </w:p>
    <w:p>
      <w:pPr>
        <w:spacing w:after="180" w:before="0" w:line="360"/>
        <w:jc w:val="both"/>
      </w:pPr>
      <w:r>
        <w:rPr>
          <w:rFonts w:ascii="Arial" w:cs="Arial" w:eastAsia="Arial" w:hAnsi="Arial"/>
          <w:b w:val="false"/>
          <w:bCs w:val="false"/>
          <w:color w:val="000000"/>
          <w:sz w:val="22"/>
          <w:szCs w:val="22"/>
        </w:rPr>
        <w:t xml:space="preserve">A structured questionnaire was administered in both Nepali and English. The instrument comprised: (a) 24 closed-ended Likert-scale items (1 = Strongly Disagree to 5 = Strongly Agree) measuring infrastructure availability (8 items, A1–A8), personnel factors (8 items, B9–B16), and examination practices and governance (8 items, C17–C24); (b) 9 demographic items; and (c) 3 open-ended questions probing infrastructure gaps, personnel readiness, and governance constraints. A pilot test conducted with 10 teachers (excluded from the final sample) confirmed item clarity and an average completion time of 20–25 minutes.</w:t>
      </w:r>
    </w:p>
    <w:p>
      <w:pPr>
        <w:pStyle w:val="Heading2"/>
        <w:spacing w:after="120" w:before="280"/>
      </w:pPr>
      <w:r>
        <w:rPr>
          <w:rFonts w:ascii="Arial" w:cs="Arial" w:eastAsia="Arial" w:hAnsi="Arial"/>
          <w:b/>
          <w:bCs/>
          <w:color w:val="2E75B6"/>
          <w:sz w:val="25"/>
          <w:szCs w:val="25"/>
        </w:rPr>
        <w:t xml:space="preserve">4.4 Reliability and Validity</w:t>
      </w:r>
    </w:p>
    <w:p>
      <w:pPr>
        <w:spacing w:after="180" w:before="0" w:line="360"/>
        <w:jc w:val="both"/>
      </w:pPr>
      <w:r>
        <w:rPr>
          <w:rFonts w:ascii="Arial" w:cs="Arial" w:eastAsia="Arial" w:hAnsi="Arial"/>
          <w:b w:val="false"/>
          <w:bCs w:val="false"/>
          <w:color w:val="000000"/>
          <w:sz w:val="22"/>
          <w:szCs w:val="22"/>
        </w:rPr>
        <w:t xml:space="preserve">Internal consistency was assessed using Cronbach's alpha. All scales met or exceeded the threshold of alpha &gt;= .70 recommended by Nunnally (1978): Infrastructure Availability (alpha = .876), Personnel Factors (alpha = .842), Examination Practices and Governance (alpha = .798), and the overall 24-item scale (alpha = .891). Face and content validity were established through pilot testing and supervisor review prior to data collection.</w:t>
      </w:r>
    </w:p>
    <w:p>
      <w:pPr>
        <w:pStyle w:val="Heading2"/>
        <w:spacing w:after="120" w:before="280"/>
      </w:pPr>
      <w:r>
        <w:rPr>
          <w:rFonts w:ascii="Arial" w:cs="Arial" w:eastAsia="Arial" w:hAnsi="Arial"/>
          <w:b/>
          <w:bCs/>
          <w:color w:val="2E75B6"/>
          <w:sz w:val="25"/>
          <w:szCs w:val="25"/>
        </w:rPr>
        <w:t xml:space="preserve">4.5 Data Analysis</w:t>
      </w:r>
    </w:p>
    <w:p>
      <w:pPr>
        <w:spacing w:after="180" w:before="0" w:line="360"/>
        <w:jc w:val="both"/>
      </w:pPr>
      <w:r>
        <w:rPr>
          <w:rFonts w:ascii="Arial" w:cs="Arial" w:eastAsia="Arial" w:hAnsi="Arial"/>
          <w:b w:val="false"/>
          <w:bCs w:val="false"/>
          <w:color w:val="000000"/>
          <w:sz w:val="22"/>
          <w:szCs w:val="22"/>
        </w:rPr>
        <w:t xml:space="preserve">SPSS v26 was used for all quantitative analyses. Descriptive statistics (means, standard deviations, frequencies, percentages) characterised sample demographics and variable distributions. Pearson correlation assessed bivariate relationships between all constructs. Multiple linear regression tested the combined and independent predictive effects of the three independent variable clusters on e-learning adoption (H1–H4), with Variance Inflation Factor (VIF) values examined to verify the absence of multicollinearity. Independent samples t-tests compared male and female teachers (H5a), and one-way ANOVA with Tukey's Honestly Significant Difference (HSD) post-hoc tests examined differences across teaching experience (H5b) and educational qualification levels (H5c). Effect sizes (Cohen's d, eta-squared) were calculated for all inferential tests. Qualitative interview data from seven purposively selected teachers were coded thematically using anonymised participant codes (R1–R7).</w:t>
      </w:r>
    </w:p>
    <w:p>
      <w:pPr>
        <w:pStyle w:val="Heading2"/>
        <w:spacing w:after="120" w:before="280"/>
      </w:pPr>
      <w:r>
        <w:rPr>
          <w:rFonts w:ascii="Arial" w:cs="Arial" w:eastAsia="Arial" w:hAnsi="Arial"/>
          <w:b/>
          <w:bCs/>
          <w:color w:val="2E75B6"/>
          <w:sz w:val="25"/>
          <w:szCs w:val="25"/>
        </w:rPr>
        <w:t xml:space="preserve">4.6 Limitations</w:t>
      </w:r>
    </w:p>
    <w:p>
      <w:pPr>
        <w:spacing w:after="180" w:before="0" w:line="360"/>
        <w:jc w:val="both"/>
      </w:pPr>
      <w:r>
        <w:rPr>
          <w:rFonts w:ascii="Arial" w:cs="Arial" w:eastAsia="Arial" w:hAnsi="Arial"/>
          <w:b w:val="false"/>
          <w:bCs w:val="false"/>
          <w:color w:val="000000"/>
          <w:sz w:val="22"/>
          <w:szCs w:val="22"/>
        </w:rPr>
        <w:t xml:space="preserve">Several limitations should be noted when interpreting findings. First, convenience sampling restricts generalisation beyond the Bhaktapur District sample; future research should employ stratified probability sampling across multiple districts. Second, as all variables were measured through self-report in a single administration, common method bias (CMB) represents a potential threat to construct validity. Although procedural remedies were applied (bilingual instrument, voluntary participation, anonymity assurance, pilot testing), Harman's single-factor test was not conducted; readers should interpret the strength of observed relationships with appropriate caution. Third, the cross-sectional design precludes causal inference; longitudinal designs would more robustly establish directional effects. Fourth, the study excluded private schools, limiting comparability with the full teaching population.</w:t>
      </w:r>
    </w:p>
    <w:p>
      <w:pPr>
        <w:pStyle w:val="Heading2"/>
        <w:spacing w:after="120" w:before="280"/>
      </w:pPr>
      <w:r>
        <w:rPr>
          <w:rFonts w:ascii="Arial" w:cs="Arial" w:eastAsia="Arial" w:hAnsi="Arial"/>
          <w:b/>
          <w:bCs/>
          <w:color w:val="2E75B6"/>
          <w:sz w:val="25"/>
          <w:szCs w:val="25"/>
        </w:rPr>
        <w:t xml:space="preserve">4.7 Ethical Considerations</w:t>
      </w:r>
    </w:p>
    <w:p>
      <w:pPr>
        <w:spacing w:after="180" w:before="0" w:line="360"/>
        <w:jc w:val="both"/>
      </w:pPr>
      <w:r>
        <w:rPr>
          <w:rFonts w:ascii="Arial" w:cs="Arial" w:eastAsia="Arial" w:hAnsi="Arial"/>
          <w:b w:val="false"/>
          <w:bCs w:val="false"/>
          <w:color w:val="000000"/>
          <w:sz w:val="22"/>
          <w:szCs w:val="22"/>
        </w:rPr>
        <w:t xml:space="preserve">Institutional approval was obtained from Public Administration Campus, Tribhuvan University. A formal data collection authorisation letter was submitted to individual school administrations. Participation was entirely voluntary and informed consent was secured from all respondents prior to questionnaire administration. Responses were anonymised, and all data were used exclusively for academic purposes.</w:t>
      </w:r>
    </w:p>
    <w:p>
      <w:pPr>
        <w:pStyle w:val="Heading1"/>
        <w:pBdr>
          <w:bottom w:val="single" w:color="2E75B6" w:sz="4" w:space="4"/>
        </w:pBdr>
        <w:spacing w:after="180" w:before="360"/>
      </w:pPr>
      <w:r>
        <w:rPr>
          <w:rFonts w:ascii="Arial" w:cs="Arial" w:eastAsia="Arial" w:hAnsi="Arial"/>
          <w:b/>
          <w:bCs/>
          <w:color w:val="1F3864"/>
          <w:sz w:val="30"/>
          <w:szCs w:val="30"/>
        </w:rPr>
        <w:t xml:space="preserve">5. Results and Analysis</w:t>
      </w:r>
    </w:p>
    <w:p>
      <w:pPr>
        <w:pStyle w:val="Heading2"/>
        <w:spacing w:after="120" w:before="280"/>
      </w:pPr>
      <w:r>
        <w:rPr>
          <w:rFonts w:ascii="Arial" w:cs="Arial" w:eastAsia="Arial" w:hAnsi="Arial"/>
          <w:b/>
          <w:bCs/>
          <w:color w:val="2E75B6"/>
          <w:sz w:val="25"/>
          <w:szCs w:val="25"/>
        </w:rPr>
        <w:t xml:space="preserve">5.1 Demographic Profile of Respondents</w:t>
      </w:r>
    </w:p>
    <w:p>
      <w:pPr>
        <w:spacing w:after="180" w:before="0" w:line="360"/>
        <w:jc w:val="both"/>
      </w:pPr>
      <w:r>
        <w:rPr>
          <w:rFonts w:ascii="Arial" w:cs="Arial" w:eastAsia="Arial" w:hAnsi="Arial"/>
          <w:b w:val="false"/>
          <w:bCs w:val="false"/>
          <w:color w:val="000000"/>
          <w:sz w:val="22"/>
          <w:szCs w:val="22"/>
        </w:rPr>
        <w:t xml:space="preserve">The sample comprised 292 government school teachers: 59.9% female (n = 175), 37.3% male (n = 109), and 2.7% identifying as other (n = 8). The dominant age cohort was 31–40 years (41.4%), followed by 41–50 years (31.8%). The majority held Master's degrees (64.0%), with Bachelor's (29.5%) and M.Phil./Ph.D. (6.5%) holders forming smaller proportions. Teaching experience was concentrated in the 5–10 year (36.0%) and under-5-year (24.0%) brackets. English was the most commonly taught subject (53.4%), followed by Nepali (48.6%) and Mathematics (44.9%). Of the sample, 64% reported current use of digital tools, with 31% using them 2–3 times per week and 29.4% using them daily. Full demographic data are presented in Table 1.</w:t>
      </w:r>
    </w:p>
    <w:p>
      <w:pPr>
        <w:spacing w:after="60" w:before="280"/>
      </w:pPr>
      <w:r>
        <w:rPr>
          <w:rFonts w:ascii="Arial" w:cs="Arial" w:eastAsia="Arial" w:hAnsi="Arial"/>
          <w:b/>
          <w:bCs/>
          <w:sz w:val="22"/>
          <w:szCs w:val="22"/>
        </w:rPr>
        <w:t xml:space="preserve">Table 1</w:t>
      </w:r>
      <w:r>
        <w:rPr>
          <w:rFonts w:ascii="Arial" w:cs="Arial" w:eastAsia="Arial" w:hAnsi="Arial"/>
          <w:sz w:val="22"/>
          <w:szCs w:val="22"/>
        </w:rPr>
        <w:t xml:space="preserve">
Demographic Characteristics of Respondents (N = 292)</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37.3</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Female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175</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Other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 Group</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20–30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31–40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41.4</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41–50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93</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51–60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10.6</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Teaching Experience</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5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36.0</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11–15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16–20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10.6</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&gt; 20 years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Educational Qualification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Bachelor's Degree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29.5</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Master's Degree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187</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M.Phil./Ph.D.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Tool Use</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Currently using</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187</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currently using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36.0</w:t>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Source: Field Survey, December 2024.</w:t>
      </w:r>
    </w:p>
    <w:p>
      <w:pPr>
        <w:pStyle w:val="Heading2"/>
        <w:spacing w:after="120" w:before="280"/>
      </w:pPr>
      <w:r>
        <w:rPr>
          <w:rFonts w:ascii="Arial" w:cs="Arial" w:eastAsia="Arial" w:hAnsi="Arial"/>
          <w:b/>
          <w:bCs/>
          <w:color w:val="2E75B6"/>
          <w:sz w:val="25"/>
          <w:szCs w:val="25"/>
        </w:rPr>
        <w:t xml:space="preserve">5.2 Descriptive Statistics</w:t>
      </w:r>
    </w:p>
    <w:p>
      <w:pPr>
        <w:pStyle w:val="Heading3"/>
        <w:spacing w:after="80" w:before="200"/>
      </w:pPr>
      <w:r>
        <w:rPr>
          <w:rFonts w:ascii="Arial" w:cs="Arial" w:eastAsia="Arial" w:hAnsi="Arial"/>
          <w:b/>
          <w:bCs/>
          <w:color w:val="4F4F4F"/>
          <w:sz w:val="23"/>
          <w:szCs w:val="23"/>
        </w:rPr>
        <w:t xml:space="preserve">5.2.1 Infrastructure Availability</w:t>
      </w:r>
    </w:p>
    <w:p>
      <w:pPr>
        <w:spacing w:after="180" w:before="0" w:line="360"/>
        <w:jc w:val="both"/>
      </w:pPr>
      <w:r>
        <w:rPr>
          <w:rFonts w:ascii="Arial" w:cs="Arial" w:eastAsia="Arial" w:hAnsi="Arial"/>
          <w:b w:val="false"/>
          <w:bCs w:val="false"/>
          <w:color w:val="000000"/>
          <w:sz w:val="22"/>
          <w:szCs w:val="22"/>
        </w:rPr>
        <w:t xml:space="preserve">Infrastructure availability registered a critically low overall mean (M = 2.53, SD = 0.98), indicating that government schools are substantially under-resourced for e-learning implementation. Laptop availability for teachers was particularly deficient (M = 2.15, SD = 1.23), as was technical support staffing (M = 2.24, SD = 1.34) and the availability of subject-specific digital learning materials (M = 2.31, SD = 1.18). Internet connectivity, while comparatively stronger, remained inconsistent across schools (M = 3.12, SD = 1.52). School Management Committee (SMC) budget allocation for ICT (M = 2.56) and local government support for ICT facilities (M = 2.73) were both rated below the scale midpoint. Qualitative data reinforced these findings: participants described multi-month equipment repair delays (R4), procurement shortfalls ("We were promised 10 computers but received only 3 after 8 months of requesting," R3), and the complete absence of dedicated IT support staff at the school level (R7). Full descriptive statistics are presented in Table 2.</w:t>
      </w:r>
    </w:p>
    <w:p>
      <w:pPr>
        <w:spacing w:after="60" w:before="280"/>
      </w:pPr>
      <w:r>
        <w:rPr>
          <w:rFonts w:ascii="Arial" w:cs="Arial" w:eastAsia="Arial" w:hAnsi="Arial"/>
          <w:b/>
          <w:bCs/>
          <w:sz w:val="22"/>
          <w:szCs w:val="22"/>
        </w:rPr>
        <w:t xml:space="preserve">Table 2</w:t>
      </w:r>
      <w:r>
        <w:rPr>
          <w:rFonts w:ascii="Arial" w:cs="Arial" w:eastAsia="Arial" w:hAnsi="Arial"/>
          <w:sz w:val="22"/>
          <w:szCs w:val="22"/>
        </w:rPr>
        <w:t xml:space="preserve">
Descriptive Statistics: Infrastructure Availability (n = 292)</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80"/>
        <w:gridCol w:w="4920"/>
        <w:gridCol w:w="960"/>
        <w:gridCol w:w="900"/>
      </w:tblGrid>
      <w:tr>
        <w:trPr>
          <w:tblHeader/>
        </w:trP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4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A1</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Sufficient laptops available for teachers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1.23</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A2</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Digital teaching devices (smart boards) available</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2.68</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1.45</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A3</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Adequate internet connectivity for teaching purposes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1.52</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A4</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Subject-specific digital learning materials available</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2.31</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1.18</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A5</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Technical support staff available at school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1.34</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A6</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ICT equipment regularly maintained</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2.47</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1.29</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A7</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SMC allocates sufficient budget for ICT infrastructure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1.38</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A8</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Adequate local government support for ICT facilities</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2.73</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1.41</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Overall Infrastructure Availability Score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w:t>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Scale: 1 = Strongly Disagree to 5 = Strongly Agree. M = Mean; SD = Standard Deviation. Source: Field Survey, December 2024.</w:t>
      </w:r>
    </w:p>
    <w:p>
      <w:pPr>
        <w:pStyle w:val="Heading3"/>
        <w:spacing w:after="80" w:before="200"/>
      </w:pPr>
      <w:r>
        <w:rPr>
          <w:rFonts w:ascii="Arial" w:cs="Arial" w:eastAsia="Arial" w:hAnsi="Arial"/>
          <w:b/>
          <w:bCs/>
          <w:color w:val="4F4F4F"/>
          <w:sz w:val="23"/>
          <w:szCs w:val="23"/>
        </w:rPr>
        <w:t xml:space="preserve">5.2.2 Personnel Factors</w:t>
      </w:r>
    </w:p>
    <w:p>
      <w:pPr>
        <w:spacing w:after="180" w:before="0" w:line="360"/>
        <w:jc w:val="both"/>
      </w:pPr>
      <w:r>
        <w:rPr>
          <w:rFonts w:ascii="Arial" w:cs="Arial" w:eastAsia="Arial" w:hAnsi="Arial"/>
          <w:b w:val="false"/>
          <w:bCs w:val="false"/>
          <w:color w:val="000000"/>
          <w:sz w:val="22"/>
          <w:szCs w:val="22"/>
        </w:rPr>
        <w:t xml:space="preserve">Personnel factors produced a substantially higher overall mean (M = 3.78, SD = 0.76), reflecting broadly positive teacher dispositions toward e-learning. The strongest endorsements were for digital tools making teaching more interactive and engaging (M = 4.35, SD = 0.82) and e-learning improving teaching effectiveness (M = 4.21, SD = 0.89). Personal motivation to use e-learning (M = 3.92), belief in e-learning's necessity for modern education (M = 4.18), and confidence in teaching with digital tools (M = 3.87) were all notably positive. By contrast, receipt of adequate formal ICT training was severely deficient (M = 2.84, SD = 1.47), representing a critical capacity gap that constrains the translation of motivational readiness into instructional practice. Qualitative data corroborated this gap: participants described training as limited to basic Microsoft Office applications rather than subject-specific digital content creation, with several reporting self-directed learning through YouTube as their primary professional development channel (R3, R6).</w:t>
      </w:r>
    </w:p>
    <w:p>
      <w:pPr>
        <w:spacing w:after="60" w:before="280"/>
      </w:pPr>
      <w:r>
        <w:rPr>
          <w:rFonts w:ascii="Arial" w:cs="Arial" w:eastAsia="Arial" w:hAnsi="Arial"/>
          <w:b/>
          <w:bCs/>
          <w:sz w:val="22"/>
          <w:szCs w:val="22"/>
        </w:rPr>
        <w:t xml:space="preserve">Table 3</w:t>
      </w:r>
      <w:r>
        <w:rPr>
          <w:rFonts w:ascii="Arial" w:cs="Arial" w:eastAsia="Arial" w:hAnsi="Arial"/>
          <w:sz w:val="22"/>
          <w:szCs w:val="22"/>
        </w:rPr>
        <w:t xml:space="preserve">
Descriptive Statistics: Personnel Factors (n = 292)</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80"/>
        <w:gridCol w:w="4920"/>
        <w:gridCol w:w="960"/>
        <w:gridCol w:w="900"/>
      </w:tblGrid>
      <w:tr>
        <w:trPr>
          <w:tblHeader/>
        </w:trP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4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B9</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Received adequate formal training on ICT tools for teaching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1.47</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B10</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Can effectively create digital teaching content</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3.15</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1.38</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B11</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E-learning tools improve teaching effectiveness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B12</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Digital tools make teaching more interactive and engaging</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4.35</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B13</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E-learning tools are easy to learn and user-friendly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1.12</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B14</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Personally motivated to use e-learning in teaching</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1.15</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B15</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Adopting e-learning is essential for modern education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B16</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Confident in teaching using digital tools</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3.87</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1.08</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Overall Personnel Factors Score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w:t>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Scale: 1 = Strongly Disagree to 5 = Strongly Agree. Source: Field Survey, December 2024.</w:t>
      </w:r>
    </w:p>
    <w:p>
      <w:pPr>
        <w:pStyle w:val="Heading3"/>
        <w:spacing w:after="80" w:before="200"/>
      </w:pPr>
      <w:r>
        <w:rPr>
          <w:rFonts w:ascii="Arial" w:cs="Arial" w:eastAsia="Arial" w:hAnsi="Arial"/>
          <w:b/>
          <w:bCs/>
          <w:color w:val="4F4F4F"/>
          <w:sz w:val="23"/>
          <w:szCs w:val="23"/>
        </w:rPr>
        <w:t xml:space="preserve">5.2.3 Examination Practices and Institutional Governance</w:t>
      </w:r>
    </w:p>
    <w:p>
      <w:pPr>
        <w:spacing w:after="180" w:before="0" w:line="360"/>
        <w:jc w:val="both"/>
      </w:pPr>
      <w:r>
        <w:rPr>
          <w:rFonts w:ascii="Arial" w:cs="Arial" w:eastAsia="Arial" w:hAnsi="Arial"/>
          <w:b w:val="false"/>
          <w:bCs w:val="false"/>
          <w:color w:val="000000"/>
          <w:sz w:val="22"/>
          <w:szCs w:val="22"/>
        </w:rPr>
        <w:t xml:space="preserve">The governance construct produced an overall mean of 3.54 (SD = 0.89). Current examination practices remain predominantly paper-based (M = 3.89, SD = 1.42), manually prepared by individual teachers (M = 3.76, SD = 1.48), and focused on memorisation over applied competencies (M = 3.41, SD = 1.33), confirming the persistence of summative assessment orthodoxy in government schools. Teachers expressed strong support for transitioning to competency-based digital evaluation (M = 4.12, SD = 0.97), yet reported weak alignment between CDC curriculum and competency-based methods (M = 2.96, SD = 1.18) and insufficient CDC policy guidance on competency-based assessment (M = 2.87, SD = 1.15). Interview participants articulated the governance dilemma explicitly: "The highest-stakes exams are still paper-based in Grade 10 and 12. How can digital evaluation be used when those examinations remain paper-based?" (R5).</w:t>
      </w:r>
    </w:p>
    <w:p>
      <w:pPr>
        <w:spacing w:after="60" w:before="280"/>
      </w:pPr>
      <w:r>
        <w:rPr>
          <w:rFonts w:ascii="Arial" w:cs="Arial" w:eastAsia="Arial" w:hAnsi="Arial"/>
          <w:b/>
          <w:bCs/>
          <w:sz w:val="22"/>
          <w:szCs w:val="22"/>
        </w:rPr>
        <w:t xml:space="preserve">Table 4</w:t>
      </w:r>
      <w:r>
        <w:rPr>
          <w:rFonts w:ascii="Arial" w:cs="Arial" w:eastAsia="Arial" w:hAnsi="Arial"/>
          <w:sz w:val="22"/>
          <w:szCs w:val="22"/>
        </w:rPr>
        <w:t xml:space="preserve">
Descriptive Statistics: Examination Practices and Governance (n = 292)</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80"/>
        <w:gridCol w:w="4920"/>
        <w:gridCol w:w="960"/>
        <w:gridCol w:w="900"/>
      </w:tblGrid>
      <w:tr>
        <w:trPr>
          <w:tblHeader/>
        </w:trP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4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Statement</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C17</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Examinations are primarily paper-based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1.42</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C18</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Question papers are prepared manually by individual teachers</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3.76</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1.48</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C19</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Tests primarily assess memorisation rather than application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1.33</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C20</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Summative examinations are regularly conducted</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3.68</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1.29</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C21</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 clearly understand competency-based evaluation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1.24</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C22</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CDC curriculum is not aligned with competency-based methods</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2.96</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1.18</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C23</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 clear CDC guidelines on competency-based assessment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1.15</w:t>
            </w:r>
          </w:p>
        </w:tc>
      </w:tr>
      <w:tr>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C24</w:t>
            </w:r>
          </w:p>
        </w:tc>
        <w:tc>
          <w:tcPr>
            <w:tcW w:type="dxa" w:w="49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Transition to competency-based digital evaluation is necessary</w:t>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Overall Governance Score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w:t>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Scale: 1 = Strongly Disagree to 5 = Strongly Agree. Source: Field Survey, December 2024.</w:t>
      </w:r>
    </w:p>
    <w:p>
      <w:pPr>
        <w:pStyle w:val="Heading2"/>
        <w:spacing w:after="120" w:before="280"/>
      </w:pPr>
      <w:r>
        <w:rPr>
          <w:rFonts w:ascii="Arial" w:cs="Arial" w:eastAsia="Arial" w:hAnsi="Arial"/>
          <w:b/>
          <w:bCs/>
          <w:color w:val="2E75B6"/>
          <w:sz w:val="25"/>
          <w:szCs w:val="25"/>
        </w:rPr>
        <w:t xml:space="preserve">5.3 Reliability Analysis</w:t>
      </w:r>
    </w:p>
    <w:p>
      <w:pPr>
        <w:spacing w:after="180" w:before="0" w:line="360"/>
        <w:jc w:val="both"/>
      </w:pPr>
      <w:r>
        <w:rPr>
          <w:rFonts w:ascii="Arial" w:cs="Arial" w:eastAsia="Arial" w:hAnsi="Arial"/>
          <w:b w:val="false"/>
          <w:bCs w:val="false"/>
          <w:color w:val="000000"/>
          <w:sz w:val="22"/>
          <w:szCs w:val="22"/>
        </w:rPr>
        <w:t xml:space="preserve">Cronbach's alpha coefficients confirmed adequate-to-excellent internal consistency across all scales (Table 5). The overall 24-item scale (alpha = .891) and the Infrastructure Availability subscale (alpha = .876) achieved excellent reliability. Personnel Factors (alpha = .842) achieved good reliability, and Examination Practices and Governance (alpha = .798) met the acceptable threshold. These values provide confidence in the internal validity of the measurement instrument.</w:t>
      </w:r>
    </w:p>
    <w:p>
      <w:pPr>
        <w:spacing w:after="60" w:before="280"/>
      </w:pPr>
      <w:r>
        <w:rPr>
          <w:rFonts w:ascii="Arial" w:cs="Arial" w:eastAsia="Arial" w:hAnsi="Arial"/>
          <w:b/>
          <w:bCs/>
          <w:sz w:val="22"/>
          <w:szCs w:val="22"/>
        </w:rPr>
        <w:t xml:space="preserve">Table 5</w:t>
      </w:r>
      <w:r>
        <w:rPr>
          <w:rFonts w:ascii="Arial" w:cs="Arial" w:eastAsia="Arial" w:hAnsi="Arial"/>
          <w:sz w:val="22"/>
          <w:szCs w:val="22"/>
        </w:rPr>
        <w:t xml:space="preserve">
Cronbach's Alpha Reliability Coefficients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760"/>
        <w:gridCol w:w="3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Construct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 of Items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Cronbach's alpha</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Availability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Excellent</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Personnel Factors</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.842</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Examination Practices &amp; Governance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.798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Acceptable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Overall Scale</w:t>
            </w:r>
          </w:p>
        </w:tc>
        <w:tc>
          <w:tcPr>
            <w:tcW w:type="dxa" w:w="14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w:t>
            </w:r>
          </w:p>
        </w:tc>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.891</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Excellent</w:t>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Acceptable threshold: alpha &gt;= .70 (Nunnally, 1978).</w:t>
      </w:r>
    </w:p>
    <w:p>
      <w:pPr>
        <w:pStyle w:val="Heading2"/>
        <w:spacing w:after="120" w:before="280"/>
      </w:pPr>
      <w:r>
        <w:rPr>
          <w:rFonts w:ascii="Arial" w:cs="Arial" w:eastAsia="Arial" w:hAnsi="Arial"/>
          <w:b/>
          <w:bCs/>
          <w:color w:val="2E75B6"/>
          <w:sz w:val="25"/>
          <w:szCs w:val="25"/>
        </w:rPr>
        <w:t xml:space="preserve">5.4 Pearson Correlation Analysis</w:t>
      </w:r>
    </w:p>
    <w:p>
      <w:pPr>
        <w:spacing w:after="180" w:before="0" w:line="360"/>
        <w:jc w:val="both"/>
      </w:pPr>
      <w:r>
        <w:rPr>
          <w:rFonts w:ascii="Arial" w:cs="Arial" w:eastAsia="Arial" w:hAnsi="Arial"/>
          <w:b w:val="false"/>
          <w:bCs w:val="false"/>
          <w:color w:val="000000"/>
          <w:sz w:val="22"/>
          <w:szCs w:val="22"/>
        </w:rPr>
        <w:t xml:space="preserve">All three independent variables were significantly and positively correlated with e-learning adoption at p &lt; .01 (Table 6). Personnel factors demonstrated the strongest bivariate association (r = .748, p &lt; .001), followed by infrastructure availability (r = .623, p &lt; .001) and governance (r = .581, p &lt; .001), confirming preliminary directional support for H1, H2, and H3. Inter-predictor correlations ranged from r = .438 (infrastructure-governance) to r = .594 (personnel-governance), indicating substantive but non-collinear relationships between the constructs.</w:t>
      </w:r>
    </w:p>
    <w:p>
      <w:pPr>
        <w:spacing w:after="60" w:before="280"/>
      </w:pPr>
      <w:r>
        <w:rPr>
          <w:rFonts w:ascii="Arial" w:cs="Arial" w:eastAsia="Arial" w:hAnsi="Arial"/>
          <w:b/>
          <w:bCs/>
          <w:sz w:val="22"/>
          <w:szCs w:val="22"/>
        </w:rPr>
        <w:t xml:space="preserve">Table 6</w:t>
      </w:r>
      <w:r>
        <w:rPr>
          <w:rFonts w:ascii="Arial" w:cs="Arial" w:eastAsia="Arial" w:hAnsi="Arial"/>
          <w:sz w:val="22"/>
          <w:szCs w:val="22"/>
        </w:rPr>
        <w:t xml:space="preserve">
Pearson Correlation Matrix (N = 292)</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900"/>
        <w:gridCol w:w="1640"/>
        <w:gridCol w:w="1640"/>
        <w:gridCol w:w="1640"/>
        <w:gridCol w:w="1740"/>
      </w:tblGrid>
      <w:tr>
        <w:trPr>
          <w:tblHeader/>
        </w:trPr>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Infrastructure Availability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Personnel Factors</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.512**</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7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Governance &amp; Exam Practices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E-learning Adoption (DV)</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.623**</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.748**</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.581**</w:t>
            </w:r>
          </w:p>
        </w:tc>
        <w:tc>
          <w:tcPr>
            <w:tcW w:type="dxa" w:w="17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DV = Dependent Variable. ** p &lt; .01 (two-tailed). VIF values for all predictors ranged from 1.42 to 1.68, confirming the absence of multicollinearity (threshold &lt; 10; conservative threshold &lt; 3).</w:t>
      </w:r>
    </w:p>
    <w:p>
      <w:pPr>
        <w:pStyle w:val="Heading2"/>
        <w:spacing w:after="120" w:before="280"/>
      </w:pPr>
      <w:r>
        <w:rPr>
          <w:rFonts w:ascii="Arial" w:cs="Arial" w:eastAsia="Arial" w:hAnsi="Arial"/>
          <w:b/>
          <w:bCs/>
          <w:color w:val="2E75B6"/>
          <w:sz w:val="25"/>
          <w:szCs w:val="25"/>
        </w:rPr>
        <w:t xml:space="preserve">5.5 Multiple Regression Analysis</w:t>
      </w:r>
    </w:p>
    <w:p>
      <w:pPr>
        <w:spacing w:after="180" w:before="0" w:line="360"/>
        <w:jc w:val="both"/>
      </w:pPr>
      <w:r>
        <w:rPr>
          <w:rFonts w:ascii="Arial" w:cs="Arial" w:eastAsia="Arial" w:hAnsi="Arial"/>
          <w:b w:val="false"/>
          <w:bCs w:val="false"/>
          <w:color w:val="000000"/>
          <w:sz w:val="22"/>
          <w:szCs w:val="22"/>
        </w:rPr>
        <w:t xml:space="preserve">Multiple linear regression was conducted with e-learning adoption as the criterion variable and the three independent variable clusters as predictors. The overall model was statistically significant (F(3, 288) = 45.82, p &lt; .001) and accounted for 65.9% of variance in e-learning adoption (R² = .659, Adjusted R² = .645). The Adjusted R² value indicates strong explanatory power after controlling for the number of predictors, and is consistent with comparable multi-predictor adoption studies in developing country educational contexts.</w:t>
      </w:r>
    </w:p>
    <w:p>
      <w:pPr>
        <w:spacing w:after="180" w:before="0" w:line="360"/>
        <w:jc w:val="both"/>
      </w:pPr>
      <w:r>
        <w:rPr>
          <w:rFonts w:ascii="Arial" w:cs="Arial" w:eastAsia="Arial" w:hAnsi="Arial"/>
          <w:b w:val="false"/>
          <w:bCs w:val="false"/>
          <w:color w:val="000000"/>
          <w:sz w:val="22"/>
          <w:szCs w:val="22"/>
        </w:rPr>
        <w:t xml:space="preserve">All three predictors made statistically significant independent contributions to the model (Table 7). Personnel factors were the strongest predictor (B = 0.538, beta = .476, t = 5.663, p &lt; .001, VIF = 1.68), indicating that a one-standard-deviation increase in personnel factor scores was associated with a 0.476 standard deviation increase in e-learning adoption, holding other predictors constant. Infrastructure availability produced the second largest effect (B = 0.312, beta = .289, t = 3.506, p = .001, VIF = 1.42). Governance and examination reform practices, while the weakest predictor, remained statistically significant (B = 0.245, beta = .221, t = 2.988, p = .004, VIF = 1.54). The model intercept (B = 0.847, p = .011) reflects baseline adoption when all three predictors are held at zero and does not constitute a substantive predictor in itself.</w:t>
      </w:r>
    </w:p>
    <w:p>
      <w:pPr>
        <w:spacing w:after="60" w:before="280"/>
      </w:pPr>
      <w:r>
        <w:rPr>
          <w:rFonts w:ascii="Arial" w:cs="Arial" w:eastAsia="Arial" w:hAnsi="Arial"/>
          <w:b/>
          <w:bCs/>
          <w:sz w:val="22"/>
          <w:szCs w:val="22"/>
        </w:rPr>
        <w:t xml:space="preserve">Table 7</w:t>
      </w:r>
      <w:r>
        <w:rPr>
          <w:rFonts w:ascii="Arial" w:cs="Arial" w:eastAsia="Arial" w:hAnsi="Arial"/>
          <w:sz w:val="22"/>
          <w:szCs w:val="22"/>
        </w:rPr>
        <w:t xml:space="preserve">
Multiple Regression Results: Predictors of E-Learning Adoption (N = 292)</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900"/>
        <w:gridCol w:w="900"/>
        <w:gridCol w:w="1020"/>
        <w:gridCol w:w="84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Predictor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beta</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w:t>
            </w:r>
          </w:p>
        </w:tc>
        <w:tc>
          <w:tcPr>
            <w:tcW w:type="dxa" w:w="1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w:t>
            </w:r>
          </w:p>
        </w:tc>
        <w:tc>
          <w:tcPr>
            <w:tcW w:type="dxa" w:w="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VIF</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(Constant)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2.614</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.011</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Availability</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0.312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0.089</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.289</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3.506</w:t>
            </w:r>
          </w:p>
        </w:tc>
        <w:tc>
          <w:tcPr>
            <w:tcW w:type="dxa" w:w="10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.001**</w:t>
            </w:r>
          </w:p>
        </w:tc>
        <w:tc>
          <w:tcPr>
            <w:tcW w:type="dxa" w:w="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1.42</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Personnel Factors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0.095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5.663</w:t>
            </w:r>
          </w:p>
        </w:tc>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.001**</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1.68</w:t>
            </w:r>
          </w:p>
        </w:tc>
      </w:tr>
      <w:tr>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Governance &amp; Exam Practices</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0.245</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0.082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.221</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2.988</w:t>
            </w:r>
          </w:p>
        </w:tc>
        <w:tc>
          <w:tcPr>
            <w:tcW w:type="dxa" w:w="10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w:t>
            </w:r>
          </w:p>
        </w:tc>
        <w:tc>
          <w:tcPr>
            <w:tcW w:type="dxa" w:w="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1.54</w:t>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Dependent variable: E-learning Adoption. Model: R = .812, R² = .659, Adjusted R² = .645, F(3, 288) = 45.82, p &lt; .001. B = unstandardised coefficient; beta = standardised coefficient; SE = standard error; VIF = Variance Inflation Factor. ** p &lt; .01.</w:t>
      </w:r>
    </w:p>
    <w:p>
      <w:pPr>
        <w:pStyle w:val="Heading2"/>
        <w:spacing w:after="120" w:before="280"/>
      </w:pPr>
      <w:r>
        <w:rPr>
          <w:rFonts w:ascii="Arial" w:cs="Arial" w:eastAsia="Arial" w:hAnsi="Arial"/>
          <w:b/>
          <w:bCs/>
          <w:color w:val="2E75B6"/>
          <w:sz w:val="25"/>
          <w:szCs w:val="25"/>
        </w:rPr>
        <w:t xml:space="preserve">5.6 Demographic Comparisons</w:t>
      </w:r>
    </w:p>
    <w:p>
      <w:pPr>
        <w:pStyle w:val="Heading3"/>
        <w:spacing w:after="80" w:before="200"/>
      </w:pPr>
      <w:r>
        <w:rPr>
          <w:rFonts w:ascii="Arial" w:cs="Arial" w:eastAsia="Arial" w:hAnsi="Arial"/>
          <w:b/>
          <w:bCs/>
          <w:color w:val="4F4F4F"/>
          <w:sz w:val="23"/>
          <w:szCs w:val="23"/>
        </w:rPr>
        <w:t xml:space="preserve">5.6.1 Gender (H5a)</w:t>
      </w:r>
    </w:p>
    <w:p>
      <w:pPr>
        <w:spacing w:after="180" w:before="0" w:line="360"/>
        <w:jc w:val="both"/>
      </w:pPr>
      <w:r>
        <w:rPr>
          <w:rFonts w:ascii="Arial" w:cs="Arial" w:eastAsia="Arial" w:hAnsi="Arial"/>
          <w:b w:val="false"/>
          <w:bCs w:val="false"/>
          <w:color w:val="000000"/>
          <w:sz w:val="22"/>
          <w:szCs w:val="22"/>
        </w:rPr>
        <w:t xml:space="preserve">An independent samples t-test revealed no statistically significant difference in e-learning adoption between male (M = 3.62, SD = 0.84) and female teachers (M = 3.89, SD = 0.71), t(290) = -1.423, p = .159. Cohen's d = 0.17 indicates a small, practically negligible effect size. Although female teachers demonstrated marginally higher mean adoption scores, the difference did not reach statistical significance, and H5a was not supported. This finding aligns with more recent international research suggesting that gender gaps in technology acceptance are narrowing, particularly among professionally qualified populations (Wangdi et al., 2023).</w:t>
      </w:r>
    </w:p>
    <w:p>
      <w:pPr>
        <w:pStyle w:val="Heading3"/>
        <w:spacing w:after="80" w:before="200"/>
      </w:pPr>
      <w:r>
        <w:rPr>
          <w:rFonts w:ascii="Arial" w:cs="Arial" w:eastAsia="Arial" w:hAnsi="Arial"/>
          <w:b/>
          <w:bCs/>
          <w:color w:val="4F4F4F"/>
          <w:sz w:val="23"/>
          <w:szCs w:val="23"/>
        </w:rPr>
        <w:t xml:space="preserve">5.6.2 Teaching Experience (H5b)</w:t>
      </w:r>
    </w:p>
    <w:p>
      <w:pPr>
        <w:spacing w:after="180" w:before="0" w:line="360"/>
        <w:jc w:val="both"/>
      </w:pPr>
      <w:r>
        <w:rPr>
          <w:rFonts w:ascii="Arial" w:cs="Arial" w:eastAsia="Arial" w:hAnsi="Arial"/>
          <w:b w:val="false"/>
          <w:bCs w:val="false"/>
          <w:color w:val="000000"/>
          <w:sz w:val="22"/>
          <w:szCs w:val="22"/>
        </w:rPr>
        <w:t xml:space="preserve">One-way ANOVA revealed a statistically significant main effect of teaching experience on e-learning adoption, F(4, 287) = 3.842, p = .007, eta-squared = .051 (medium effect size), supporting H5b. An inverse relationship was evident across experience groups: teachers with fewer than five years of experience demonstrated the highest adoption readiness (M = 4.12, SD = 0.63), while those with more than 20 years of experience showed the lowest (M = 3.11, SD = 1.02). Tukey's HSD post-hoc analysis (Table 8) identified significant pairwise differences between the under-5-year group and the 11–15 year (mean difference = 0.54, p &lt; .05), 16–20 year (0.70, p &lt; .05), and over-20-year (1.01, p &lt; .05) groups. These findings suggest that the adoption gap reflects generational differences in digital socialisation rather than formal training differentials.</w:t>
      </w:r>
    </w:p>
    <w:p>
      <w:pPr>
        <w:spacing w:after="60" w:before="280"/>
      </w:pPr>
      <w:r>
        <w:rPr>
          <w:rFonts w:ascii="Arial" w:cs="Arial" w:eastAsia="Arial" w:hAnsi="Arial"/>
          <w:b/>
          <w:bCs/>
          <w:sz w:val="22"/>
          <w:szCs w:val="22"/>
        </w:rPr>
        <w:t xml:space="preserve">Table 8</w:t>
      </w:r>
      <w:r>
        <w:rPr>
          <w:rFonts w:ascii="Arial" w:cs="Arial" w:eastAsia="Arial" w:hAnsi="Arial"/>
          <w:sz w:val="22"/>
          <w:szCs w:val="22"/>
        </w:rPr>
        <w:t xml:space="preserve">
E-Learning Adoption by Teaching Experience: One-Way ANOVA and Post-Hoc Results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000"/>
        <w:gridCol w:w="780"/>
        <w:gridCol w:w="780"/>
        <w:gridCol w:w="780"/>
        <w:gridCol w:w="900"/>
        <w:gridCol w:w="96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Experience Group</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w:t>
            </w:r>
          </w:p>
        </w:tc>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eta-sq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5 years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3.842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.051</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5–10 years</w:t>
            </w:r>
          </w:p>
        </w:tc>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w:t>
            </w:r>
          </w:p>
        </w:tc>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3.85</w:t>
            </w:r>
          </w:p>
        </w:tc>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11–15 years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16–20 years</w:t>
            </w:r>
          </w:p>
        </w:tc>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3.42</w:t>
            </w:r>
          </w:p>
        </w:tc>
        <w:tc>
          <w:tcPr>
            <w:tcW w:type="dxa" w:w="7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20 years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 p &lt; .01. Tukey's HSD post-hoc: &lt; 5 years significantly higher than 11–15 years (diff = 0.54), 16–20 years (diff = 0.70), and &gt; 20 years (diff = 1.01); all p &lt; .05. No significant difference between &lt; 5 years and 5–10 years groups.</w:t>
      </w:r>
    </w:p>
    <w:p>
      <w:pPr>
        <w:pStyle w:val="Heading3"/>
        <w:spacing w:after="80" w:before="200"/>
      </w:pPr>
      <w:r>
        <w:rPr>
          <w:rFonts w:ascii="Arial" w:cs="Arial" w:eastAsia="Arial" w:hAnsi="Arial"/>
          <w:b/>
          <w:bCs/>
          <w:color w:val="4F4F4F"/>
          <w:sz w:val="23"/>
          <w:szCs w:val="23"/>
        </w:rPr>
        <w:t xml:space="preserve">5.6.3 Educational Qualification (H5c)</w:t>
      </w:r>
    </w:p>
    <w:p>
      <w:pPr>
        <w:spacing w:after="180" w:before="0" w:line="360"/>
        <w:jc w:val="both"/>
      </w:pPr>
      <w:r>
        <w:rPr>
          <w:rFonts w:ascii="Arial" w:cs="Arial" w:eastAsia="Arial" w:hAnsi="Arial"/>
          <w:b w:val="false"/>
          <w:bCs w:val="false"/>
          <w:color w:val="000000"/>
          <w:sz w:val="22"/>
          <w:szCs w:val="22"/>
        </w:rPr>
        <w:t xml:space="preserve">One-way ANOVA yielded no statistically significant difference in e-learning adoption across educational qualification levels, F(2, 289) = 2.184, p = .114, eta-squared = .015 (small effect size). H5c was not supported. Although M.Phil./Ph.D. holders obtained the numerically highest mean (M = 4.05), compared with Master's degree holders (M = 3.82) and Bachelor's degree holders (M = 3.65), none of these differences exceeded the statistical significance threshold. Post-hoc testing was not warranted given the non-significant ANOVA result. This finding suggests that formal qualification level does not independently determine e-learning readiness, and that attitudinal and motivational factors may be more uniformly distributed across qualification groups than qualification-differentiated factors such as research exposure or postgraduate training.</w:t>
      </w:r>
    </w:p>
    <w:p>
      <w:pPr>
        <w:pStyle w:val="Heading2"/>
        <w:spacing w:after="120" w:before="280"/>
      </w:pPr>
      <w:r>
        <w:rPr>
          <w:rFonts w:ascii="Arial" w:cs="Arial" w:eastAsia="Arial" w:hAnsi="Arial"/>
          <w:b/>
          <w:bCs/>
          <w:color w:val="2E75B6"/>
          <w:sz w:val="25"/>
          <w:szCs w:val="25"/>
        </w:rPr>
        <w:t xml:space="preserve">5.7 Hypotheses Testing Summary</w:t>
      </w:r>
    </w:p>
    <w:p>
      <w:pPr>
        <w:spacing w:after="60" w:before="280"/>
      </w:pPr>
      <w:r>
        <w:rPr>
          <w:rFonts w:ascii="Arial" w:cs="Arial" w:eastAsia="Arial" w:hAnsi="Arial"/>
          <w:b/>
          <w:bCs/>
          <w:sz w:val="22"/>
          <w:szCs w:val="22"/>
        </w:rPr>
        <w:t xml:space="preserve">Table 9</w:t>
      </w:r>
      <w:r>
        <w:rPr>
          <w:rFonts w:ascii="Arial" w:cs="Arial" w:eastAsia="Arial" w:hAnsi="Arial"/>
          <w:sz w:val="22"/>
          <w:szCs w:val="22"/>
        </w:rPr>
        <w:t xml:space="preserve">
Summary of Hypotheses Testing Results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100"/>
        <w:gridCol w:w="900"/>
        <w:gridCol w:w="15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Hypothesis</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Statistical Test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Statistic</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p-value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H1: Infrastructure → Adoption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Multiple regression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beta = .289, t = 3.506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H2: Personnel Factors → Adoption</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Multiple regression</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beta = .476, t = 5.663</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.001**</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H3: Governance → Adoption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Multiple regression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beta = .221, t = 2.988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H4: Combined predictive model</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Multiple regression</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R² = .659, F = 45.82</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&lt; .001**</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H5a: Gender differences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Independent t-test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t(290) = -1.423, d = 0.17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Supported</w:t>
            </w:r>
          </w:p>
        </w:tc>
      </w:tr>
      <w:tr>
        <w:tc>
          <w:tcPr>
            <w:tcW w:type="dxa" w:w="2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H5b: Experience differences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One-way ANOVA</w:t>
            </w:r>
          </w:p>
        </w:tc>
        <w:tc>
          <w:tcPr>
            <w:tcW w:type="dxa" w:w="2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F(4,287) = 3.842, eta-sq = .051</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.007**</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Supported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H5c: Qualification differences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One-way ANOVA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F(2,289) = 2.184, eta-sq = .015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Not Supported</w:t>
            </w:r>
          </w:p>
        </w:tc>
      </w:tr>
    </w:tbl>
    <w:p>
      <w:pPr>
        <w:spacing w:after="220" w:before="60"/>
      </w:pPr>
      <w:r>
        <w:rPr>
          <w:rFonts w:ascii="Arial" w:cs="Arial" w:eastAsia="Arial" w:hAnsi="Arial"/>
          <w:b/>
          <w:bCs/>
          <w:sz w:val="18"/>
          <w:szCs w:val="18"/>
        </w:rPr>
        <w:t xml:space="preserve">Note. </w:t>
      </w:r>
      <w:r>
        <w:rPr>
          <w:rFonts w:ascii="Arial" w:cs="Arial" w:eastAsia="Arial" w:hAnsi="Arial"/>
          <w:sz w:val="18"/>
          <w:szCs w:val="18"/>
        </w:rPr>
        <w:t xml:space="preserve">** p &lt; .01. Effect sizes: Cohen's d for t-test; eta-squared for ANOVA.</w:t>
      </w:r>
    </w:p>
    <w:p>
      <w:pPr>
        <w:pStyle w:val="Heading1"/>
        <w:pBdr>
          <w:bottom w:val="single" w:color="2E75B6" w:sz="4" w:space="4"/>
        </w:pBdr>
        <w:spacing w:after="180" w:before="360"/>
      </w:pPr>
      <w:r>
        <w:rPr>
          <w:rFonts w:ascii="Arial" w:cs="Arial" w:eastAsia="Arial" w:hAnsi="Arial"/>
          <w:b/>
          <w:bCs/>
          <w:color w:val="1F3864"/>
          <w:sz w:val="30"/>
          <w:szCs w:val="30"/>
        </w:rPr>
        <w:t xml:space="preserve">6. Discussion</w:t>
      </w:r>
    </w:p>
    <w:p>
      <w:pPr>
        <w:pStyle w:val="Heading2"/>
        <w:spacing w:after="120" w:before="280"/>
      </w:pPr>
      <w:r>
        <w:rPr>
          <w:rFonts w:ascii="Arial" w:cs="Arial" w:eastAsia="Arial" w:hAnsi="Arial"/>
          <w:b/>
          <w:bCs/>
          <w:color w:val="2E75B6"/>
          <w:sz w:val="25"/>
          <w:szCs w:val="25"/>
        </w:rPr>
        <w:t xml:space="preserve">6.1 The Readiness-Resources Paradox</w:t>
      </w:r>
    </w:p>
    <w:p>
      <w:pPr>
        <w:spacing w:after="180" w:before="0" w:line="360"/>
        <w:jc w:val="both"/>
      </w:pPr>
      <w:r>
        <w:rPr>
          <w:rFonts w:ascii="Arial" w:cs="Arial" w:eastAsia="Arial" w:hAnsi="Arial"/>
          <w:b w:val="false"/>
          <w:bCs w:val="false"/>
          <w:color w:val="000000"/>
          <w:sz w:val="22"/>
          <w:szCs w:val="22"/>
        </w:rPr>
        <w:t xml:space="preserve">The most theoretically significant finding of this study is the coexistence of high teacher motivational readiness (personnel factors: M = 3.78) with critically deficient infrastructure (M = 2.53). This configuration — which this paper terms the readiness-resources paradox — inverts the conventional barriers framework in which low adoption is attributed to insufficient motivation or negative technology attitudes. In Bhaktapur's government schools, teachers are not reluctant adopters; they are capable and willing individuals whose digital practice is constrained by systemic resource failures external to themselves.</w:t>
      </w:r>
    </w:p>
    <w:p>
      <w:pPr>
        <w:spacing w:after="180" w:before="0" w:line="360"/>
        <w:jc w:val="both"/>
      </w:pPr>
      <w:r>
        <w:rPr>
          <w:rFonts w:ascii="Arial" w:cs="Arial" w:eastAsia="Arial" w:hAnsi="Arial"/>
          <w:b w:val="false"/>
          <w:bCs w:val="false"/>
          <w:color w:val="000000"/>
          <w:sz w:val="22"/>
          <w:szCs w:val="22"/>
        </w:rPr>
        <w:t xml:space="preserve">This finding resonates strongly with Al-Fraihat et al.'s (2020) contention that in low-resource educational environments, facilitating conditions operate as the binding constraint on adoption, overriding attitudinal and competency predictors. It also aligns with UTAUT's theoretical prediction that Facilitating Conditions exert direct effects on adoption behaviour, particularly when infrastructure is absent or unreliable (Venkatesh et al., 2003). Qualitative evidence deepens this interpretation: teachers described abandoning digital teaching attempts after encountering broken equipment (R1), inadequate hardware allocation (R3), and absent IT support (R7), and subsequently reverting to traditional whiteboard instruction despite genuine personal motivation to integrate technology. The frustration embedded in these accounts represents a form of motivational erosion — where repeated resource failures gradually diminish willingness to attempt adoption, even among initially enthusiastic teachers.</w:t>
      </w:r>
    </w:p>
    <w:p>
      <w:pPr>
        <w:pStyle w:val="Heading2"/>
        <w:spacing w:after="120" w:before="280"/>
      </w:pPr>
      <w:r>
        <w:rPr>
          <w:rFonts w:ascii="Arial" w:cs="Arial" w:eastAsia="Arial" w:hAnsi="Arial"/>
          <w:b/>
          <w:bCs/>
          <w:color w:val="2E75B6"/>
          <w:sz w:val="25"/>
          <w:szCs w:val="25"/>
        </w:rPr>
        <w:t xml:space="preserve">6.2 Personnel Factors and the Formal Training Gap</w:t>
      </w:r>
    </w:p>
    <w:p>
      <w:pPr>
        <w:spacing w:after="180" w:before="0" w:line="360"/>
        <w:jc w:val="both"/>
      </w:pPr>
      <w:r>
        <w:rPr>
          <w:rFonts w:ascii="Arial" w:cs="Arial" w:eastAsia="Arial" w:hAnsi="Arial"/>
          <w:b w:val="false"/>
          <w:bCs w:val="false"/>
          <w:color w:val="000000"/>
          <w:sz w:val="22"/>
          <w:szCs w:val="22"/>
        </w:rPr>
        <w:t xml:space="preserve">Personnel factors emerged as the strongest predictor of adoption (beta = .476), consistent with TAM's foundational emphasis on perceived usefulness as the primary determinant of technology acceptance (Davis et al., 1989). Teachers' strongly positive perceived usefulness scores (M = 4.21) and favourable attitudes toward e-learning (M = 4.18) confirm that the psychological preconditions for adoption are broadly in place across Bhaktapur's government school teaching force. However, the severe deficiency in formal ICT training (M = 2.84) represents a critical gap between attitudinal readiness and instructional capability — precisely the knowledge intersection that TPACK theory identifies as essential for technology-integrated teaching (Mishra &amp; Koehler, 2006; Koehler, 2013).</w:t>
      </w:r>
    </w:p>
    <w:p>
      <w:pPr>
        <w:spacing w:after="180" w:before="0" w:line="360"/>
        <w:jc w:val="both"/>
      </w:pPr>
      <w:r>
        <w:rPr>
          <w:rFonts w:ascii="Arial" w:cs="Arial" w:eastAsia="Arial" w:hAnsi="Arial"/>
          <w:b w:val="false"/>
          <w:bCs w:val="false"/>
          <w:color w:val="000000"/>
          <w:sz w:val="22"/>
          <w:szCs w:val="22"/>
        </w:rPr>
        <w:t xml:space="preserve">This training gap has a specific qualitative character that the quantitative mean partially obscures: participants did not lack all digital exposure, but lacked subject-specific, pedagogically oriented digital training. Existing training was confined to basic office productivity software (word processing, presentation tools), whereas effective e-learning integration requires competencies in digital content creation, learning management system use, and competency-based assessment design. Several teachers had resorted to self-directed YouTube learning to bridge this gap (R3, R6) — a finding that reflects both teacher agency and institutional failure.</w:t>
      </w:r>
    </w:p>
    <w:p>
      <w:pPr>
        <w:spacing w:after="180" w:before="0" w:line="360"/>
        <w:jc w:val="both"/>
      </w:pPr>
      <w:r>
        <w:rPr>
          <w:rFonts w:ascii="Arial" w:cs="Arial" w:eastAsia="Arial" w:hAnsi="Arial"/>
          <w:b w:val="false"/>
          <w:bCs w:val="false"/>
          <w:color w:val="000000"/>
          <w:sz w:val="22"/>
          <w:szCs w:val="22"/>
        </w:rPr>
        <w:t xml:space="preserve">The inverse relationship between teaching experience and adoption readiness (eta-squared = .051) warrants particular attention from a policy standpoint. Younger, less experienced teachers (&lt; 5 years: M = 4.12) demonstrated significantly higher adoption readiness than their more experienced colleagues (&gt; 20 years: M = 3.11). This pattern most plausibly reflects generational differences in digital socialisation rather than formal training differentials, since formal training was uniformly inadequate across all experience groups. The implication for professional development policy is that experienced teacher cohorts require targeted, experience-sensitive training interventions — not generic ICT literacy programmes — to close the adoption gap.</w:t>
      </w:r>
    </w:p>
    <w:p>
      <w:pPr>
        <w:pStyle w:val="Heading2"/>
        <w:spacing w:after="120" w:before="280"/>
      </w:pPr>
      <w:r>
        <w:rPr>
          <w:rFonts w:ascii="Arial" w:cs="Arial" w:eastAsia="Arial" w:hAnsi="Arial"/>
          <w:b/>
          <w:bCs/>
          <w:color w:val="2E75B6"/>
          <w:sz w:val="25"/>
          <w:szCs w:val="25"/>
        </w:rPr>
        <w:t xml:space="preserve">6.3 Governance, Examination Culture, and Structural Incompatibility</w:t>
      </w:r>
    </w:p>
    <w:p>
      <w:pPr>
        <w:spacing w:after="180" w:before="0" w:line="360"/>
        <w:jc w:val="both"/>
      </w:pPr>
      <w:r>
        <w:rPr>
          <w:rFonts w:ascii="Arial" w:cs="Arial" w:eastAsia="Arial" w:hAnsi="Arial"/>
          <w:b w:val="false"/>
          <w:bCs w:val="false"/>
          <w:color w:val="000000"/>
          <w:sz w:val="22"/>
          <w:szCs w:val="22"/>
        </w:rPr>
        <w:t xml:space="preserve">The significant governance coefficient (beta = .221) confirms that institutional examination structures function as a meaningful predictor of e-learning adoption — a relationship theoretically asserted in the Nepalese policy literature but rarely empirically quantified. Teachers' strong endorsement of competency-based evaluation (M = 4.12) contrasts sharply with their perceptions of weak CDC curriculum alignment (M = 2.96) and inadequate policy guidance (M = 2.87), revealing a governance implementation gap in which reform aspirations are not matched by operational frameworks.</w:t>
      </w:r>
    </w:p>
    <w:p>
      <w:pPr>
        <w:spacing w:after="180" w:before="0" w:line="360"/>
        <w:jc w:val="both"/>
      </w:pPr>
      <w:r>
        <w:rPr>
          <w:rFonts w:ascii="Arial" w:cs="Arial" w:eastAsia="Arial" w:hAnsi="Arial"/>
          <w:b w:val="false"/>
          <w:bCs w:val="false"/>
          <w:color w:val="000000"/>
          <w:sz w:val="22"/>
          <w:szCs w:val="22"/>
        </w:rPr>
        <w:t xml:space="preserve">Interpreted through Rogers' (2003) Diffusion of Innovations lens, Nepal's summative examination culture represents a profound institutional incompatibility barrier: the prevailing assessment system rewards rote memorisation and devalues the competency-based, technology-supported pedagogies that e-learning adoption would enable. Teachers who are individually motivated to adopt digital methods face a rational disincentive to do so, because their students' terminal examination performance — the primary accountability metric — is evaluated through paper-based, knowledge-recall formats that digital pedagogy does not directly optimise. As one participant stated: "How can one explain critical thinking in a written exam? Competency-based evaluation sounds good in theory" (R6). Resolving this incompatibility requires not merely curriculum alignment but examination reform at the governance level — a process that SSDP 2016–2023 initiated but has not yet completed.</w:t>
      </w:r>
    </w:p>
    <w:p>
      <w:pPr>
        <w:pStyle w:val="Heading2"/>
        <w:spacing w:after="120" w:before="280"/>
      </w:pPr>
      <w:r>
        <w:rPr>
          <w:rFonts w:ascii="Arial" w:cs="Arial" w:eastAsia="Arial" w:hAnsi="Arial"/>
          <w:b/>
          <w:bCs/>
          <w:color w:val="2E75B6"/>
          <w:sz w:val="25"/>
          <w:szCs w:val="25"/>
        </w:rPr>
        <w:t xml:space="preserve">6.4 Policy Implications</w:t>
      </w:r>
    </w:p>
    <w:p>
      <w:pPr>
        <w:spacing w:after="180" w:before="0" w:line="360"/>
        <w:jc w:val="both"/>
      </w:pPr>
      <w:r>
        <w:rPr>
          <w:rFonts w:ascii="Arial" w:cs="Arial" w:eastAsia="Arial" w:hAnsi="Arial"/>
          <w:b w:val="false"/>
          <w:bCs w:val="false"/>
          <w:color w:val="000000"/>
          <w:sz w:val="22"/>
          <w:szCs w:val="22"/>
        </w:rPr>
        <w:t xml:space="preserve">Five prioritised policy recommendations emerge from these findings. First, federal and provincial governments should institute dedicated, ring-fenced ICT infrastructure budgets for government schools, specifically addressing laptop provision, reliable broadband connectivity, and dedicated IT support staffing — the three infrastructure dimensions with the lowest scores in this study. Second, the Ministry of Education should develop a structured, multi-tier in-service ICT training programme extending beyond office application literacy toward subject-specific digital content creation and competency-based digital assessment design, with targeted cohorts for experienced teachers who face the largest adoption gap. Third, the NEB and CDC should implement a phased pilot programme for competency-based digital assessment at lower-stakes grade levels (Grades 6–8), creating an institutionalised pathway toward examination reform that does not jeopardise Grade 10 and 12 outcomes. Fourth, school management committees should recognise ICT maintenance and technical staffing as core operational expenditures rather than discretionary capital items. Fifth, the federal government should develop equity-oriented resource allocation mechanisms to address the pronounced infrastructure disparities between peri-urban districts such as Bhaktapur and remote rural areas.</w:t>
      </w:r>
    </w:p>
    <w:p>
      <w:pPr>
        <w:pStyle w:val="Heading1"/>
        <w:pBdr>
          <w:bottom w:val="single" w:color="2E75B6" w:sz="4" w:space="4"/>
        </w:pBdr>
        <w:spacing w:after="180" w:before="360"/>
      </w:pPr>
      <w:r>
        <w:rPr>
          <w:rFonts w:ascii="Arial" w:cs="Arial" w:eastAsia="Arial" w:hAnsi="Arial"/>
          <w:b/>
          <w:bCs/>
          <w:color w:val="1F3864"/>
          <w:sz w:val="30"/>
          <w:szCs w:val="30"/>
        </w:rPr>
        <w:t xml:space="preserve">7. Conclusion</w:t>
      </w:r>
    </w:p>
    <w:p>
      <w:pPr>
        <w:spacing w:after="180" w:before="0" w:line="360"/>
        <w:jc w:val="both"/>
      </w:pPr>
      <w:r>
        <w:rPr>
          <w:rFonts w:ascii="Arial" w:cs="Arial" w:eastAsia="Arial" w:hAnsi="Arial"/>
          <w:b w:val="false"/>
          <w:bCs w:val="false"/>
          <w:color w:val="000000"/>
          <w:sz w:val="22"/>
          <w:szCs w:val="22"/>
        </w:rPr>
        <w:t xml:space="preserve">This study examined the determinants of e-learning adoption among 292 government school teachers in Bhaktapur District, Nepal, using an integrated multi-dimensional framework grounded in TAM, UTAUT, and TPACK. The regression model explained 65.9% of variance in adoption, with personnel factors (beta = .476), infrastructure availability (beta = .289), and institutional governance (beta = .221) each making statistically significant independent contributions.</w:t>
      </w:r>
    </w:p>
    <w:p>
      <w:pPr>
        <w:spacing w:after="180" w:before="0" w:line="360"/>
        <w:jc w:val="both"/>
      </w:pPr>
      <w:r>
        <w:rPr>
          <w:rFonts w:ascii="Arial" w:cs="Arial" w:eastAsia="Arial" w:hAnsi="Arial"/>
          <w:b w:val="false"/>
          <w:bCs w:val="false"/>
          <w:color w:val="000000"/>
          <w:sz w:val="22"/>
          <w:szCs w:val="22"/>
        </w:rPr>
        <w:t xml:space="preserve">The central finding — a readiness-resources paradox in which high teacher motivational readiness coexists with critically deficient infrastructure and formal training — distinguishes this study from prior Nepalese research that has framed adoption barriers primarily in attitudinal terms. This paradox represents a structural inversion of the problem: the barrier is not teacher unwillingness but systemic resource failure. Addressing it requires coordinated, simultaneous investment across all three predictor dimensions — infrastructure, training, and governance — rather than any single-lever intervention.</w:t>
      </w:r>
    </w:p>
    <w:p>
      <w:pPr>
        <w:spacing w:after="180" w:before="0" w:line="360"/>
        <w:jc w:val="both"/>
      </w:pPr>
      <w:r>
        <w:rPr>
          <w:rFonts w:ascii="Arial" w:cs="Arial" w:eastAsia="Arial" w:hAnsi="Arial"/>
          <w:b w:val="false"/>
          <w:bCs w:val="false"/>
          <w:color w:val="000000"/>
          <w:sz w:val="22"/>
          <w:szCs w:val="22"/>
        </w:rPr>
        <w:t xml:space="preserve">This study makes three contributions to the literature. Empirically, it generates one of the few systematic, quantitative examinations of e-learning adoption determinants in a Nepalese government school context, addressing a significant gap in the South Asian educational technology evidence base. Theoretically, it demonstrates the utility of an integrated TAM-UTAUT-TPACK framework for capturing the multi-dimensional nature of adoption in resource-constrained environments, and introduces the readiness-resources paradox as a theoretically productive construct for understanding adoption failure in developing country public school contexts. Practically, it provides an empirically grounded evidence base for Nepal's ongoing digital education reform agenda, with directly actionable policy recommendations for the Ministry of Education, NEB, CDC, and local government bodies.</w:t>
      </w:r>
    </w:p>
    <w:p>
      <w:pPr>
        <w:spacing w:after="180" w:before="0" w:line="360"/>
        <w:jc w:val="both"/>
      </w:pPr>
      <w:r>
        <w:rPr>
          <w:rFonts w:ascii="Arial" w:cs="Arial" w:eastAsia="Arial" w:hAnsi="Arial"/>
          <w:b w:val="false"/>
          <w:bCs w:val="false"/>
          <w:color w:val="000000"/>
          <w:sz w:val="22"/>
          <w:szCs w:val="22"/>
        </w:rPr>
        <w:t xml:space="preserve">Future research should employ probability sampling across multiple districts and provinces to strengthen external validity, adopt longitudinal designs to capture adoption trajectories over time, and investigate in greater depth the governance mechanisms through which examination reform policies translate — or fail to translate — into classroom practice. Mixed-methods designs that more deeply explore the subjective experience of constrained adoption, including the motivational erosion process described in qualitative findings, would further enrich the evidence base.</w:t>
      </w:r>
    </w:p>
    <w:p>
      <w:pPr>
        <w:pageBreakBefore/>
      </w:pPr>
      <w:r>
        <w:t xml:space="preserve"/>
      </w:r>
    </w:p>
    <w:p>
      <w:pPr>
        <w:pStyle w:val="Heading1"/>
        <w:pBdr>
          <w:bottom w:val="single" w:color="2E75B6" w:sz="4" w:space="4"/>
        </w:pBdr>
        <w:spacing w:after="180" w:before="360"/>
      </w:pPr>
      <w:r>
        <w:rPr>
          <w:rFonts w:ascii="Arial" w:cs="Arial" w:eastAsia="Arial" w:hAnsi="Arial"/>
          <w:b/>
          <w:bCs/>
          <w:color w:val="1F3864"/>
          <w:sz w:val="30"/>
          <w:szCs w:val="30"/>
        </w:rPr>
        <w:t xml:space="preserve">References</w:t>
      </w:r>
    </w:p>
    <w:p>
      <w:pPr>
        <w:spacing w:after="120" w:before="80" w:line="320"/>
        <w:ind w:left="720" w:hanging="720"/>
      </w:pPr>
      <w:r>
        <w:rPr>
          <w:rFonts w:ascii="Arial" w:cs="Arial" w:eastAsia="Arial" w:hAnsi="Arial"/>
          <w:sz w:val="20"/>
          <w:szCs w:val="20"/>
        </w:rPr>
        <w:t xml:space="preserve">Adhikari, G. P. (2024). Technological challenges: A case of secondary-level mathematics teachers integrating ICT in mathematics classrooms. Academia Research Journal, 3(2), 86–97.</w:t>
      </w:r>
    </w:p>
    <w:p>
      <w:pPr>
        <w:spacing w:after="120" w:before="80" w:line="320"/>
        <w:ind w:left="720" w:hanging="720"/>
      </w:pPr>
      <w:r>
        <w:rPr>
          <w:rFonts w:ascii="Arial" w:cs="Arial" w:eastAsia="Arial" w:hAnsi="Arial"/>
          <w:sz w:val="20"/>
          <w:szCs w:val="20"/>
        </w:rPr>
        <w:t xml:space="preserve">Akaslan, D., &amp; Law, E. L. C. (2011). Measuring teachers' readiness for e-learning in higher education institutions associated with the subject of electricity in Turkey. In Proceedings of the IEEE Global Engineering Education Conference (EDUCON) (pp. 482–487). IEEE. https://doi.org/10.1109/EDUCON.2011.5773191</w:t>
      </w:r>
    </w:p>
    <w:p>
      <w:pPr>
        <w:spacing w:after="120" w:before="80" w:line="320"/>
        <w:ind w:left="720" w:hanging="720"/>
      </w:pPr>
      <w:r>
        <w:rPr>
          <w:rFonts w:ascii="Arial" w:cs="Arial" w:eastAsia="Arial" w:hAnsi="Arial"/>
          <w:sz w:val="20"/>
          <w:szCs w:val="20"/>
        </w:rPr>
        <w:t xml:space="preserve">Al-Fraihat, D., Joy, M., Masa'deh, R., &amp; Sinclair, J. (2020). Evaluating e-learning systems success: An empirical study. Computers in Human Behavior, 102, 67–86. https://doi.org/10.1016/j.chb.2019.08.004</w:t>
      </w:r>
    </w:p>
    <w:p>
      <w:pPr>
        <w:spacing w:after="120" w:before="80" w:line="320"/>
        <w:ind w:left="720" w:hanging="720"/>
      </w:pPr>
      <w:r>
        <w:rPr>
          <w:rFonts w:ascii="Arial" w:cs="Arial" w:eastAsia="Arial" w:hAnsi="Arial"/>
          <w:sz w:val="20"/>
          <w:szCs w:val="20"/>
        </w:rPr>
        <w:t xml:space="preserve">Aydin, C. H., &amp; Tasci, D. (2005). Measuring readiness for e-learning: Reflections from an emerging country. Educational Technology &amp; Society, 8(4), 244–257.</w:t>
      </w:r>
    </w:p>
    <w:p>
      <w:pPr>
        <w:spacing w:after="120" w:before="80" w:line="320"/>
        <w:ind w:left="720" w:hanging="720"/>
      </w:pPr>
      <w:r>
        <w:rPr>
          <w:rFonts w:ascii="Arial" w:cs="Arial" w:eastAsia="Arial" w:hAnsi="Arial"/>
          <w:sz w:val="20"/>
          <w:szCs w:val="20"/>
        </w:rPr>
        <w:t xml:space="preserve">Cochran, W. G. (1977). Sampling techniques (3rd ed.). John Wiley &amp; Sons.</w:t>
      </w:r>
    </w:p>
    <w:p>
      <w:pPr>
        <w:spacing w:after="120" w:before="80" w:line="320"/>
        <w:ind w:left="720" w:hanging="720"/>
      </w:pPr>
      <w:r>
        <w:rPr>
          <w:rFonts w:ascii="Arial" w:cs="Arial" w:eastAsia="Arial" w:hAnsi="Arial"/>
          <w:sz w:val="20"/>
          <w:szCs w:val="20"/>
        </w:rPr>
        <w:t xml:space="preserve">Cohen, L., Manion, L., &amp; Morrison, K. (2018). Research methods in education (8th ed.). Routledge.</w:t>
      </w:r>
    </w:p>
    <w:p>
      <w:pPr>
        <w:spacing w:after="120" w:before="80" w:line="320"/>
        <w:ind w:left="720" w:hanging="720"/>
      </w:pPr>
      <w:r>
        <w:rPr>
          <w:rFonts w:ascii="Arial" w:cs="Arial" w:eastAsia="Arial" w:hAnsi="Arial"/>
          <w:sz w:val="20"/>
          <w:szCs w:val="20"/>
        </w:rPr>
        <w:t xml:space="preserve">Creswell, J. W., &amp; Creswell, J. D. (2017). Research design: Qualitative, quantitative, and mixed methods approaches (5th ed.). Sage.</w:t>
      </w:r>
    </w:p>
    <w:p>
      <w:pPr>
        <w:spacing w:after="120" w:before="80" w:line="320"/>
        <w:ind w:left="720" w:hanging="720"/>
      </w:pPr>
      <w:r>
        <w:rPr>
          <w:rFonts w:ascii="Arial" w:cs="Arial" w:eastAsia="Arial" w:hAnsi="Arial"/>
          <w:sz w:val="20"/>
          <w:szCs w:val="20"/>
        </w:rPr>
        <w:t xml:space="preserve">Davis, F. D., Bagozzi, R. P., &amp; Warshaw, P. R. (1989). User acceptance of computer technology: A comparison of two theoretical models. Management Science, 35(8), 982–1003. https://doi.org/10.1287/mnsc.35.8.982</w:t>
      </w:r>
    </w:p>
    <w:p>
      <w:pPr>
        <w:spacing w:after="120" w:before="80" w:line="320"/>
        <w:ind w:left="720" w:hanging="720"/>
      </w:pPr>
      <w:r>
        <w:rPr>
          <w:rFonts w:ascii="Arial" w:cs="Arial" w:eastAsia="Arial" w:hAnsi="Arial"/>
          <w:sz w:val="20"/>
          <w:szCs w:val="20"/>
        </w:rPr>
        <w:t xml:space="preserve">Ertmer, P. A., &amp; Ottenbreit-Leftwich, A. T. (2010). Teacher technology change: How knowledge, beliefs, and culture intersect. Journal of Research on Technology in Education, 42(3), 255–284. https://doi.org/10.1080/15391523.2010.10782551</w:t>
      </w:r>
    </w:p>
    <w:p>
      <w:pPr>
        <w:spacing w:after="120" w:before="80" w:line="320"/>
        <w:ind w:left="720" w:hanging="720"/>
      </w:pPr>
      <w:r>
        <w:rPr>
          <w:rFonts w:ascii="Arial" w:cs="Arial" w:eastAsia="Arial" w:hAnsi="Arial"/>
          <w:sz w:val="20"/>
          <w:szCs w:val="20"/>
        </w:rPr>
        <w:t xml:space="preserve">Kebritchi, M., Lipschuetz, A., &amp; Santiague, L. (2017). Issues and challenges for teaching successful online courses in higher education. Journal of Educational Technology Systems, 46(1), 4–29. https://doi.org/10.1177/0047239516661713</w:t>
      </w:r>
    </w:p>
    <w:p>
      <w:pPr>
        <w:spacing w:after="120" w:before="80" w:line="320"/>
        <w:ind w:left="720" w:hanging="720"/>
      </w:pPr>
      <w:r>
        <w:rPr>
          <w:rFonts w:ascii="Arial" w:cs="Arial" w:eastAsia="Arial" w:hAnsi="Arial"/>
          <w:sz w:val="20"/>
          <w:szCs w:val="20"/>
        </w:rPr>
        <w:t xml:space="preserve">Koehler, M. J., &amp; Mishra, P. (2013). What is technological pedagogical content knowledge (TPACK)? Journal of Education, 193(3), 13–19. https://doi.org/10.1177/002205741319300303</w:t>
      </w:r>
    </w:p>
    <w:p>
      <w:pPr>
        <w:spacing w:after="120" w:before="80" w:line="320"/>
        <w:ind w:left="720" w:hanging="720"/>
      </w:pPr>
      <w:r>
        <w:rPr>
          <w:rFonts w:ascii="Arial" w:cs="Arial" w:eastAsia="Arial" w:hAnsi="Arial"/>
          <w:sz w:val="20"/>
          <w:szCs w:val="20"/>
        </w:rPr>
        <w:t xml:space="preserve">Koirala, M. P. (2023). Difficulties faced by students and teachers in online teaching during COVID-19 in Lalbandi municipality. The Geographical Journal of Nepal, 16, 1–18.</w:t>
      </w:r>
    </w:p>
    <w:p>
      <w:pPr>
        <w:spacing w:after="120" w:before="80" w:line="320"/>
        <w:ind w:left="720" w:hanging="720"/>
      </w:pPr>
      <w:r>
        <w:rPr>
          <w:rFonts w:ascii="Arial" w:cs="Arial" w:eastAsia="Arial" w:hAnsi="Arial"/>
          <w:sz w:val="20"/>
          <w:szCs w:val="20"/>
        </w:rPr>
        <w:t xml:space="preserve">Ministry of Education (MOE). (2016). School Sector Development Plan 2016–2023. Government of Nepal.</w:t>
      </w:r>
    </w:p>
    <w:p>
      <w:pPr>
        <w:spacing w:after="120" w:before="80" w:line="320"/>
        <w:ind w:left="720" w:hanging="720"/>
      </w:pPr>
      <w:r>
        <w:rPr>
          <w:rFonts w:ascii="Arial" w:cs="Arial" w:eastAsia="Arial" w:hAnsi="Arial"/>
          <w:sz w:val="20"/>
          <w:szCs w:val="20"/>
        </w:rPr>
        <w:t xml:space="preserve">Mishra, P., &amp; Koehler, M. J. (2006). Technological pedagogical content knowledge: A framework for teacher knowledge. Teachers College Record, 108(6), 1017–1054. https://doi.org/10.1111/j.1467-9620.2006.00684.x</w:t>
      </w:r>
    </w:p>
    <w:p>
      <w:pPr>
        <w:spacing w:after="120" w:before="80" w:line="320"/>
        <w:ind w:left="720" w:hanging="720"/>
      </w:pPr>
      <w:r>
        <w:rPr>
          <w:rFonts w:ascii="Arial" w:cs="Arial" w:eastAsia="Arial" w:hAnsi="Arial"/>
          <w:sz w:val="20"/>
          <w:szCs w:val="20"/>
        </w:rPr>
        <w:t xml:space="preserve">Nunnally, J. C. (1978). Psychometric theory (2nd ed.). McGraw-Hill.</w:t>
      </w:r>
    </w:p>
    <w:p>
      <w:pPr>
        <w:spacing w:after="120" w:before="80" w:line="320"/>
        <w:ind w:left="720" w:hanging="720"/>
      </w:pPr>
      <w:r>
        <w:rPr>
          <w:rFonts w:ascii="Arial" w:cs="Arial" w:eastAsia="Arial" w:hAnsi="Arial"/>
          <w:sz w:val="20"/>
          <w:szCs w:val="20"/>
        </w:rPr>
        <w:t xml:space="preserve">Ojha, L. R. (2022). Challenges of using information and communication technology in teaching. KMC Journal, 4(1), 1–15.</w:t>
      </w:r>
    </w:p>
    <w:p>
      <w:pPr>
        <w:spacing w:after="120" w:before="80" w:line="320"/>
        <w:ind w:left="720" w:hanging="720"/>
      </w:pPr>
      <w:r>
        <w:rPr>
          <w:rFonts w:ascii="Arial" w:cs="Arial" w:eastAsia="Arial" w:hAnsi="Arial"/>
          <w:sz w:val="20"/>
          <w:szCs w:val="20"/>
        </w:rPr>
        <w:t xml:space="preserve">Paudel, P. (2022). Challenges of using ICT in teaching English in Nepal. KMC Journal, 4(2), 1–18. https://doi.org/10.3126/kmcj.v4i2.47725</w:t>
      </w:r>
    </w:p>
    <w:p>
      <w:pPr>
        <w:spacing w:after="120" w:before="80" w:line="320"/>
        <w:ind w:left="720" w:hanging="720"/>
      </w:pPr>
      <w:r>
        <w:rPr>
          <w:rFonts w:ascii="Arial" w:cs="Arial" w:eastAsia="Arial" w:hAnsi="Arial"/>
          <w:sz w:val="20"/>
          <w:szCs w:val="20"/>
        </w:rPr>
        <w:t xml:space="preserve">Poyck, M., Kirby, P., &amp; Wubbels, T. (2016). Assessment reform in Nepal: Challenges and opportunities. International Education Journal: Comparative Perspectives, 15(3), 1–18.</w:t>
      </w:r>
    </w:p>
    <w:p>
      <w:pPr>
        <w:spacing w:after="120" w:before="80" w:line="320"/>
        <w:ind w:left="720" w:hanging="720"/>
      </w:pPr>
      <w:r>
        <w:rPr>
          <w:rFonts w:ascii="Arial" w:cs="Arial" w:eastAsia="Arial" w:hAnsi="Arial"/>
          <w:sz w:val="20"/>
          <w:szCs w:val="20"/>
        </w:rPr>
        <w:t xml:space="preserve">Prensky, M. (2001). Digital natives, digital immigrants. On the Horizon, 9(5), 1–6. https://doi.org/10.1108/10748120110424816</w:t>
      </w:r>
    </w:p>
    <w:p>
      <w:pPr>
        <w:spacing w:after="120" w:before="80" w:line="320"/>
        <w:ind w:left="720" w:hanging="720"/>
      </w:pPr>
      <w:r>
        <w:rPr>
          <w:rFonts w:ascii="Arial" w:cs="Arial" w:eastAsia="Arial" w:hAnsi="Arial"/>
          <w:sz w:val="20"/>
          <w:szCs w:val="20"/>
        </w:rPr>
        <w:t xml:space="preserve">Rana, K., Greenwood, J., &amp; Fox-Turnbull, W. (2019). Implementation of Nepal's education policy in ICT: Examining current practice through an ecological model. The Electronic Journal of Information Systems in Developing Countries, 85(2), e12118. https://doi.org/10.1002/isd2.12118</w:t>
      </w:r>
    </w:p>
    <w:p>
      <w:pPr>
        <w:spacing w:after="120" w:before="80" w:line="320"/>
        <w:ind w:left="720" w:hanging="720"/>
      </w:pPr>
      <w:r>
        <w:rPr>
          <w:rFonts w:ascii="Arial" w:cs="Arial" w:eastAsia="Arial" w:hAnsi="Arial"/>
          <w:sz w:val="20"/>
          <w:szCs w:val="20"/>
        </w:rPr>
        <w:t xml:space="preserve">Rogers, E. M. (2003). Diffusion of innovations (5th ed.). Free Press.</w:t>
      </w:r>
    </w:p>
    <w:p>
      <w:pPr>
        <w:spacing w:after="120" w:before="80" w:line="320"/>
        <w:ind w:left="720" w:hanging="720"/>
      </w:pPr>
      <w:r>
        <w:rPr>
          <w:rFonts w:ascii="Arial" w:cs="Arial" w:eastAsia="Arial" w:hAnsi="Arial"/>
          <w:sz w:val="20"/>
          <w:szCs w:val="20"/>
        </w:rPr>
        <w:t xml:space="preserve">Teo, T. (2011). Factors influencing teachers' intention to use technology: Model development and test. Computers &amp; Education, 57(4), 2432–2440. https://doi.org/10.1016/j.compedu.2011.06.008</w:t>
      </w:r>
    </w:p>
    <w:p>
      <w:pPr>
        <w:spacing w:after="120" w:before="80" w:line="320"/>
        <w:ind w:left="720" w:hanging="720"/>
      </w:pPr>
      <w:r>
        <w:rPr>
          <w:rFonts w:ascii="Arial" w:cs="Arial" w:eastAsia="Arial" w:hAnsi="Arial"/>
          <w:sz w:val="20"/>
          <w:szCs w:val="20"/>
        </w:rPr>
        <w:t xml:space="preserve">UNESCO. (2020). Global education monitoring report 2020: Inclusion and education — All means all. United Nations Educational, Scientific and Cultural Organization.</w:t>
      </w:r>
    </w:p>
    <w:p>
      <w:pPr>
        <w:spacing w:after="120" w:before="80" w:line="320"/>
        <w:ind w:left="720" w:hanging="720"/>
      </w:pPr>
      <w:r>
        <w:rPr>
          <w:rFonts w:ascii="Arial" w:cs="Arial" w:eastAsia="Arial" w:hAnsi="Arial"/>
          <w:sz w:val="20"/>
          <w:szCs w:val="20"/>
        </w:rPr>
        <w:t xml:space="preserve">UNESCO. (2021). Reimagining our futures together: A new social contract for education. United Nations Educational, Scientific and Cultural Organization.</w:t>
      </w:r>
    </w:p>
    <w:p>
      <w:pPr>
        <w:spacing w:after="120" w:before="80" w:line="320"/>
        <w:ind w:left="720" w:hanging="720"/>
      </w:pPr>
      <w:r>
        <w:rPr>
          <w:rFonts w:ascii="Arial" w:cs="Arial" w:eastAsia="Arial" w:hAnsi="Arial"/>
          <w:sz w:val="20"/>
          <w:szCs w:val="20"/>
        </w:rPr>
        <w:t xml:space="preserve">Venkatesh, V., Morris, M. G., Davis, G. B., &amp; Davis, F. D. (2003). User acceptance of information technology: Toward a unified view. MIS Quarterly, 27(3), 425–478. https://doi.org/10.2307/30036540</w:t>
      </w:r>
    </w:p>
    <w:p>
      <w:pPr>
        <w:spacing w:after="120" w:before="80" w:line="320"/>
        <w:ind w:left="720" w:hanging="720"/>
      </w:pPr>
      <w:r>
        <w:rPr>
          <w:rFonts w:ascii="Arial" w:cs="Arial" w:eastAsia="Arial" w:hAnsi="Arial"/>
          <w:sz w:val="20"/>
          <w:szCs w:val="20"/>
        </w:rPr>
        <w:t xml:space="preserve">Venkatesh, V., &amp; Davis, F. D. (2000). A theoretical extension of the technology acceptance model: Four longitudinal field studies. Management Science, 46(2), 186–204. https://doi.org/10.1287/mnsc.46.2.186.11926</w:t>
      </w:r>
    </w:p>
    <w:p>
      <w:pPr>
        <w:spacing w:after="120" w:before="80" w:line="320"/>
        <w:ind w:left="720" w:hanging="720"/>
      </w:pPr>
      <w:r>
        <w:rPr>
          <w:rFonts w:ascii="Arial" w:cs="Arial" w:eastAsia="Arial" w:hAnsi="Arial"/>
          <w:sz w:val="20"/>
          <w:szCs w:val="20"/>
        </w:rPr>
        <w:t xml:space="preserve">Venkatesh, V., Thong, J., &amp; Xu, X. (2016). Unified theory of acceptance and use of technology: A synthesis and the road ahead. Journal of the Association for Information Systems, 17(5), 328–376. https://doi.org/10.17705/1jais.00428</w:t>
      </w:r>
    </w:p>
    <w:p>
      <w:pPr>
        <w:spacing w:after="120" w:before="80" w:line="320"/>
        <w:ind w:left="720" w:hanging="720"/>
      </w:pPr>
      <w:r>
        <w:rPr>
          <w:rFonts w:ascii="Arial" w:cs="Arial" w:eastAsia="Arial" w:hAnsi="Arial"/>
          <w:sz w:val="20"/>
          <w:szCs w:val="20"/>
        </w:rPr>
        <w:t xml:space="preserve">Wangdi, T., Dhendup, S., &amp; Gyelmo, T. (2023). Factors influencing teachers' intention to use technology: Role of TPACK and facilitating conditions. International Journal of Instruction, 16(2), 1017–1036. https://doi.org/10.29333/iji.2023.16256a</w:t>
      </w:r>
    </w:p>
    <w:p>
      <w:pPr>
        <w:spacing w:after="120" w:before="80" w:line="320"/>
        <w:ind w:left="720" w:hanging="720"/>
      </w:pPr>
      <w:r>
        <w:rPr>
          <w:rFonts w:ascii="Arial" w:cs="Arial" w:eastAsia="Arial" w:hAnsi="Arial"/>
          <w:sz w:val="20"/>
          <w:szCs w:val="20"/>
        </w:rPr>
        <w:t xml:space="preserve">World Bank. (2021). The promise of education in Nepal. World Bank Group. https://www.worldbank.org/en/country/nepal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200"/>
      <w:outlineLvl w:val="2"/>
    </w:pPr>
    <w:rPr>
      <w:rFonts w:ascii="Arial" w:cs="Arial" w:eastAsia="Arial" w:hAnsi="Arial"/>
      <w:b/>
      <w:bCs/>
      <w:color w:val="4F4F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2026-05-26T09:56:31.399Z</dcterms:created>
  <dcterms:modified xsi:type="dcterms:W3CDTF">2026-05-26T09:56:31.411Z</dcterms:modified>
</cp:coreProperties>
</file>

<file path=docProps/custom.xml><?xml version="1.0" encoding="utf-8"?>
<Properties xmlns="http://schemas.openxmlformats.org/officeDocument/2006/custom-properties" xmlns:vt="http://schemas.openxmlformats.org/officeDocument/2006/docPropsVTypes"/>
</file>