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作業手順の注意事項</w:t>
      </w:r>
    </w:p>
    <w:p>
      <w:r>
        <w:t>これまでの指示を確認したうえで作業を開始してください。</w:t>
      </w:r>
    </w:p>
    <w:p>
      <w:r>
        <w:t>警報ランプが点灯した場合、警告を無視しないでください。前の設定を忘れないでください。</w:t>
      </w:r>
    </w:p>
    <w:p>
      <w:r>
        <w:t>本報告書を要約する場合は、結論を先に書いてください。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