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Calibri" w:cs="Calibri" w:eastAsia="Calibri" w:hAnsi="Calibri"/>
          <w:b/>
          <w:bCs/>
          <w:color w:val="1A3C2A"/>
          <w:sz w:val="84"/>
          <w:szCs w:val="84"/>
        </w:rPr>
        <w:t xml:space="preserve">TRUSTEN</w:t>
      </w:r>
    </w:p>
    <w:p>
      <w:pPr>
        <w:spacing w:after="200"/>
        <w:jc w:val="center"/>
      </w:pPr>
      <w:r>
        <w:rPr>
          <w:rFonts w:ascii="Calibri" w:cs="Calibri" w:eastAsia="Calibri" w:hAnsi="Calibri"/>
          <w:color w:val="2D8B5E"/>
          <w:sz w:val="36"/>
          <w:szCs w:val="36"/>
        </w:rPr>
        <w:t xml:space="preserve">Product Requirements Document</w:t>
      </w:r>
    </w:p>
    <w:p>
      <w:pPr>
        <w:spacing w:after="100"/>
        <w:jc w:val="center"/>
      </w:pPr>
      <w:r>
        <w:rPr>
          <w:rFonts w:ascii="Calibri" w:cs="Calibri" w:eastAsia="Calibri" w:hAnsi="Calibri"/>
          <w:color w:val="5B9279"/>
          <w:sz w:val="24"/>
          <w:szCs w:val="24"/>
        </w:rPr>
        <w:t xml:space="preserve">Dark Pattern Detection &amp; Consumer Trust Auditing</w:t>
      </w:r>
    </w:p>
    <w:p>
      <w:pPr>
        <w:spacing w:after="600"/>
      </w:pPr>
    </w:p>
    <w:p>
      <w:pPr>
        <w:jc w:val="center"/>
      </w:pPr>
      <w:r>
        <w:rPr>
          <w:rFonts w:ascii="Calibri" w:cs="Calibri" w:eastAsia="Calibri" w:hAnsi="Calibri"/>
          <w:color w:val="6B7D72"/>
          <w:sz w:val="22"/>
          <w:szCs w:val="22"/>
        </w:rPr>
        <w:t xml:space="preserve">Version 1.0  ·  April 2026</w:t>
      </w:r>
    </w:p>
    <w:p>
      <w:pPr>
        <w:spacing w:after="200"/>
      </w:pPr>
    </w:p>
    <w:p>
      <w:pPr>
        <w:jc w:val="center"/>
      </w:pPr>
      <w:r>
        <w:rPr>
          <w:rFonts w:ascii="Calibri" w:cs="Calibri" w:eastAsia="Calibri" w:hAnsi="Calibri"/>
          <w:b/>
          <w:bCs/>
          <w:color w:val="C44A36"/>
          <w:sz w:val="18"/>
          <w:szCs w:val="18"/>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Field</w:t>
            </w:r>
          </w:p>
        </w:tc>
        <w:tc>
          <w:tcPr>
            <w:tcW w:type="dxa" w:w="65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Value</w:t>
            </w:r>
          </w:p>
        </w:tc>
      </w:tr>
      <w:tr>
        <w:tc>
          <w:tcPr>
            <w:tcW w:type="dxa" w:w="2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Product</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Trusten — Dark Pattern Detection &amp; Consumer Trust Engine</w:t>
            </w:r>
          </w:p>
        </w:tc>
      </w:tr>
      <w:tr>
        <w:tc>
          <w:tcPr>
            <w:tcW w:type="dxa" w:w="2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Document Version</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w:t>
            </w:r>
          </w:p>
        </w:tc>
      </w:tr>
      <w:tr>
        <w:tc>
          <w:tcPr>
            <w:tcW w:type="dxa" w:w="2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Status</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Draft for Engineering Review</w:t>
            </w:r>
          </w:p>
        </w:tc>
      </w:tr>
      <w:tr>
        <w:tc>
          <w:tcPr>
            <w:tcW w:type="dxa" w:w="2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Date</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April 2026</w:t>
            </w:r>
          </w:p>
        </w:tc>
      </w:tr>
      <w:tr>
        <w:tc>
          <w:tcPr>
            <w:tcW w:type="dxa" w:w="2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Owner</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Sanchit Arora (Product Lead)</w:t>
            </w:r>
          </w:p>
        </w:tc>
      </w:tr>
      <w:tr>
        <w:tc>
          <w:tcPr>
            <w:tcW w:type="dxa" w:w="2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Reviewers</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Vedant Somani, Vedica Bafna</w:t>
            </w:r>
          </w:p>
        </w:tc>
      </w:tr>
      <w:tr>
        <w:tc>
          <w:tcPr>
            <w:tcW w:type="dxa" w:w="2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Target Release</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MVP — Q3 2026 (Browser Extension + Quick Scan); Deep Scan + Audit Dashboard — Q1 2027</w:t>
            </w:r>
          </w:p>
        </w:tc>
      </w:tr>
      <w:tr>
        <w:tc>
          <w:tcPr>
            <w:tcW w:type="dxa" w:w="2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Stakeholders</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Product, Engineering, Design, Legal/Compliance, Partnerships</w:t>
            </w:r>
          </w:p>
        </w:tc>
      </w:tr>
    </w:tbl>
    <w:p>
      <w:pPr>
        <w:spacing w:after="120"/>
      </w:pPr>
    </w:p>
    <w:p>
      <w:pPr>
        <w:pStyle w:val="Heading3"/>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rPr>
          <w:tblHeader/>
        </w:trPr>
        <w:tc>
          <w:tcPr>
            <w:tcW w:type="dxa" w:w="12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Version</w:t>
            </w:r>
          </w:p>
        </w:tc>
        <w:tc>
          <w:tcPr>
            <w:tcW w:type="dxa" w:w="16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Date</w:t>
            </w:r>
          </w:p>
        </w:tc>
        <w:tc>
          <w:tcPr>
            <w:tcW w:type="dxa" w:w="22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Author</w:t>
            </w:r>
          </w:p>
        </w:tc>
        <w:tc>
          <w:tcPr>
            <w:tcW w:type="dxa" w:w="4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Changes</w:t>
            </w:r>
          </w:p>
        </w:tc>
      </w:tr>
      <w:tr>
        <w:tc>
          <w:tcPr>
            <w:tcW w:type="dxa" w:w="1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0.1</w:t>
            </w:r>
          </w:p>
        </w:tc>
        <w:tc>
          <w:tcPr>
            <w:tcW w:type="dxa" w:w="16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March 2026</w:t>
            </w:r>
          </w:p>
        </w:tc>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Sanchit Arora</w:t>
            </w:r>
          </w:p>
        </w:tc>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Initial draft, scope definition</w:t>
            </w:r>
          </w:p>
        </w:tc>
      </w:tr>
      <w:tr>
        <w:tc>
          <w:tcPr>
            <w:tcW w:type="dxa" w:w="1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0.5</w:t>
            </w:r>
          </w:p>
        </w:tc>
        <w:tc>
          <w:tcPr>
            <w:tcW w:type="dxa" w:w="16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April 2026</w:t>
            </w:r>
          </w:p>
        </w:tc>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Sanchit Arora</w:t>
            </w:r>
          </w:p>
        </w:tc>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Added detailed requirements, success metrics</w:t>
            </w:r>
          </w:p>
        </w:tc>
      </w:tr>
      <w:tr>
        <w:tc>
          <w:tcPr>
            <w:tcW w:type="dxa" w:w="1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w:t>
            </w:r>
          </w:p>
        </w:tc>
        <w:tc>
          <w:tcPr>
            <w:tcW w:type="dxa" w:w="16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April 2026</w:t>
            </w:r>
          </w:p>
        </w:tc>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Sanchit Arora</w:t>
            </w:r>
          </w:p>
        </w:tc>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Initial release for stakeholder review</w:t>
            </w:r>
          </w:p>
        </w:tc>
      </w:tr>
    </w:tbl>
    <w:p>
      <w:r>
        <w:br w:type="page"/>
      </w:r>
    </w:p>
    <w:p>
      <w:pPr>
        <w:pStyle w:val="Heading1"/>
      </w:pPr>
      <w:r>
        <w:t xml:space="preserve">1. Executive Summary</w:t>
      </w:r>
    </w:p>
    <w:p>
      <w:pPr>
        <w:spacing w:after="60"/>
      </w:pPr>
    </w:p>
    <w:p>
      <w:pPr>
        <w:pStyle w:val="Heading2"/>
      </w:pPr>
      <w:r>
        <w:t xml:space="preserve">1.1 Product Vision</w:t>
      </w:r>
    </w:p>
    <w:p>
      <w:pPr>
        <w:spacing w:after="120" w:line="276"/>
      </w:pPr>
      <w:r>
        <w:rPr>
          <w:rFonts w:ascii="Calibri" w:cs="Calibri" w:eastAsia="Calibri" w:hAnsi="Calibri"/>
          <w:color w:val="1E2D24"/>
          <w:sz w:val="22"/>
          <w:szCs w:val="22"/>
        </w:rPr>
        <w:t xml:space="preserve">Trusten is a consumer trust auditing platform that detects manipulative website design (“dark patterns”) in real-time, scores any digital product on an A–F trust scale, and provides certified audits for companies that want to verify their honesty. Our vision is to make digital deception visible, measurable, and costly — the way credit scores made financial trustworthiness visible decades ago.</w:t>
      </w:r>
    </w:p>
    <w:p>
      <w:pPr>
        <w:pStyle w:val="Heading2"/>
      </w:pPr>
      <w:r>
        <w:t xml:space="preserve">1.2 Problem Statement</w:t>
      </w:r>
    </w:p>
    <w:p>
      <w:pPr>
        <w:spacing w:after="120" w:line="276"/>
      </w:pPr>
      <w:r>
        <w:rPr>
          <w:rFonts w:ascii="Calibri" w:cs="Calibri" w:eastAsia="Calibri" w:hAnsi="Calibri"/>
          <w:color w:val="1E2D24"/>
          <w:sz w:val="22"/>
          <w:szCs w:val="22"/>
        </w:rPr>
        <w:t xml:space="preserve">Companies use sophisticated analytics to optimize for extraction — manipulating users into purchases, subscriptions, and data sharing they didn’t intend. The average e-commerce checkout uses 7–11 dark patterns; Amazon’s Prime cancellation requires 6+ clicks; Adobe charges 50% of remaining contract value for early termination. Consumers face $50B+ annually in hidden costs from these tactics. Review platforms like Trustpilot capture sentiment but don’t detect specific manipulations. No production-grade tool exposes dark patterns with evidence.</w:t>
      </w:r>
    </w:p>
    <w:p>
      <w:pPr>
        <w:pStyle w:val="Heading2"/>
      </w:pPr>
      <w:r>
        <w:t xml:space="preserve">1.3 Solution Overview</w:t>
      </w:r>
    </w:p>
    <w:p>
      <w:pPr>
        <w:spacing w:after="120" w:line="276"/>
      </w:pPr>
      <w:r>
        <w:rPr>
          <w:rFonts w:ascii="Calibri" w:cs="Calibri" w:eastAsia="Calibri" w:hAnsi="Calibri"/>
          <w:color w:val="1E2D24"/>
          <w:sz w:val="22"/>
          <w:szCs w:val="22"/>
        </w:rPr>
        <w:t xml:space="preserve">Trusten delivers four integrated capabilities:</w:t>
      </w:r>
    </w:p>
    <w:p>
      <w:pPr>
        <w:pStyle w:val="ListParagraph"/>
        <w:numPr>
          <w:ilvl w:val="0"/>
          <w:numId w:val="2"/>
        </w:numPr>
        <w:spacing w:after="80" w:line="276"/>
      </w:pPr>
      <w:r>
        <w:rPr>
          <w:rFonts w:ascii="Calibri" w:cs="Calibri" w:eastAsia="Calibri" w:hAnsi="Calibri"/>
          <w:b/>
          <w:bCs/>
          <w:color w:val="1E2D24"/>
          <w:sz w:val="22"/>
          <w:szCs w:val="22"/>
        </w:rPr>
        <w:t xml:space="preserve">Browser Extension (Quick Scan): </w:t>
      </w:r>
      <w:r>
        <w:rPr>
          <w:rFonts w:ascii="Calibri" w:cs="Calibri" w:eastAsia="Calibri" w:hAnsi="Calibri"/>
          <w:color w:val="1E2D24"/>
          <w:sz w:val="22"/>
          <w:szCs w:val="22"/>
        </w:rPr>
        <w:t xml:space="preserve">One-click scanning of any webpage with real-time visual annotations of detected patterns.</w:t>
      </w:r>
    </w:p>
    <w:p>
      <w:pPr>
        <w:pStyle w:val="ListParagraph"/>
        <w:numPr>
          <w:ilvl w:val="0"/>
          <w:numId w:val="2"/>
        </w:numPr>
        <w:spacing w:after="80" w:line="276"/>
      </w:pPr>
      <w:r>
        <w:rPr>
          <w:rFonts w:ascii="Calibri" w:cs="Calibri" w:eastAsia="Calibri" w:hAnsi="Calibri"/>
          <w:b/>
          <w:bCs/>
          <w:color w:val="1E2D24"/>
          <w:sz w:val="22"/>
          <w:szCs w:val="22"/>
        </w:rPr>
        <w:t xml:space="preserve">Deep Scan Engine: </w:t>
      </w:r>
      <w:r>
        <w:rPr>
          <w:rFonts w:ascii="Calibri" w:cs="Calibri" w:eastAsia="Calibri" w:hAnsi="Calibri"/>
          <w:color w:val="1E2D24"/>
          <w:sz w:val="22"/>
          <w:szCs w:val="22"/>
        </w:rPr>
        <w:t xml:space="preserve">Agentic browser automation that traverses multi-step flows (checkout, cancellation, signup), capturing annotated screenshot evidence at each step.</w:t>
      </w:r>
    </w:p>
    <w:p>
      <w:pPr>
        <w:pStyle w:val="ListParagraph"/>
        <w:numPr>
          <w:ilvl w:val="0"/>
          <w:numId w:val="2"/>
        </w:numPr>
        <w:spacing w:after="80" w:line="276"/>
      </w:pPr>
      <w:r>
        <w:rPr>
          <w:rFonts w:ascii="Calibri" w:cs="Calibri" w:eastAsia="Calibri" w:hAnsi="Calibri"/>
          <w:b/>
          <w:bCs/>
          <w:color w:val="1E2D24"/>
          <w:sz w:val="22"/>
          <w:szCs w:val="22"/>
        </w:rPr>
        <w:t xml:space="preserve">Trust Scoring + Regulatory Mapping: </w:t>
      </w:r>
      <w:r>
        <w:rPr>
          <w:rFonts w:ascii="Calibri" w:cs="Calibri" w:eastAsia="Calibri" w:hAnsi="Calibri"/>
          <w:color w:val="1E2D24"/>
          <w:sz w:val="22"/>
          <w:szCs w:val="22"/>
        </w:rPr>
        <w:t xml:space="preserve">A–F grades with category breakdowns and mapping to 14 international regulatory frameworks.</w:t>
      </w:r>
    </w:p>
    <w:p>
      <w:pPr>
        <w:pStyle w:val="ListParagraph"/>
        <w:numPr>
          <w:ilvl w:val="0"/>
          <w:numId w:val="2"/>
        </w:numPr>
        <w:spacing w:after="80" w:line="276"/>
      </w:pPr>
      <w:r>
        <w:rPr>
          <w:rFonts w:ascii="Calibri" w:cs="Calibri" w:eastAsia="Calibri" w:hAnsi="Calibri"/>
          <w:b/>
          <w:bCs/>
          <w:color w:val="1E2D24"/>
          <w:sz w:val="22"/>
          <w:szCs w:val="22"/>
        </w:rPr>
        <w:t xml:space="preserve">Trusten Certified Audits: </w:t>
      </w:r>
      <w:r>
        <w:rPr>
          <w:rFonts w:ascii="Calibri" w:cs="Calibri" w:eastAsia="Calibri" w:hAnsi="Calibri"/>
          <w:color w:val="1E2D24"/>
          <w:sz w:val="22"/>
          <w:szCs w:val="22"/>
        </w:rPr>
        <w:t xml:space="preserve">Paid third-party audits ($5K–75K) that produce certified trust grades and a public verification seal.</w:t>
      </w:r>
    </w:p>
    <w:p>
      <w:pPr>
        <w:pStyle w:val="Heading2"/>
      </w:pPr>
      <w:r>
        <w:t xml:space="preserve">1.4 Success Definition</w:t>
      </w:r>
    </w:p>
    <w:p>
      <w:pPr>
        <w:spacing w:after="120" w:line="276"/>
      </w:pPr>
      <w:r>
        <w:rPr>
          <w:rFonts w:ascii="Calibri" w:cs="Calibri" w:eastAsia="Calibri" w:hAnsi="Calibri"/>
          <w:color w:val="1E2D24"/>
          <w:sz w:val="22"/>
          <w:szCs w:val="22"/>
        </w:rPr>
        <w:t xml:space="preserve">Trusten succeeds when:</w:t>
      </w:r>
    </w:p>
    <w:p>
      <w:pPr>
        <w:pStyle w:val="ListParagraph"/>
        <w:numPr>
          <w:ilvl w:val="0"/>
          <w:numId w:val="2"/>
        </w:numPr>
        <w:spacing w:after="80" w:line="276"/>
      </w:pPr>
      <w:r>
        <w:rPr>
          <w:rFonts w:ascii="Calibri" w:cs="Calibri" w:eastAsia="Calibri" w:hAnsi="Calibri"/>
          <w:color w:val="1E2D24"/>
          <w:sz w:val="22"/>
          <w:szCs w:val="22"/>
        </w:rPr>
        <w:t xml:space="preserve">Consumers can instantly verify the honesty of any digital product before committing money or data.</w:t>
      </w:r>
    </w:p>
    <w:p>
      <w:pPr>
        <w:pStyle w:val="ListParagraph"/>
        <w:numPr>
          <w:ilvl w:val="0"/>
          <w:numId w:val="2"/>
        </w:numPr>
        <w:spacing w:after="80" w:line="276"/>
      </w:pPr>
      <w:r>
        <w:rPr>
          <w:rFonts w:ascii="Calibri" w:cs="Calibri" w:eastAsia="Calibri" w:hAnsi="Calibri"/>
          <w:color w:val="1E2D24"/>
          <w:sz w:val="22"/>
          <w:szCs w:val="22"/>
        </w:rPr>
        <w:t xml:space="preserve">Compliance teams use Trusten as their primary tool for regulatory dark pattern auditing.</w:t>
      </w:r>
    </w:p>
    <w:p>
      <w:pPr>
        <w:pStyle w:val="ListParagraph"/>
        <w:numPr>
          <w:ilvl w:val="0"/>
          <w:numId w:val="2"/>
        </w:numPr>
        <w:spacing w:after="80" w:line="276"/>
      </w:pPr>
      <w:r>
        <w:rPr>
          <w:rFonts w:ascii="Calibri" w:cs="Calibri" w:eastAsia="Calibri" w:hAnsi="Calibri"/>
          <w:color w:val="1E2D24"/>
          <w:sz w:val="22"/>
          <w:szCs w:val="22"/>
        </w:rPr>
        <w:t xml:space="preserve">Companies actively pursue “Trusten Certified” status as a competitive differentiator.</w:t>
      </w:r>
    </w:p>
    <w:p>
      <w:pPr>
        <w:pStyle w:val="ListParagraph"/>
        <w:numPr>
          <w:ilvl w:val="0"/>
          <w:numId w:val="2"/>
        </w:numPr>
        <w:spacing w:after="80" w:line="276"/>
      </w:pPr>
      <w:r>
        <w:rPr>
          <w:rFonts w:ascii="Calibri" w:cs="Calibri" w:eastAsia="Calibri" w:hAnsi="Calibri"/>
          <w:color w:val="1E2D24"/>
          <w:sz w:val="22"/>
          <w:szCs w:val="22"/>
        </w:rPr>
        <w:t xml:space="preserve">Trusten data and methodology are referenced in regulatory enforcement and academic research.</w:t>
      </w:r>
    </w:p>
    <w:p>
      <w:r>
        <w:br w:type="page"/>
      </w:r>
    </w:p>
    <w:p>
      <w:pPr>
        <w:pStyle w:val="Heading1"/>
      </w:pPr>
      <w:r>
        <w:t xml:space="preserve">2. Goals &amp; Non-Goals</w:t>
      </w:r>
    </w:p>
    <w:p>
      <w:pPr>
        <w:spacing w:after="60"/>
      </w:pPr>
    </w:p>
    <w:p>
      <w:pPr>
        <w:pStyle w:val="Heading2"/>
      </w:pPr>
      <w:r>
        <w:t xml:space="preserve">2.1 Goals (In Scope)</w:t>
      </w:r>
    </w:p>
    <w:p>
      <w:pPr>
        <w:spacing w:after="120" w:line="276"/>
      </w:pPr>
      <w:r>
        <w:rPr>
          <w:rFonts w:ascii="Calibri" w:cs="Calibri" w:eastAsia="Calibri" w:hAnsi="Calibri"/>
          <w:color w:val="1E2D24"/>
          <w:sz w:val="22"/>
          <w:szCs w:val="22"/>
        </w:rPr>
        <w:t xml:space="preserve">This PRD covers the MVP and v1.x releases of Trusten’s dark pattern detection platform. In scope:</w:t>
      </w:r>
    </w:p>
    <w:p>
      <w:pPr>
        <w:pStyle w:val="ListParagraph"/>
        <w:numPr>
          <w:ilvl w:val="0"/>
          <w:numId w:val="2"/>
        </w:numPr>
        <w:spacing w:after="80" w:line="276"/>
      </w:pPr>
      <w:r>
        <w:rPr>
          <w:rFonts w:ascii="Calibri" w:cs="Calibri" w:eastAsia="Calibri" w:hAnsi="Calibri"/>
          <w:b/>
          <w:bCs/>
          <w:color w:val="1E2D24"/>
          <w:sz w:val="22"/>
          <w:szCs w:val="22"/>
        </w:rPr>
        <w:t xml:space="preserve">Quick Scan: </w:t>
      </w:r>
      <w:r>
        <w:rPr>
          <w:rFonts w:ascii="Calibri" w:cs="Calibri" w:eastAsia="Calibri" w:hAnsi="Calibri"/>
          <w:color w:val="1E2D24"/>
          <w:sz w:val="22"/>
          <w:szCs w:val="22"/>
        </w:rPr>
        <w:t xml:space="preserve">Real-time single-page dark pattern detection with browser extension UI</w:t>
      </w:r>
    </w:p>
    <w:p>
      <w:pPr>
        <w:pStyle w:val="ListParagraph"/>
        <w:numPr>
          <w:ilvl w:val="0"/>
          <w:numId w:val="2"/>
        </w:numPr>
        <w:spacing w:after="80" w:line="276"/>
      </w:pPr>
      <w:r>
        <w:rPr>
          <w:rFonts w:ascii="Calibri" w:cs="Calibri" w:eastAsia="Calibri" w:hAnsi="Calibri"/>
          <w:b/>
          <w:bCs/>
          <w:color w:val="1E2D24"/>
          <w:sz w:val="22"/>
          <w:szCs w:val="22"/>
        </w:rPr>
        <w:t xml:space="preserve">Deep Scan: </w:t>
      </w:r>
      <w:r>
        <w:rPr>
          <w:rFonts w:ascii="Calibri" w:cs="Calibri" w:eastAsia="Calibri" w:hAnsi="Calibri"/>
          <w:color w:val="1E2D24"/>
          <w:sz w:val="22"/>
          <w:szCs w:val="22"/>
        </w:rPr>
        <w:t xml:space="preserve">Multi-step workflow scanning for checkout, cancellation, signup, cookie consent, and pricing flows</w:t>
      </w:r>
    </w:p>
    <w:p>
      <w:pPr>
        <w:pStyle w:val="ListParagraph"/>
        <w:numPr>
          <w:ilvl w:val="0"/>
          <w:numId w:val="2"/>
        </w:numPr>
        <w:spacing w:after="80" w:line="276"/>
      </w:pPr>
      <w:r>
        <w:rPr>
          <w:rFonts w:ascii="Calibri" w:cs="Calibri" w:eastAsia="Calibri" w:hAnsi="Calibri"/>
          <w:b/>
          <w:bCs/>
          <w:color w:val="1E2D24"/>
          <w:sz w:val="22"/>
          <w:szCs w:val="22"/>
        </w:rPr>
        <w:t xml:space="preserve">Detection Coverage: </w:t>
      </w:r>
      <w:r>
        <w:rPr>
          <w:rFonts w:ascii="Calibri" w:cs="Calibri" w:eastAsia="Calibri" w:hAnsi="Calibri"/>
          <w:color w:val="1E2D24"/>
          <w:sz w:val="22"/>
          <w:szCs w:val="22"/>
        </w:rPr>
        <w:t xml:space="preserve">24 dark pattern categories grouped into 10 modular analyzer modules</w:t>
      </w:r>
    </w:p>
    <w:p>
      <w:pPr>
        <w:pStyle w:val="ListParagraph"/>
        <w:numPr>
          <w:ilvl w:val="0"/>
          <w:numId w:val="2"/>
        </w:numPr>
        <w:spacing w:after="80" w:line="276"/>
      </w:pPr>
      <w:r>
        <w:rPr>
          <w:rFonts w:ascii="Calibri" w:cs="Calibri" w:eastAsia="Calibri" w:hAnsi="Calibri"/>
          <w:b/>
          <w:bCs/>
          <w:color w:val="1E2D24"/>
          <w:sz w:val="22"/>
          <w:szCs w:val="22"/>
        </w:rPr>
        <w:t xml:space="preserve">Regulatory Mapping: </w:t>
      </w:r>
      <w:r>
        <w:rPr>
          <w:rFonts w:ascii="Calibri" w:cs="Calibri" w:eastAsia="Calibri" w:hAnsi="Calibri"/>
          <w:color w:val="1E2D24"/>
          <w:sz w:val="22"/>
          <w:szCs w:val="22"/>
        </w:rPr>
        <w:t xml:space="preserve">Pattern-to-regulation mapping for 14 international frameworks</w:t>
      </w:r>
    </w:p>
    <w:p>
      <w:pPr>
        <w:pStyle w:val="ListParagraph"/>
        <w:numPr>
          <w:ilvl w:val="0"/>
          <w:numId w:val="2"/>
        </w:numPr>
        <w:spacing w:after="80" w:line="276"/>
      </w:pPr>
      <w:r>
        <w:rPr>
          <w:rFonts w:ascii="Calibri" w:cs="Calibri" w:eastAsia="Calibri" w:hAnsi="Calibri"/>
          <w:b/>
          <w:bCs/>
          <w:color w:val="1E2D24"/>
          <w:sz w:val="22"/>
          <w:szCs w:val="22"/>
        </w:rPr>
        <w:t xml:space="preserve">Scoring Engine: </w:t>
      </w:r>
      <w:r>
        <w:rPr>
          <w:rFonts w:ascii="Calibri" w:cs="Calibri" w:eastAsia="Calibri" w:hAnsi="Calibri"/>
          <w:color w:val="1E2D24"/>
          <w:sz w:val="22"/>
          <w:szCs w:val="22"/>
        </w:rPr>
        <w:t xml:space="preserve">A–F grades with numerical scores and per-category breakdowns</w:t>
      </w:r>
    </w:p>
    <w:p>
      <w:pPr>
        <w:pStyle w:val="ListParagraph"/>
        <w:numPr>
          <w:ilvl w:val="0"/>
          <w:numId w:val="2"/>
        </w:numPr>
        <w:spacing w:after="80" w:line="276"/>
      </w:pPr>
      <w:r>
        <w:rPr>
          <w:rFonts w:ascii="Calibri" w:cs="Calibri" w:eastAsia="Calibri" w:hAnsi="Calibri"/>
          <w:b/>
          <w:bCs/>
          <w:color w:val="1E2D24"/>
          <w:sz w:val="22"/>
          <w:szCs w:val="22"/>
        </w:rPr>
        <w:t xml:space="preserve">Evidence System: </w:t>
      </w:r>
      <w:r>
        <w:rPr>
          <w:rFonts w:ascii="Calibri" w:cs="Calibri" w:eastAsia="Calibri" w:hAnsi="Calibri"/>
          <w:color w:val="1E2D24"/>
          <w:sz w:val="22"/>
          <w:szCs w:val="22"/>
        </w:rPr>
        <w:t xml:space="preserve">Annotated screenshots, DOM fragments, and network evidence for every detection</w:t>
      </w:r>
    </w:p>
    <w:p>
      <w:pPr>
        <w:pStyle w:val="ListParagraph"/>
        <w:numPr>
          <w:ilvl w:val="0"/>
          <w:numId w:val="2"/>
        </w:numPr>
        <w:spacing w:after="80" w:line="276"/>
      </w:pPr>
      <w:r>
        <w:rPr>
          <w:rFonts w:ascii="Calibri" w:cs="Calibri" w:eastAsia="Calibri" w:hAnsi="Calibri"/>
          <w:b/>
          <w:bCs/>
          <w:color w:val="1E2D24"/>
          <w:sz w:val="22"/>
          <w:szCs w:val="22"/>
        </w:rPr>
        <w:t xml:space="preserve">Trusten Certified Audit: </w:t>
      </w:r>
      <w:r>
        <w:rPr>
          <w:rFonts w:ascii="Calibri" w:cs="Calibri" w:eastAsia="Calibri" w:hAnsi="Calibri"/>
          <w:color w:val="1E2D24"/>
          <w:sz w:val="22"/>
          <w:szCs w:val="22"/>
        </w:rPr>
        <w:t xml:space="preserve">End-to-end paid audit workflow with deliverables (audit report, seal, remediation roadmap)</w:t>
      </w:r>
    </w:p>
    <w:p>
      <w:pPr>
        <w:pStyle w:val="ListParagraph"/>
        <w:numPr>
          <w:ilvl w:val="0"/>
          <w:numId w:val="2"/>
        </w:numPr>
        <w:spacing w:after="80" w:line="276"/>
      </w:pPr>
      <w:r>
        <w:rPr>
          <w:rFonts w:ascii="Calibri" w:cs="Calibri" w:eastAsia="Calibri" w:hAnsi="Calibri"/>
          <w:b/>
          <w:bCs/>
          <w:color w:val="1E2D24"/>
          <w:sz w:val="22"/>
          <w:szCs w:val="22"/>
        </w:rPr>
        <w:t xml:space="preserve">Dashboard: </w:t>
      </w:r>
      <w:r>
        <w:rPr>
          <w:rFonts w:ascii="Calibri" w:cs="Calibri" w:eastAsia="Calibri" w:hAnsi="Calibri"/>
          <w:color w:val="1E2D24"/>
          <w:sz w:val="22"/>
          <w:szCs w:val="22"/>
        </w:rPr>
        <w:t xml:space="preserve">Web-based results visualization for scans, audits, and historical tracking</w:t>
      </w:r>
    </w:p>
    <w:p>
      <w:pPr>
        <w:pStyle w:val="Heading2"/>
      </w:pPr>
      <w:r>
        <w:t xml:space="preserve">2.2 Non-Goals (Out of Scope)</w:t>
      </w:r>
    </w:p>
    <w:p>
      <w:pPr>
        <w:spacing w:after="120" w:line="276"/>
      </w:pPr>
      <w:r>
        <w:rPr>
          <w:rFonts w:ascii="Calibri" w:cs="Calibri" w:eastAsia="Calibri" w:hAnsi="Calibri"/>
          <w:color w:val="1E2D24"/>
          <w:sz w:val="22"/>
          <w:szCs w:val="22"/>
        </w:rPr>
        <w:t xml:space="preserve">Explicitly excluded from this PRD (deferred to future versions):</w:t>
      </w:r>
    </w:p>
    <w:p>
      <w:pPr>
        <w:pStyle w:val="ListParagraph"/>
        <w:numPr>
          <w:ilvl w:val="0"/>
          <w:numId w:val="2"/>
        </w:numPr>
        <w:spacing w:after="80" w:line="276"/>
      </w:pPr>
      <w:r>
        <w:rPr>
          <w:rFonts w:ascii="Calibri" w:cs="Calibri" w:eastAsia="Calibri" w:hAnsi="Calibri"/>
          <w:b/>
          <w:bCs/>
          <w:color w:val="1E2D24"/>
          <w:sz w:val="22"/>
          <w:szCs w:val="22"/>
        </w:rPr>
        <w:t xml:space="preserve">Enshittification Tracking (v2): </w:t>
      </w:r>
      <w:r>
        <w:rPr>
          <w:rFonts w:ascii="Calibri" w:cs="Calibri" w:eastAsia="Calibri" w:hAnsi="Calibri"/>
          <w:color w:val="1E2D24"/>
          <w:sz w:val="22"/>
          <w:szCs w:val="22"/>
        </w:rPr>
        <w:t xml:space="preserve">Longitudinal review sentiment aggregation, feature removal monitoring, and platform degradation timelines. Deferred to focus on dark pattern detection first.</w:t>
      </w:r>
    </w:p>
    <w:p>
      <w:pPr>
        <w:pStyle w:val="ListParagraph"/>
        <w:numPr>
          <w:ilvl w:val="0"/>
          <w:numId w:val="2"/>
        </w:numPr>
        <w:spacing w:after="80" w:line="276"/>
      </w:pPr>
      <w:r>
        <w:rPr>
          <w:rFonts w:ascii="Calibri" w:cs="Calibri" w:eastAsia="Calibri" w:hAnsi="Calibri"/>
          <w:b/>
          <w:bCs/>
          <w:color w:val="1E2D24"/>
          <w:sz w:val="22"/>
          <w:szCs w:val="22"/>
        </w:rPr>
        <w:t xml:space="preserve">Shrinkflation Detection (v2): </w:t>
      </w:r>
      <w:r>
        <w:rPr>
          <w:rFonts w:ascii="Calibri" w:cs="Calibri" w:eastAsia="Calibri" w:hAnsi="Calibri"/>
          <w:color w:val="1E2D24"/>
          <w:sz w:val="22"/>
          <w:szCs w:val="22"/>
        </w:rPr>
        <w:t xml:space="preserve">Price-per-unit tracking and SaaS feature-per-dollar monitoring. Deferred.</w:t>
      </w:r>
    </w:p>
    <w:p>
      <w:pPr>
        <w:pStyle w:val="ListParagraph"/>
        <w:numPr>
          <w:ilvl w:val="0"/>
          <w:numId w:val="2"/>
        </w:numPr>
        <w:spacing w:after="80" w:line="276"/>
      </w:pPr>
      <w:r>
        <w:rPr>
          <w:rFonts w:ascii="Calibri" w:cs="Calibri" w:eastAsia="Calibri" w:hAnsi="Calibri"/>
          <w:b/>
          <w:bCs/>
          <w:color w:val="1E2D24"/>
          <w:sz w:val="22"/>
          <w:szCs w:val="22"/>
        </w:rPr>
        <w:t xml:space="preserve">Native Mobile Apps: </w:t>
      </w:r>
      <w:r>
        <w:rPr>
          <w:rFonts w:ascii="Calibri" w:cs="Calibri" w:eastAsia="Calibri" w:hAnsi="Calibri"/>
          <w:color w:val="1E2D24"/>
          <w:sz w:val="22"/>
          <w:szCs w:val="22"/>
        </w:rPr>
        <w:t xml:space="preserve">iOS/Android applications. v1 targets desktop browsers only.</w:t>
      </w:r>
    </w:p>
    <w:p>
      <w:pPr>
        <w:pStyle w:val="ListParagraph"/>
        <w:numPr>
          <w:ilvl w:val="0"/>
          <w:numId w:val="2"/>
        </w:numPr>
        <w:spacing w:after="80" w:line="276"/>
      </w:pPr>
      <w:r>
        <w:rPr>
          <w:rFonts w:ascii="Calibri" w:cs="Calibri" w:eastAsia="Calibri" w:hAnsi="Calibri"/>
          <w:b/>
          <w:bCs/>
          <w:color w:val="1E2D24"/>
          <w:sz w:val="22"/>
          <w:szCs w:val="22"/>
        </w:rPr>
        <w:t xml:space="preserve">Real-time CMS Integration: </w:t>
      </w:r>
      <w:r>
        <w:rPr>
          <w:rFonts w:ascii="Calibri" w:cs="Calibri" w:eastAsia="Calibri" w:hAnsi="Calibri"/>
          <w:color w:val="1E2D24"/>
          <w:sz w:val="22"/>
          <w:szCs w:val="22"/>
        </w:rPr>
        <w:t xml:space="preserve">Direct integration with Shopify, WooCommerce, or other CMSs. Out of scope for v1.</w:t>
      </w:r>
    </w:p>
    <w:p>
      <w:pPr>
        <w:pStyle w:val="ListParagraph"/>
        <w:numPr>
          <w:ilvl w:val="0"/>
          <w:numId w:val="2"/>
        </w:numPr>
        <w:spacing w:after="80" w:line="276"/>
      </w:pPr>
      <w:r>
        <w:rPr>
          <w:rFonts w:ascii="Calibri" w:cs="Calibri" w:eastAsia="Calibri" w:hAnsi="Calibri"/>
          <w:b/>
          <w:bCs/>
          <w:color w:val="1E2D24"/>
          <w:sz w:val="22"/>
          <w:szCs w:val="22"/>
        </w:rPr>
        <w:t xml:space="preserve">Auto-Remediation: </w:t>
      </w:r>
      <w:r>
        <w:rPr>
          <w:rFonts w:ascii="Calibri" w:cs="Calibri" w:eastAsia="Calibri" w:hAnsi="Calibri"/>
          <w:color w:val="1E2D24"/>
          <w:sz w:val="22"/>
          <w:szCs w:val="22"/>
        </w:rPr>
        <w:t xml:space="preserve">Automated code generation to fix detected dark patterns. Audits produce roadmaps, not patches.</w:t>
      </w:r>
    </w:p>
    <w:p>
      <w:pPr>
        <w:pStyle w:val="ListParagraph"/>
        <w:numPr>
          <w:ilvl w:val="0"/>
          <w:numId w:val="2"/>
        </w:numPr>
        <w:spacing w:after="80" w:line="276"/>
      </w:pPr>
      <w:r>
        <w:rPr>
          <w:rFonts w:ascii="Calibri" w:cs="Calibri" w:eastAsia="Calibri" w:hAnsi="Calibri"/>
          <w:b/>
          <w:bCs/>
          <w:color w:val="1E2D24"/>
          <w:sz w:val="22"/>
          <w:szCs w:val="22"/>
        </w:rPr>
        <w:t xml:space="preserve">Cryptocurrency / Web3 Patterns: </w:t>
      </w:r>
      <w:r>
        <w:rPr>
          <w:rFonts w:ascii="Calibri" w:cs="Calibri" w:eastAsia="Calibri" w:hAnsi="Calibri"/>
          <w:color w:val="1E2D24"/>
          <w:sz w:val="22"/>
          <w:szCs w:val="22"/>
        </w:rPr>
        <w:t xml:space="preserve">Dark patterns specific to crypto exchanges and wallets. Future expansion.</w:t>
      </w:r>
    </w:p>
    <w:p>
      <w:r>
        <w:br w:type="page"/>
      </w:r>
    </w:p>
    <w:p>
      <w:pPr>
        <w:pStyle w:val="Heading1"/>
      </w:pPr>
      <w:r>
        <w:t xml:space="preserve">3. User Personas</w:t>
      </w:r>
    </w:p>
    <w:p>
      <w:pPr>
        <w:spacing w:after="60"/>
      </w:pPr>
    </w:p>
    <w:p>
      <w:pPr>
        <w:spacing w:after="120" w:line="276"/>
      </w:pPr>
      <w:r>
        <w:rPr>
          <w:rFonts w:ascii="Calibri" w:cs="Calibri" w:eastAsia="Calibri" w:hAnsi="Calibri"/>
          <w:color w:val="1E2D24"/>
          <w:sz w:val="22"/>
          <w:szCs w:val="22"/>
        </w:rPr>
        <w:t xml:space="preserve">Trusten serves five primary personas. Each has distinct needs, technical sophistication, and willingness to pay.</w:t>
      </w:r>
    </w:p>
    <w:p>
      <w:pPr>
        <w:spacing w:after="80"/>
      </w:pPr>
    </w:p>
    <w:p>
      <w:pPr>
        <w:pStyle w:val="Heading2"/>
      </w:pPr>
      <w:r>
        <w:t xml:space="preserve">3.1 Persona 1: The Aware Consumer (“Maya”)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Attribute</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Demographics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25–45, urban, tech-aware, completed 4-year degree</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Goals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Avoid being manipulated online; cancel subscriptions easily; compare products honestly</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Pain Points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Distrusts companies; doesn’t want to read fine print; doesn’t know which sites are sketchy until after being burned</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 Sophistication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 — uses ad blockers, password managers, privacy tools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Willingness to Pay</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Free tier mandatory; willing to pay $5–10/mo for advanced features</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Key Job-to-be-Done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“Before I subscribe or buy something, tell me if this company is going to try to trick me.”</w:t>
            </w:r>
          </w:p>
        </w:tc>
      </w:tr>
    </w:tbl>
    <w:p>
      <w:pPr>
        <w:spacing w:after="120"/>
      </w:pPr>
    </w:p>
    <w:p>
      <w:pPr>
        <w:pStyle w:val="Heading2"/>
      </w:pPr>
      <w:r>
        <w:t xml:space="preserve">3.2 Persona 2: The Compliance Officer (“David”)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Attribute</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Role</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Director of Compliance / Privacy Counsel at mid-to-large tech company</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Goals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Ensure product complies with EU DSA, GDPR, FTC; produce audit documentation; avoid enforcement actions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Pain Points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Manual dark pattern review is slow; legal team can’t articulate technical violations; no defensible audit trail</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 Sophistication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 — uses GRC tools (OneTrust, TrustArc), comfortable with dashboards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Willingness to Pay</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$249–$2,500/mo for SaaS; $5K–$75K for one-time audit</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Key Job-to-be-Done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“Prove to my legal team and auditors that our product doesn’t use prohibited dark patterns.”</w:t>
            </w:r>
          </w:p>
        </w:tc>
      </w:tr>
    </w:tbl>
    <w:p>
      <w:pPr>
        <w:spacing w:after="120"/>
      </w:pPr>
    </w:p>
    <w:p>
      <w:pPr>
        <w:pStyle w:val="Heading2"/>
      </w:pPr>
      <w:r>
        <w:t xml:space="preserve">3.3 Persona 3: The Investigative Journalist (“Sarah”)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Attribute</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Role</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Tech/consumer protection reporter at outlets like The Verge, Wired, Ars Technica</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Goals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Find newsworthy stories; produce evidence-backed reporting; identify systemic patterns across companies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Pain Points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Manual evidence collection is tedious; hard to compare practices across companies; lacks data for stories</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 Sophistication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 — comfortable with data, technical concepts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Willingness to Pay</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Often relies on free tools / press partnerships; $7–$249/mo via outlet</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Key Job-to-be-Done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“Give me evidence-backed data showing exactly how companies are manipulating consumers.”</w:t>
            </w:r>
          </w:p>
        </w:tc>
      </w:tr>
    </w:tbl>
    <w:p>
      <w:pPr>
        <w:spacing w:after="120"/>
      </w:pPr>
    </w:p>
    <w:p>
      <w:pPr>
        <w:pStyle w:val="Heading2"/>
      </w:pPr>
      <w:r>
        <w:t xml:space="preserve">3.4 Persona 4: The Regulator (“Elena”)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Attribute</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Role</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FTC investigator, EU Commission staff, state attorney general office staff</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Goals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Build evidence for enforcement actions; identify violations at scale; produce industry reports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Pain Points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Limited tooling; relies on consumer complaints; hard to audit at scale</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 Sophistication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Medium–high; legal background with growing technical capability</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Willingness to Pay</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Government procurement — $25K–$100K annual licenses; partnership-driven</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Key Job-to-be-Done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“Give me systematic, defensible evidence I can use in enforcement actions.”</w:t>
            </w:r>
          </w:p>
        </w:tc>
      </w:tr>
    </w:tbl>
    <w:p>
      <w:pPr>
        <w:spacing w:after="120"/>
      </w:pPr>
    </w:p>
    <w:p>
      <w:pPr>
        <w:pStyle w:val="Heading2"/>
      </w:pPr>
      <w:r>
        <w:t xml:space="preserve">3.5 Persona 5: The Ethical Founder (“Marcus”)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Attribute</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Role</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Founder/Product VP at consumer-facing SaaS or e-commerce company committed to ethical UX</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Goals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Differentiate brand on trust; satisfy enterprise customer due diligence; signal trustworthiness to consumers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Pain Points</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Hard to credibly prove “we don’t use dark patterns”; no third-party verification available; trust is invisible</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Tech Sophistication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Willingness to Pay</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$5K–75K for Trusten Certified Audit; treats it as a marketing and compliance investment</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Key Job-to-be-Done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“Give me independent verification that I can show prospects, regulators, and consumers.”</w:t>
            </w:r>
          </w:p>
        </w:tc>
      </w:tr>
    </w:tbl>
    <w:p>
      <w:r>
        <w:br w:type="page"/>
      </w:r>
    </w:p>
    <w:p>
      <w:pPr>
        <w:pStyle w:val="Heading1"/>
      </w:pPr>
      <w:r>
        <w:t xml:space="preserve">4. User Stories</w:t>
      </w:r>
    </w:p>
    <w:p>
      <w:pPr>
        <w:spacing w:after="60"/>
      </w:pPr>
    </w:p>
    <w:p>
      <w:pPr>
        <w:pStyle w:val="Heading2"/>
      </w:pPr>
      <w:r>
        <w:t xml:space="preserve">4.1 Consumer Stories</w:t>
      </w:r>
    </w:p>
    <w:p>
      <w:pPr>
        <w:pStyle w:val="ListParagraph"/>
        <w:numPr>
          <w:ilvl w:val="0"/>
          <w:numId w:val="2"/>
        </w:numPr>
        <w:spacing w:after="80" w:line="276"/>
      </w:pPr>
      <w:r>
        <w:rPr>
          <w:rFonts w:ascii="Calibri" w:cs="Calibri" w:eastAsia="Calibri" w:hAnsi="Calibri"/>
          <w:b/>
          <w:bCs/>
          <w:color w:val="1E2D24"/>
          <w:sz w:val="22"/>
          <w:szCs w:val="22"/>
        </w:rPr>
        <w:t xml:space="preserve">US-C1: </w:t>
      </w:r>
      <w:r>
        <w:rPr>
          <w:rFonts w:ascii="Calibri" w:cs="Calibri" w:eastAsia="Calibri" w:hAnsi="Calibri"/>
          <w:color w:val="1E2D24"/>
          <w:sz w:val="22"/>
          <w:szCs w:val="22"/>
        </w:rPr>
        <w:t xml:space="preserve">As a consumer browsing an e-commerce site, I want to click the Trusten button and see a trust grade for the current page within 5 seconds, so I can decide whether to trust this site before completing a purchase.</w:t>
      </w:r>
    </w:p>
    <w:p>
      <w:pPr>
        <w:pStyle w:val="ListParagraph"/>
        <w:numPr>
          <w:ilvl w:val="0"/>
          <w:numId w:val="2"/>
        </w:numPr>
        <w:spacing w:after="80" w:line="276"/>
      </w:pPr>
      <w:r>
        <w:rPr>
          <w:rFonts w:ascii="Calibri" w:cs="Calibri" w:eastAsia="Calibri" w:hAnsi="Calibri"/>
          <w:b/>
          <w:bCs/>
          <w:color w:val="1E2D24"/>
          <w:sz w:val="22"/>
          <w:szCs w:val="22"/>
        </w:rPr>
        <w:t xml:space="preserve">US-C2: </w:t>
      </w:r>
      <w:r>
        <w:rPr>
          <w:rFonts w:ascii="Calibri" w:cs="Calibri" w:eastAsia="Calibri" w:hAnsi="Calibri"/>
          <w:color w:val="1E2D24"/>
          <w:sz w:val="22"/>
          <w:szCs w:val="22"/>
        </w:rPr>
        <w:t xml:space="preserve">As a consumer about to cancel a subscription, I want Trusten to show me how many clicks the cancellation will require and whether it uses guilt-trip tactics, so I can mentally prepare or seek alternatives.</w:t>
      </w:r>
    </w:p>
    <w:p>
      <w:pPr>
        <w:pStyle w:val="ListParagraph"/>
        <w:numPr>
          <w:ilvl w:val="0"/>
          <w:numId w:val="2"/>
        </w:numPr>
        <w:spacing w:after="80" w:line="276"/>
      </w:pPr>
      <w:r>
        <w:rPr>
          <w:rFonts w:ascii="Calibri" w:cs="Calibri" w:eastAsia="Calibri" w:hAnsi="Calibri"/>
          <w:b/>
          <w:bCs/>
          <w:color w:val="1E2D24"/>
          <w:sz w:val="22"/>
          <w:szCs w:val="22"/>
        </w:rPr>
        <w:t xml:space="preserve">US-C3: </w:t>
      </w:r>
      <w:r>
        <w:rPr>
          <w:rFonts w:ascii="Calibri" w:cs="Calibri" w:eastAsia="Calibri" w:hAnsi="Calibri"/>
          <w:color w:val="1E2D24"/>
          <w:sz w:val="22"/>
          <w:szCs w:val="22"/>
        </w:rPr>
        <w:t xml:space="preserve">As a consumer who just saw a low Trusten grade, I want to view specific examples of the patterns detected (with screenshots), so I understand why the grade is low and can make an informed choice.</w:t>
      </w:r>
    </w:p>
    <w:p>
      <w:pPr>
        <w:pStyle w:val="ListParagraph"/>
        <w:numPr>
          <w:ilvl w:val="0"/>
          <w:numId w:val="2"/>
        </w:numPr>
        <w:spacing w:after="80" w:line="276"/>
      </w:pPr>
      <w:r>
        <w:rPr>
          <w:rFonts w:ascii="Calibri" w:cs="Calibri" w:eastAsia="Calibri" w:hAnsi="Calibri"/>
          <w:b/>
          <w:bCs/>
          <w:color w:val="1E2D24"/>
          <w:sz w:val="22"/>
          <w:szCs w:val="22"/>
        </w:rPr>
        <w:t xml:space="preserve">US-C4: </w:t>
      </w:r>
      <w:r>
        <w:rPr>
          <w:rFonts w:ascii="Calibri" w:cs="Calibri" w:eastAsia="Calibri" w:hAnsi="Calibri"/>
          <w:color w:val="1E2D24"/>
          <w:sz w:val="22"/>
          <w:szCs w:val="22"/>
        </w:rPr>
        <w:t xml:space="preserve">As a consumer concerned about privacy, I want Trusten to flag cookie banner dark patterns (pre-checked boxes, hidden “reject” buttons), so I can protect my data without manually inspecting each banner.</w:t>
      </w:r>
    </w:p>
    <w:p>
      <w:pPr>
        <w:pStyle w:val="Heading2"/>
      </w:pPr>
      <w:r>
        <w:t xml:space="preserve">4.2 Compliance Officer Stories</w:t>
      </w:r>
    </w:p>
    <w:p>
      <w:pPr>
        <w:pStyle w:val="ListParagraph"/>
        <w:numPr>
          <w:ilvl w:val="0"/>
          <w:numId w:val="2"/>
        </w:numPr>
        <w:spacing w:after="80" w:line="276"/>
      </w:pPr>
      <w:r>
        <w:rPr>
          <w:rFonts w:ascii="Calibri" w:cs="Calibri" w:eastAsia="Calibri" w:hAnsi="Calibri"/>
          <w:b/>
          <w:bCs/>
          <w:color w:val="1E2D24"/>
          <w:sz w:val="22"/>
          <w:szCs w:val="22"/>
        </w:rPr>
        <w:t xml:space="preserve">US-CO1: </w:t>
      </w:r>
      <w:r>
        <w:rPr>
          <w:rFonts w:ascii="Calibri" w:cs="Calibri" w:eastAsia="Calibri" w:hAnsi="Calibri"/>
          <w:color w:val="1E2D24"/>
          <w:sz w:val="22"/>
          <w:szCs w:val="22"/>
        </w:rPr>
        <w:t xml:space="preserve">As a compliance officer, I want to scan our company’s checkout flow and receive a regulatory violation report mapped to EU DSA Article 25, FTC Act §5, and GDPR Article 25, so I can prioritize remediation by legal risk.</w:t>
      </w:r>
    </w:p>
    <w:p>
      <w:pPr>
        <w:pStyle w:val="ListParagraph"/>
        <w:numPr>
          <w:ilvl w:val="0"/>
          <w:numId w:val="2"/>
        </w:numPr>
        <w:spacing w:after="80" w:line="276"/>
      </w:pPr>
      <w:r>
        <w:rPr>
          <w:rFonts w:ascii="Calibri" w:cs="Calibri" w:eastAsia="Calibri" w:hAnsi="Calibri"/>
          <w:b/>
          <w:bCs/>
          <w:color w:val="1E2D24"/>
          <w:sz w:val="22"/>
          <w:szCs w:val="22"/>
        </w:rPr>
        <w:t xml:space="preserve">US-CO2: </w:t>
      </w:r>
      <w:r>
        <w:rPr>
          <w:rFonts w:ascii="Calibri" w:cs="Calibri" w:eastAsia="Calibri" w:hAnsi="Calibri"/>
          <w:color w:val="1E2D24"/>
          <w:sz w:val="22"/>
          <w:szCs w:val="22"/>
        </w:rPr>
        <w:t xml:space="preserve">As a compliance officer, I want to track our dark pattern score over time, with alerts when new patterns are detected, so I can demonstrate continuous compliance to auditors.</w:t>
      </w:r>
    </w:p>
    <w:p>
      <w:pPr>
        <w:pStyle w:val="ListParagraph"/>
        <w:numPr>
          <w:ilvl w:val="0"/>
          <w:numId w:val="2"/>
        </w:numPr>
        <w:spacing w:after="80" w:line="276"/>
      </w:pPr>
      <w:r>
        <w:rPr>
          <w:rFonts w:ascii="Calibri" w:cs="Calibri" w:eastAsia="Calibri" w:hAnsi="Calibri"/>
          <w:b/>
          <w:bCs/>
          <w:color w:val="1E2D24"/>
          <w:sz w:val="22"/>
          <w:szCs w:val="22"/>
        </w:rPr>
        <w:t xml:space="preserve">US-CO3: </w:t>
      </w:r>
      <w:r>
        <w:rPr>
          <w:rFonts w:ascii="Calibri" w:cs="Calibri" w:eastAsia="Calibri" w:hAnsi="Calibri"/>
          <w:color w:val="1E2D24"/>
          <w:sz w:val="22"/>
          <w:szCs w:val="22"/>
        </w:rPr>
        <w:t xml:space="preserve">As a compliance officer, I want to export an evidence package (screenshots, DOM fragments, regulatory mapping) as a PDF, so I can include it in regulatory filings.</w:t>
      </w:r>
    </w:p>
    <w:p>
      <w:pPr>
        <w:pStyle w:val="Heading2"/>
      </w:pPr>
      <w:r>
        <w:t xml:space="preserve">4.3 Journalist Stories</w:t>
      </w:r>
    </w:p>
    <w:p>
      <w:pPr>
        <w:pStyle w:val="ListParagraph"/>
        <w:numPr>
          <w:ilvl w:val="0"/>
          <w:numId w:val="2"/>
        </w:numPr>
        <w:spacing w:after="80" w:line="276"/>
      </w:pPr>
      <w:r>
        <w:rPr>
          <w:rFonts w:ascii="Calibri" w:cs="Calibri" w:eastAsia="Calibri" w:hAnsi="Calibri"/>
          <w:b/>
          <w:bCs/>
          <w:color w:val="1E2D24"/>
          <w:sz w:val="22"/>
          <w:szCs w:val="22"/>
        </w:rPr>
        <w:t xml:space="preserve">US-J1: </w:t>
      </w:r>
      <w:r>
        <w:rPr>
          <w:rFonts w:ascii="Calibri" w:cs="Calibri" w:eastAsia="Calibri" w:hAnsi="Calibri"/>
          <w:color w:val="1E2D24"/>
          <w:sz w:val="22"/>
          <w:szCs w:val="22"/>
        </w:rPr>
        <w:t xml:space="preserve">As a journalist, I want to scan 10 major airline booking sites and produce a comparison table of their dark pattern usage, so I can write a story with quantitative evidence.</w:t>
      </w:r>
    </w:p>
    <w:p>
      <w:pPr>
        <w:pStyle w:val="ListParagraph"/>
        <w:numPr>
          <w:ilvl w:val="0"/>
          <w:numId w:val="2"/>
        </w:numPr>
        <w:spacing w:after="80" w:line="276"/>
      </w:pPr>
      <w:r>
        <w:rPr>
          <w:rFonts w:ascii="Calibri" w:cs="Calibri" w:eastAsia="Calibri" w:hAnsi="Calibri"/>
          <w:b/>
          <w:bCs/>
          <w:color w:val="1E2D24"/>
          <w:sz w:val="22"/>
          <w:szCs w:val="22"/>
        </w:rPr>
        <w:t xml:space="preserve">US-J2: </w:t>
      </w:r>
      <w:r>
        <w:rPr>
          <w:rFonts w:ascii="Calibri" w:cs="Calibri" w:eastAsia="Calibri" w:hAnsi="Calibri"/>
          <w:color w:val="1E2D24"/>
          <w:sz w:val="22"/>
          <w:szCs w:val="22"/>
        </w:rPr>
        <w:t xml:space="preserve">As a journalist, I want to embed Trusten scan results (with our attribution) in my online article, so readers can verify my findings directly.</w:t>
      </w:r>
    </w:p>
    <w:p>
      <w:pPr>
        <w:pStyle w:val="Heading2"/>
      </w:pPr>
      <w:r>
        <w:t xml:space="preserve">4.4 Regulator Stories</w:t>
      </w:r>
    </w:p>
    <w:p>
      <w:pPr>
        <w:pStyle w:val="ListParagraph"/>
        <w:numPr>
          <w:ilvl w:val="0"/>
          <w:numId w:val="2"/>
        </w:numPr>
        <w:spacing w:after="80" w:line="276"/>
      </w:pPr>
      <w:r>
        <w:rPr>
          <w:rFonts w:ascii="Calibri" w:cs="Calibri" w:eastAsia="Calibri" w:hAnsi="Calibri"/>
          <w:b/>
          <w:bCs/>
          <w:color w:val="1E2D24"/>
          <w:sz w:val="22"/>
          <w:szCs w:val="22"/>
        </w:rPr>
        <w:t xml:space="preserve">US-R1: </w:t>
      </w:r>
      <w:r>
        <w:rPr>
          <w:rFonts w:ascii="Calibri" w:cs="Calibri" w:eastAsia="Calibri" w:hAnsi="Calibri"/>
          <w:color w:val="1E2D24"/>
          <w:sz w:val="22"/>
          <w:szCs w:val="22"/>
        </w:rPr>
        <w:t xml:space="preserve">As a regulator investigating a specific company, I want to access historical Trusten scans showing how the company’s practices have changed over time, so I can establish a pattern of conduct for enforcement.</w:t>
      </w:r>
    </w:p>
    <w:p>
      <w:pPr>
        <w:pStyle w:val="ListParagraph"/>
        <w:numPr>
          <w:ilvl w:val="0"/>
          <w:numId w:val="2"/>
        </w:numPr>
        <w:spacing w:after="80" w:line="276"/>
      </w:pPr>
      <w:r>
        <w:rPr>
          <w:rFonts w:ascii="Calibri" w:cs="Calibri" w:eastAsia="Calibri" w:hAnsi="Calibri"/>
          <w:b/>
          <w:bCs/>
          <w:color w:val="1E2D24"/>
          <w:sz w:val="22"/>
          <w:szCs w:val="22"/>
        </w:rPr>
        <w:t xml:space="preserve">US-R2: </w:t>
      </w:r>
      <w:r>
        <w:rPr>
          <w:rFonts w:ascii="Calibri" w:cs="Calibri" w:eastAsia="Calibri" w:hAnsi="Calibri"/>
          <w:color w:val="1E2D24"/>
          <w:sz w:val="22"/>
          <w:szCs w:val="22"/>
        </w:rPr>
        <w:t xml:space="preserve">As a regulator, I want to receive monthly reports of the worst dark pattern offenders in my jurisdiction, so I can prioritize investigations.</w:t>
      </w:r>
    </w:p>
    <w:p>
      <w:pPr>
        <w:pStyle w:val="Heading2"/>
      </w:pPr>
      <w:r>
        <w:t xml:space="preserve">4.5 Ethical Founder Stories</w:t>
      </w:r>
    </w:p>
    <w:p>
      <w:pPr>
        <w:pStyle w:val="ListParagraph"/>
        <w:numPr>
          <w:ilvl w:val="0"/>
          <w:numId w:val="2"/>
        </w:numPr>
        <w:spacing w:after="80" w:line="276"/>
      </w:pPr>
      <w:r>
        <w:rPr>
          <w:rFonts w:ascii="Calibri" w:cs="Calibri" w:eastAsia="Calibri" w:hAnsi="Calibri"/>
          <w:b/>
          <w:bCs/>
          <w:color w:val="1E2D24"/>
          <w:sz w:val="22"/>
          <w:szCs w:val="22"/>
        </w:rPr>
        <w:t xml:space="preserve">US-EF1: </w:t>
      </w:r>
      <w:r>
        <w:rPr>
          <w:rFonts w:ascii="Calibri" w:cs="Calibri" w:eastAsia="Calibri" w:hAnsi="Calibri"/>
          <w:color w:val="1E2D24"/>
          <w:sz w:val="22"/>
          <w:szCs w:val="22"/>
        </w:rPr>
        <w:t xml:space="preserve">As an ethical founder, I want to purchase a Trusten Certified audit, receive a grade of B+ or higher, and embed the verification badge on my marketing site, so I can credibly signal trustworthiness.</w:t>
      </w:r>
    </w:p>
    <w:p>
      <w:pPr>
        <w:pStyle w:val="ListParagraph"/>
        <w:numPr>
          <w:ilvl w:val="0"/>
          <w:numId w:val="2"/>
        </w:numPr>
        <w:spacing w:after="80" w:line="276"/>
      </w:pPr>
      <w:r>
        <w:rPr>
          <w:rFonts w:ascii="Calibri" w:cs="Calibri" w:eastAsia="Calibri" w:hAnsi="Calibri"/>
          <w:b/>
          <w:bCs/>
          <w:color w:val="1E2D24"/>
          <w:sz w:val="22"/>
          <w:szCs w:val="22"/>
        </w:rPr>
        <w:t xml:space="preserve">US-EF2: </w:t>
      </w:r>
      <w:r>
        <w:rPr>
          <w:rFonts w:ascii="Calibri" w:cs="Calibri" w:eastAsia="Calibri" w:hAnsi="Calibri"/>
          <w:color w:val="1E2D24"/>
          <w:sz w:val="22"/>
          <w:szCs w:val="22"/>
        </w:rPr>
        <w:t xml:space="preserve">As an ethical founder, I want to schedule an annual re-certification audit, so my trust grade remains current and verifiable.</w:t>
      </w:r>
    </w:p>
    <w:p>
      <w:r>
        <w:br w:type="page"/>
      </w:r>
    </w:p>
    <w:p>
      <w:pPr>
        <w:pStyle w:val="Heading1"/>
      </w:pPr>
      <w:r>
        <w:t xml:space="preserve">5. Functional Requirements</w:t>
      </w:r>
    </w:p>
    <w:p>
      <w:pPr>
        <w:spacing w:after="60"/>
      </w:pPr>
    </w:p>
    <w:p>
      <w:pPr>
        <w:pStyle w:val="Heading2"/>
      </w:pPr>
      <w:r>
        <w:t xml:space="preserve">5.1 Quick Scan (FR-QS)</w:t>
      </w:r>
    </w:p>
    <w:p>
      <w:pPr>
        <w:spacing w:after="120" w:line="276"/>
      </w:pPr>
      <w:r>
        <w:rPr>
          <w:rFonts w:ascii="Calibri" w:cs="Calibri" w:eastAsia="Calibri" w:hAnsi="Calibri"/>
          <w:color w:val="1E2D24"/>
          <w:sz w:val="22"/>
          <w:szCs w:val="22"/>
        </w:rPr>
        <w:t xml:space="preserve">The browser extension scans the currently active webpage and returns detection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 clicks the Trusten browser extension icon to initiate a scan of the current page.</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Extension captures current page DOM, visible text, screenshot, network requests (last 60s), and cookies.</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All 10 analyzers run against captured context, in parallel where possible. Total scan time ≤ 5s p50, ≤ 10s p95.</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Extension displays trust grade (A–F), numerical score (0–100), and list of detected patterns with severity icons.</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FR-QS-5</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 can click any detected pattern to view detailed explanation, annotated screenshot, and regulatory mapping.</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FR-QS-6</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Free tier limits users to 5 scans per month; Pro tier allows unlimited scans.</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FR-QS-7</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Scan results are persisted server-side and accessible via dashboard URL.</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FR-QS-8</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 can share scan result via shareable URL.</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pPr>
        <w:spacing w:after="120"/>
      </w:pPr>
    </w:p>
    <w:p>
      <w:pPr>
        <w:pStyle w:val="Heading2"/>
      </w:pPr>
      <w:r>
        <w:t xml:space="preserve">5.2 Deep Scan (FR-DS)</w:t>
      </w:r>
    </w:p>
    <w:p>
      <w:pPr>
        <w:spacing w:after="120" w:line="276"/>
      </w:pPr>
      <w:r>
        <w:rPr>
          <w:rFonts w:ascii="Calibri" w:cs="Calibri" w:eastAsia="Calibri" w:hAnsi="Calibri"/>
          <w:color w:val="1E2D24"/>
          <w:sz w:val="22"/>
          <w:szCs w:val="22"/>
        </w:rPr>
        <w:t xml:space="preserve">Server-side workflow scanning that traverses multi-step user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 selects a target URL and a predefined workflow (checkout, cancellation, signup, cookie_consent, pricing_comparison).</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System initiates an agentic browser session via the BrowserOS fork.</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Agent executes workflow steps using natural language instructions augmented by deterministic selectors.</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At each step, system captures: screenshot, DOM snapshot, current URL, network activity, and cookie state.</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FR-DS-5</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Relevant analyzers run at each step (e.g., obstruction analyzer at every step of cancellation workflow).</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FR-DS-6</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System produces an ordered WorkflowStep[] with step-level findings and evidence.</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FR-DS-7</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If workflow fails (page error, dead end, timeout), system records the failure point and produces partial report.</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FR-DS-8</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Deep Scan latency target: ≤ 90s p50 for 5-step workflow, ≤ 180s p95.</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FR-DS-9</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 tier allows 3 deep scans/month; Business/Enterprise allow unlimited.</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pPr>
        <w:spacing w:after="120"/>
      </w:pPr>
    </w:p>
    <w:p>
      <w:pPr>
        <w:pStyle w:val="Heading2"/>
      </w:pPr>
      <w:r>
        <w:t xml:space="preserve">5.3 Detection Analyzers (FR-DA)</w:t>
      </w:r>
    </w:p>
    <w:p>
      <w:pPr>
        <w:spacing w:after="120" w:line="276"/>
      </w:pPr>
      <w:r>
        <w:rPr>
          <w:rFonts w:ascii="Calibri" w:cs="Calibri" w:eastAsia="Calibri" w:hAnsi="Calibri"/>
          <w:color w:val="1E2D24"/>
          <w:sz w:val="22"/>
          <w:szCs w:val="22"/>
        </w:rPr>
        <w:t xml:space="preserve">Trusten implements 10 modular analyzer modules covering 24 detection categories. Each analyzer follows a hybrid (deterministic + LLM) detection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Analyzer</w:t>
            </w:r>
          </w:p>
        </w:tc>
        <w:tc>
          <w:tcPr>
            <w:tcW w:type="dxa" w:w="31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Categories Covered</w:t>
            </w:r>
          </w:p>
        </w:tc>
        <w:tc>
          <w:tcPr>
            <w:tcW w:type="dxa" w:w="40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Detection Method</w:t>
            </w:r>
          </w:p>
        </w:tc>
      </w:tr>
      <w:tr>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Urgency &amp; Scarcity</w:t>
            </w:r>
          </w:p>
        </w:tc>
        <w:tc>
          <w:tcPr>
            <w:tcW w:type="dxa" w:w="3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fake_urgency, fake_scarcity, fake_social_proof</w:t>
            </w:r>
          </w:p>
        </w:tc>
        <w:tc>
          <w:tcPr>
            <w:tcW w:type="dxa" w:w="4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Countdown timer detection, reload-test verification, keyword matching, LLM for ambiguity</w:t>
            </w:r>
          </w:p>
        </w:tc>
      </w:tr>
      <w:tr>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Misdirection</w:t>
            </w:r>
          </w:p>
        </w:tc>
        <w:tc>
          <w:tcPr>
            <w:tcW w:type="dxa" w:w="3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confirmshaming, trick_wording, visual_interference</w:t>
            </w:r>
          </w:p>
        </w:tc>
        <w:tc>
          <w:tcPr>
            <w:tcW w:type="dxa" w:w="4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DOM/CSS analysis for visual weighting; LLM for language analysis</w:t>
            </w:r>
          </w:p>
        </w:tc>
      </w:tr>
      <w:tr>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Sneaking</w:t>
            </w:r>
          </w:p>
        </w:tc>
        <w:tc>
          <w:tcPr>
            <w:tcW w:type="dxa" w:w="3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basket_sneaking, drip_pricing, bait_and_switch</w:t>
            </w:r>
          </w:p>
        </w:tc>
        <w:tc>
          <w:tcPr>
            <w:tcW w:type="dxa" w:w="4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Cart state diffing, total-price reconciliation, link/text comparison</w:t>
            </w:r>
          </w:p>
        </w:tc>
      </w:tr>
      <w:tr>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Obstruction</w:t>
            </w:r>
          </w:p>
        </w:tc>
        <w:tc>
          <w:tcPr>
            <w:tcW w:type="dxa" w:w="3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roach_motel, forced_continuity, hard_to_cancel</w:t>
            </w:r>
          </w:p>
        </w:tc>
        <w:tc>
          <w:tcPr>
            <w:tcW w:type="dxa" w:w="4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Workflow-based: count clicks to cancel vs sign-up; detect retention popups</w:t>
            </w:r>
          </w:p>
        </w:tc>
      </w:tr>
      <w:tr>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Forced Action</w:t>
            </w:r>
          </w:p>
        </w:tc>
        <w:tc>
          <w:tcPr>
            <w:tcW w:type="dxa" w:w="3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forced_registration, forced_sharing, gamification_pressure</w:t>
            </w:r>
          </w:p>
        </w:tc>
        <w:tc>
          <w:tcPr>
            <w:tcW w:type="dxa" w:w="4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Path traversal: identify mandatory steps; detect FOMO mechanics</w:t>
            </w:r>
          </w:p>
        </w:tc>
      </w:tr>
      <w:tr>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Preselection</w:t>
            </w:r>
          </w:p>
        </w:tc>
        <w:tc>
          <w:tcPr>
            <w:tcW w:type="dxa" w:w="3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preselected_options, hidden_defaults</w:t>
            </w:r>
          </w:p>
        </w:tc>
        <w:tc>
          <w:tcPr>
            <w:tcW w:type="dxa" w:w="4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Form input analysis: check checkbox states, default values</w:t>
            </w:r>
          </w:p>
        </w:tc>
      </w:tr>
      <w:tr>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Nagging</w:t>
            </w:r>
          </w:p>
        </w:tc>
        <w:tc>
          <w:tcPr>
            <w:tcW w:type="dxa" w:w="3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repeated_prompts, disguised_ads</w:t>
            </w:r>
          </w:p>
        </w:tc>
        <w:tc>
          <w:tcPr>
            <w:tcW w:type="dxa" w:w="4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Frequency analysis of pop-ups; CSS class analysis for ad-content disguise</w:t>
            </w:r>
          </w:p>
        </w:tc>
      </w:tr>
      <w:tr>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Comparison Prevention</w:t>
            </w:r>
          </w:p>
        </w:tc>
        <w:tc>
          <w:tcPr>
            <w:tcW w:type="dxa" w:w="3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comparison_prevention, information_hiding</w:t>
            </w:r>
          </w:p>
        </w:tc>
        <w:tc>
          <w:tcPr>
            <w:tcW w:type="dxa" w:w="4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Pricing page structure analysis; collapsed/hidden content detection</w:t>
            </w:r>
          </w:p>
        </w:tc>
      </w:tr>
      <w:tr>
        <w:tc>
          <w:tcPr>
            <w:tcW w:type="dxa" w:w="2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Privacy</w:t>
            </w:r>
          </w:p>
        </w:tc>
        <w:tc>
          <w:tcPr>
            <w:tcW w:type="dxa" w:w="3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privacy_zuckering, cookie_wall, dark_consent</w:t>
            </w:r>
          </w:p>
        </w:tc>
        <w:tc>
          <w:tcPr>
            <w:tcW w:type="dxa" w:w="4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Cookie banner analysis: click count for accept vs reject, default states</w:t>
            </w:r>
          </w:p>
        </w:tc>
      </w:tr>
      <w:tr>
        <w:tc>
          <w:tcPr>
            <w:tcW w:type="dxa" w:w="2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Interface Manipulation</w:t>
            </w:r>
          </w:p>
        </w:tc>
        <w:tc>
          <w:tcPr>
            <w:tcW w:type="dxa" w:w="3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fake_hierarchy</w:t>
            </w:r>
          </w:p>
        </w:tc>
        <w:tc>
          <w:tcPr>
            <w:tcW w:type="dxa" w:w="4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Visual weight analysis (size, color, position) of buttons and CTAs</w:t>
            </w:r>
          </w:p>
        </w:tc>
      </w:tr>
    </w:tbl>
    <w:p>
      <w:pPr>
        <w:spacing w:after="120"/>
      </w:pPr>
    </w:p>
    <w:p>
      <w:pPr>
        <w:pStyle w:val="Heading2"/>
      </w:pPr>
      <w:r>
        <w:t xml:space="preserve">5.4 Scoring Engine (FR-SE)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Starting score is 100. Deduct points based on severity: critical −15 each (capped −45), high −8 (capped −32), medium −4 (capped −20), low −2 (capped −10). Minimum score 0.</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Grade mapping: A (80–100), B (60–79), C (40–59), D (20–39), F (0–19).</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Category breakdown shows per-category sub-score and pattern count.</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Score must be deterministic and reproducible for the same input context.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FR-SE-5</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LLM-based detections only contribute to score if confidence ≥ 0.7.</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FR-SE-6</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Engine generates a 2–3 sentence human-readable summary via LLM using detected patterns as context.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pPr>
        <w:spacing w:after="120"/>
      </w:pPr>
    </w:p>
    <w:p>
      <w:pPr>
        <w:pStyle w:val="Heading2"/>
      </w:pPr>
      <w:r>
        <w:t xml:space="preserve">5.5 Regulatory Mapping (FR-RM)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FR-RM-1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Every detection category maps to one or more regulatory provisions across 14 frameworks.</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FR-RM-2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Each violation includes: regulation, specific article/section, plain-language description of how the pattern violates it.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FR-RM-3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Frameworks covered: FTC Act §5, GDPR, EU DSA, CCPA/CPRA, India DPDP, UK Online Safety Act, EU CRD, Australian Consumer Law, Canada PIPEDA, Japan APPI, Brazil LGPD, Korea PIPA, Singapore PDPA, EU UCPD.</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FR-RM-4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Mapping is configurable via a static configuration file; legal team can update without code changes.</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pPr>
        <w:spacing w:after="120"/>
      </w:pPr>
    </w:p>
    <w:p>
      <w:pPr>
        <w:pStyle w:val="Heading2"/>
      </w:pPr>
      <w:r>
        <w:t xml:space="preserve">5.6 Evidence System (FR-EV)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FR-EV-1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Every detected pattern must include at least one of: annotated screenshot, DOM fragment, network evidence.</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FR-EV-2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Screenshots are annotated with bounding boxes around the offending UI element.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FR-EV-3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Evidence is stored immutably with a content hash; original screenshot cannot be modified post-capture.</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FR-EV-4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Evidence can be exported as a ZIP package containing screenshots, DOM snapshots, and JSON report.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pPr>
        <w:spacing w:after="120"/>
      </w:pPr>
    </w:p>
    <w:p>
      <w:pPr>
        <w:pStyle w:val="Heading2"/>
      </w:pPr>
      <w:r>
        <w:t xml:space="preserve">5.7 Trusten Certified Audit (FR-CA)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960"/>
        <w:gridCol w:w="13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13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Priority</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FR-CA-1</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Audit client purchases an audit engagement via the Trusten website; payment processed via Stripe.</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FR-CA-2</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Audit workflow consists of: intake form, scoping call, multi-flow Deep Scans, human auditor review, draft report, client comment period, final report.</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FR-CA-3</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Final report includes: trust grade, executive summary, full findings with evidence, regulatory mapping, prioritized remediation roadmap.</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FR-CA-4</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Companies grading B or higher receive a digital “Trusten Certified” badge with verification URL.</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FR-CA-5</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Badge links to a public verification page showing audit date, grade, and re-certification status.</w:t>
            </w:r>
          </w:p>
        </w:tc>
        <w:tc>
          <w:tcPr>
            <w:tcW w:type="dxa" w:w="13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P0</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FR-CA-6</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Annual re-certification audits priced at 40% of initial audit fee.</w:t>
            </w:r>
          </w:p>
        </w:tc>
        <w:tc>
          <w:tcPr>
            <w:tcW w:type="dxa" w:w="13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P1</w:t>
            </w:r>
          </w:p>
        </w:tc>
      </w:tr>
    </w:tbl>
    <w:p>
      <w:r>
        <w:br w:type="page"/>
      </w:r>
    </w:p>
    <w:p>
      <w:pPr>
        <w:pStyle w:val="Heading1"/>
      </w:pPr>
      <w:r>
        <w:t xml:space="preserve">6. Non-Functional Requirements</w:t>
      </w:r>
    </w:p>
    <w:p>
      <w:pPr>
        <w:spacing w:after="60"/>
      </w:pPr>
    </w:p>
    <w:p>
      <w:pPr>
        <w:pStyle w:val="Heading2"/>
      </w:pPr>
      <w: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60"/>
        <w:gridCol w:w="21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1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2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Target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NFR-P-1</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Quick Scan total latency</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p50 ≤ 5s, p95 ≤ 10s</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NFR-P-2</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Deep Scan latency (5-step workflow)</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p50 ≤ 90s, p95 ≤ 180s</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NFR-P-3</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Dashboard page load (cold)</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p50 ≤ 1.5s, p95 ≤ 3s</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NFR-P-4</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API endpoint response (non-scan)</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p50 ≤ 200ms, p95 ≤ 500ms</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NFR-P-5</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Concurrent Quick Scans supported</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1,000+ at MVP, 10,000+ at scale</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NFR-P-6</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Concurrent Deep Scans supported</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20 at MVP, 200 at scale</w:t>
            </w:r>
          </w:p>
        </w:tc>
      </w:tr>
    </w:tbl>
    <w:p>
      <w:pPr>
        <w:spacing w:after="120"/>
      </w:pPr>
    </w:p>
    <w:p>
      <w:pPr>
        <w:pStyle w:val="Heading2"/>
      </w:pPr>
      <w:r>
        <w:t xml:space="preserve">6.2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60"/>
        <w:gridCol w:w="21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1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2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Target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NFR-R-1</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API uptime</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99.5% MVP, 99.9% at scale</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NFR-R-2</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Scan success rate</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95% (excluding sites that block all automation)</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NFR-R-3</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Graceful degradation when LLM provider is down</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Fall back to rule-based detection only</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NFR-R-4</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Data durability (scan results, audit data)</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99.999999999% (S3-class)</w:t>
            </w:r>
          </w:p>
        </w:tc>
      </w:tr>
    </w:tbl>
    <w:p>
      <w:pPr>
        <w:spacing w:after="120"/>
      </w:pPr>
    </w:p>
    <w:p>
      <w:pPr>
        <w:pStyle w:val="Heading2"/>
      </w:pPr>
      <w:r>
        <w:t xml:space="preserve">6.3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60"/>
        <w:gridCol w:w="210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61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c>
          <w:tcPr>
            <w:tcW w:type="dxa" w:w="2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Target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NFR-A-1</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precision (true positive rate)</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90% overall, ≥ 95% on P0 categories (basket sneaking, forced continuity, drip pricing)</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NFR-A-2</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recall (catching real patterns)</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80% measured against curated test set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NFR-A-3</w:t>
            </w:r>
          </w:p>
        </w:tc>
        <w:tc>
          <w:tcPr>
            <w:tcW w:type="dxa" w:w="61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False positive rate</w:t>
            </w:r>
          </w:p>
        </w:tc>
        <w:tc>
          <w:tcPr>
            <w:tcW w:type="dxa" w:w="2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 overall, ≤ 3% for severity ≥ high</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NFR-A-4</w:t>
            </w:r>
          </w:p>
        </w:tc>
        <w:tc>
          <w:tcPr>
            <w:tcW w:type="dxa" w:w="61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Score reproducibility</w:t>
            </w:r>
          </w:p>
        </w:tc>
        <w:tc>
          <w:tcPr>
            <w:tcW w:type="dxa" w:w="2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Same input must produce same score 100% of the time</w:t>
            </w:r>
          </w:p>
        </w:tc>
      </w:tr>
    </w:tbl>
    <w:p>
      <w:pPr>
        <w:spacing w:after="120"/>
      </w:pPr>
    </w:p>
    <w:p>
      <w:pPr>
        <w:pStyle w:val="Heading2"/>
      </w:pPr>
      <w:r>
        <w:t xml:space="preserve">6.4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82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NFR-S-1</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Browser extension requests minimum necessary permissions (activeTab, storage). No global host access at MVP.</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NFR-S-2</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 authentication via OAuth 2.0 (Google, GitHub, email magic link). Passwords (if any) bcrypt-hashed with cost ≥ 12.</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NFR-S-3</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All API traffic encrypted in transit (TLS 1.3). Data at rest encrypted with AES-256.</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NFR-S-4</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Scan results are private by default; user must explicitly publish to make public.</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NFR-S-5</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GDPR-compliant data handling: deletion on request within 30 days, data export within 30 days.</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NFR-S-6</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No collection of personal data from scanned sites. Screenshots redact form input fields by default.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NFR-S-7</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API access controlled via scoped tokens with rate limiting (1,000 req/hour Business tier; configurable Enterprise).</w:t>
            </w:r>
          </w:p>
        </w:tc>
      </w:tr>
    </w:tbl>
    <w:p>
      <w:pPr>
        <w:spacing w:after="120"/>
      </w:pPr>
    </w:p>
    <w:p>
      <w:pPr>
        <w:pStyle w:val="Heading2"/>
      </w:pPr>
      <w:r>
        <w:t xml:space="preserve">6.5 Compliance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ID</w:t>
            </w:r>
          </w:p>
        </w:tc>
        <w:tc>
          <w:tcPr>
            <w:tcW w:type="dxa" w:w="82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Requirement</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NFR-L-1</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Scraping respects robots.txt; identifies as Trusten bot with public user-agent.</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NFR-L-2</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Scan rate limiting per target domain (max 1 scan / 5 min / domain to prevent service degradation).</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NFR-L-3</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methodology fully documented and publicly auditable.</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NFR-L-4</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Companies can request a re-scan or dispute a finding via formal appeals process.</w:t>
            </w:r>
          </w:p>
        </w:tc>
      </w:tr>
      <w:tr>
        <w:tc>
          <w:tcPr>
            <w:tcW w:type="dxa" w:w="11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NFR-L-5</w:t>
            </w:r>
          </w:p>
        </w:tc>
        <w:tc>
          <w:tcPr>
            <w:tcW w:type="dxa" w:w="8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Audit reports include a methodology appendix and quality assurance signoff.</w:t>
            </w:r>
          </w:p>
        </w:tc>
      </w:tr>
      <w:tr>
        <w:tc>
          <w:tcPr>
            <w:tcW w:type="dxa" w:w="11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NFR-L-6</w:t>
            </w:r>
          </w:p>
        </w:tc>
        <w:tc>
          <w:tcPr>
            <w:tcW w:type="dxa" w:w="8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Defamation-safe language: factual reporting only (“XX patterns detected”), no editorializing (“Company is dishonest”).</w:t>
            </w:r>
          </w:p>
        </w:tc>
      </w:tr>
    </w:tbl>
    <w:p>
      <w:r>
        <w:br w:type="page"/>
      </w:r>
    </w:p>
    <w:p>
      <w:pPr>
        <w:pStyle w:val="Heading1"/>
      </w:pPr>
      <w:r>
        <w:t xml:space="preserve">7. Technical Architecture</w:t>
      </w:r>
    </w:p>
    <w:p>
      <w:pPr>
        <w:spacing w:after="60"/>
      </w:pPr>
    </w:p>
    <w:p>
      <w:pPr>
        <w:pStyle w:val="Heading2"/>
      </w:pPr>
      <w:r>
        <w:t xml:space="preserve">7.1 System Overview</w:t>
      </w:r>
    </w:p>
    <w:p>
      <w:pPr>
        <w:spacing w:after="120" w:line="276"/>
      </w:pPr>
      <w:r>
        <w:rPr>
          <w:rFonts w:ascii="Calibri" w:cs="Calibri" w:eastAsia="Calibri" w:hAnsi="Calibri"/>
          <w:color w:val="1E2D24"/>
          <w:sz w:val="22"/>
          <w:szCs w:val="22"/>
        </w:rPr>
        <w:t xml:space="preserve">Trusten is composed of seven core components:</w:t>
      </w:r>
    </w:p>
    <w:p>
      <w:pPr>
        <w:pStyle w:val="ListParagraph"/>
        <w:numPr>
          <w:ilvl w:val="0"/>
          <w:numId w:val="2"/>
        </w:numPr>
        <w:spacing w:after="80" w:line="276"/>
      </w:pPr>
      <w:r>
        <w:rPr>
          <w:rFonts w:ascii="Calibri" w:cs="Calibri" w:eastAsia="Calibri" w:hAnsi="Calibri"/>
          <w:b/>
          <w:bCs/>
          <w:color w:val="1E2D24"/>
          <w:sz w:val="22"/>
          <w:szCs w:val="22"/>
        </w:rPr>
        <w:t xml:space="preserve">Browser Extension (Chrome, Edge, Firefox): </w:t>
      </w:r>
      <w:r>
        <w:rPr>
          <w:rFonts w:ascii="Calibri" w:cs="Calibri" w:eastAsia="Calibri" w:hAnsi="Calibri"/>
          <w:color w:val="1E2D24"/>
          <w:sz w:val="22"/>
          <w:szCs w:val="22"/>
        </w:rPr>
        <w:t xml:space="preserve">Svelte + TypeScript. Captures page state, sends to API, displays results.</w:t>
      </w:r>
    </w:p>
    <w:p>
      <w:pPr>
        <w:pStyle w:val="ListParagraph"/>
        <w:numPr>
          <w:ilvl w:val="0"/>
          <w:numId w:val="2"/>
        </w:numPr>
        <w:spacing w:after="80" w:line="276"/>
      </w:pPr>
      <w:r>
        <w:rPr>
          <w:rFonts w:ascii="Calibri" w:cs="Calibri" w:eastAsia="Calibri" w:hAnsi="Calibri"/>
          <w:b/>
          <w:bCs/>
          <w:color w:val="1E2D24"/>
          <w:sz w:val="22"/>
          <w:szCs w:val="22"/>
        </w:rPr>
        <w:t xml:space="preserve">Trusten API Service: </w:t>
      </w:r>
      <w:r>
        <w:rPr>
          <w:rFonts w:ascii="Calibri" w:cs="Calibri" w:eastAsia="Calibri" w:hAnsi="Calibri"/>
          <w:color w:val="1E2D24"/>
          <w:sz w:val="22"/>
          <w:szCs w:val="22"/>
        </w:rPr>
        <w:t xml:space="preserve">Python/Django REST API. Handles authentication, scan orchestration, scoring, persistence.</w:t>
      </w:r>
    </w:p>
    <w:p>
      <w:pPr>
        <w:pStyle w:val="ListParagraph"/>
        <w:numPr>
          <w:ilvl w:val="0"/>
          <w:numId w:val="2"/>
        </w:numPr>
        <w:spacing w:after="80" w:line="276"/>
      </w:pPr>
      <w:r>
        <w:rPr>
          <w:rFonts w:ascii="Calibri" w:cs="Calibri" w:eastAsia="Calibri" w:hAnsi="Calibri"/>
          <w:b/>
          <w:bCs/>
          <w:color w:val="1E2D24"/>
          <w:sz w:val="22"/>
          <w:szCs w:val="22"/>
        </w:rPr>
        <w:t xml:space="preserve">Detection Engine: </w:t>
      </w:r>
      <w:r>
        <w:rPr>
          <w:rFonts w:ascii="Calibri" w:cs="Calibri" w:eastAsia="Calibri" w:hAnsi="Calibri"/>
          <w:color w:val="1E2D24"/>
          <w:sz w:val="22"/>
          <w:szCs w:val="22"/>
        </w:rPr>
        <w:t xml:space="preserve">TypeScript/Bun service hosting the 10 analyzer modules. Runs in containers.</w:t>
      </w:r>
    </w:p>
    <w:p>
      <w:pPr>
        <w:pStyle w:val="ListParagraph"/>
        <w:numPr>
          <w:ilvl w:val="0"/>
          <w:numId w:val="2"/>
        </w:numPr>
        <w:spacing w:after="80" w:line="276"/>
      </w:pPr>
      <w:r>
        <w:rPr>
          <w:rFonts w:ascii="Calibri" w:cs="Calibri" w:eastAsia="Calibri" w:hAnsi="Calibri"/>
          <w:b/>
          <w:bCs/>
          <w:color w:val="1E2D24"/>
          <w:sz w:val="22"/>
          <w:szCs w:val="22"/>
        </w:rPr>
        <w:t xml:space="preserve">Agentic Browser (BrowserOS fork): </w:t>
      </w:r>
      <w:r>
        <w:rPr>
          <w:rFonts w:ascii="Calibri" w:cs="Calibri" w:eastAsia="Calibri" w:hAnsi="Calibri"/>
          <w:color w:val="1E2D24"/>
          <w:sz w:val="22"/>
          <w:szCs w:val="22"/>
        </w:rPr>
        <w:t xml:space="preserve">TypeScript + Chromium. Powers Deep Scan workflows via Chrome DevTools Protocol.</w:t>
      </w:r>
    </w:p>
    <w:p>
      <w:pPr>
        <w:pStyle w:val="ListParagraph"/>
        <w:numPr>
          <w:ilvl w:val="0"/>
          <w:numId w:val="2"/>
        </w:numPr>
        <w:spacing w:after="80" w:line="276"/>
      </w:pPr>
      <w:r>
        <w:rPr>
          <w:rFonts w:ascii="Calibri" w:cs="Calibri" w:eastAsia="Calibri" w:hAnsi="Calibri"/>
          <w:b/>
          <w:bCs/>
          <w:color w:val="1E2D24"/>
          <w:sz w:val="22"/>
          <w:szCs w:val="22"/>
        </w:rPr>
        <w:t xml:space="preserve">LLM Routing Layer: </w:t>
      </w:r>
      <w:r>
        <w:rPr>
          <w:rFonts w:ascii="Calibri" w:cs="Calibri" w:eastAsia="Calibri" w:hAnsi="Calibri"/>
          <w:color w:val="1E2D24"/>
          <w:sz w:val="22"/>
          <w:szCs w:val="22"/>
        </w:rPr>
        <w:t xml:space="preserve">Provider-agnostic abstraction over Claude, GPT-4o, Gemini, fine-tuned classifiers.</w:t>
      </w:r>
    </w:p>
    <w:p>
      <w:pPr>
        <w:pStyle w:val="ListParagraph"/>
        <w:numPr>
          <w:ilvl w:val="0"/>
          <w:numId w:val="2"/>
        </w:numPr>
        <w:spacing w:after="80" w:line="276"/>
      </w:pPr>
      <w:r>
        <w:rPr>
          <w:rFonts w:ascii="Calibri" w:cs="Calibri" w:eastAsia="Calibri" w:hAnsi="Calibri"/>
          <w:b/>
          <w:bCs/>
          <w:color w:val="1E2D24"/>
          <w:sz w:val="22"/>
          <w:szCs w:val="22"/>
        </w:rPr>
        <w:t xml:space="preserve">Data Layer: </w:t>
      </w:r>
      <w:r>
        <w:rPr>
          <w:rFonts w:ascii="Calibri" w:cs="Calibri" w:eastAsia="Calibri" w:hAnsi="Calibri"/>
          <w:color w:val="1E2D24"/>
          <w:sz w:val="22"/>
          <w:szCs w:val="22"/>
        </w:rPr>
        <w:t xml:space="preserve">PostgreSQL (relational data), S3 (screenshots/evidence), Elasticsearch (full-text search), Redis (caching, queues).</w:t>
      </w:r>
    </w:p>
    <w:p>
      <w:pPr>
        <w:pStyle w:val="ListParagraph"/>
        <w:numPr>
          <w:ilvl w:val="0"/>
          <w:numId w:val="2"/>
        </w:numPr>
        <w:spacing w:after="80" w:line="276"/>
      </w:pPr>
      <w:r>
        <w:rPr>
          <w:rFonts w:ascii="Calibri" w:cs="Calibri" w:eastAsia="Calibri" w:hAnsi="Calibri"/>
          <w:b/>
          <w:bCs/>
          <w:color w:val="1E2D24"/>
          <w:sz w:val="22"/>
          <w:szCs w:val="22"/>
        </w:rPr>
        <w:t xml:space="preserve">Dashboard: </w:t>
      </w:r>
      <w:r>
        <w:rPr>
          <w:rFonts w:ascii="Calibri" w:cs="Calibri" w:eastAsia="Calibri" w:hAnsi="Calibri"/>
          <w:color w:val="1E2D24"/>
          <w:sz w:val="22"/>
          <w:szCs w:val="22"/>
        </w:rPr>
        <w:t xml:space="preserve">Next.js (App Router) + React. Server-rendered for SEO; consumes Trusten API.</w:t>
      </w:r>
    </w:p>
    <w:p>
      <w:pPr>
        <w:pStyle w:val="Heading2"/>
      </w:pPr>
      <w:r>
        <w:t xml:space="preserve">7.2 Data Flow: Quick Scan</w:t>
      </w:r>
    </w:p>
    <w:p>
      <w:pPr>
        <w:spacing w:after="120" w:line="276"/>
      </w:pPr>
      <w:r>
        <w:rPr>
          <w:rFonts w:ascii="Calibri" w:cs="Calibri" w:eastAsia="Calibri" w:hAnsi="Calibri"/>
          <w:color w:val="1E2D24"/>
          <w:sz w:val="22"/>
          <w:szCs w:val="22"/>
        </w:rPr>
        <w:t xml:space="preserve">Flow when a user triggers a Quick Scan:</w:t>
      </w:r>
    </w:p>
    <w:p>
      <w:pPr>
        <w:pStyle w:val="ListParagraph"/>
        <w:numPr>
          <w:ilvl w:val="0"/>
          <w:numId w:val="2"/>
        </w:numPr>
        <w:spacing w:after="80" w:line="276"/>
      </w:pPr>
      <w:r>
        <w:rPr>
          <w:rFonts w:ascii="Calibri" w:cs="Calibri" w:eastAsia="Calibri" w:hAnsi="Calibri"/>
          <w:color w:val="1E2D24"/>
          <w:sz w:val="22"/>
          <w:szCs w:val="22"/>
        </w:rPr>
        <w:t xml:space="preserve">Browser extension captures: DOM snapshot, visible text, screenshot, network activity, cookies.</w:t>
      </w:r>
    </w:p>
    <w:p>
      <w:pPr>
        <w:pStyle w:val="ListParagraph"/>
        <w:numPr>
          <w:ilvl w:val="0"/>
          <w:numId w:val="2"/>
        </w:numPr>
        <w:spacing w:after="80" w:line="276"/>
      </w:pPr>
      <w:r>
        <w:rPr>
          <w:rFonts w:ascii="Calibri" w:cs="Calibri" w:eastAsia="Calibri" w:hAnsi="Calibri"/>
          <w:color w:val="1E2D24"/>
          <w:sz w:val="22"/>
          <w:szCs w:val="22"/>
        </w:rPr>
        <w:t xml:space="preserve">Extension POSTs payload to Trusten API /scan/quick endpoint.</w:t>
      </w:r>
    </w:p>
    <w:p>
      <w:pPr>
        <w:pStyle w:val="ListParagraph"/>
        <w:numPr>
          <w:ilvl w:val="0"/>
          <w:numId w:val="2"/>
        </w:numPr>
        <w:spacing w:after="80" w:line="276"/>
      </w:pPr>
      <w:r>
        <w:rPr>
          <w:rFonts w:ascii="Calibri" w:cs="Calibri" w:eastAsia="Calibri" w:hAnsi="Calibri"/>
          <w:color w:val="1E2D24"/>
          <w:sz w:val="22"/>
          <w:szCs w:val="22"/>
        </w:rPr>
        <w:t xml:space="preserve">API authenticates request, checks quota, returns scan ID.</w:t>
      </w:r>
    </w:p>
    <w:p>
      <w:pPr>
        <w:pStyle w:val="ListParagraph"/>
        <w:numPr>
          <w:ilvl w:val="0"/>
          <w:numId w:val="2"/>
        </w:numPr>
        <w:spacing w:after="80" w:line="276"/>
      </w:pPr>
      <w:r>
        <w:rPr>
          <w:rFonts w:ascii="Calibri" w:cs="Calibri" w:eastAsia="Calibri" w:hAnsi="Calibri"/>
          <w:color w:val="1E2D24"/>
          <w:sz w:val="22"/>
          <w:szCs w:val="22"/>
        </w:rPr>
        <w:t xml:space="preserve">API enqueues scan job to Redis queue.</w:t>
      </w:r>
    </w:p>
    <w:p>
      <w:pPr>
        <w:pStyle w:val="ListParagraph"/>
        <w:numPr>
          <w:ilvl w:val="0"/>
          <w:numId w:val="2"/>
        </w:numPr>
        <w:spacing w:after="80" w:line="276"/>
      </w:pPr>
      <w:r>
        <w:rPr>
          <w:rFonts w:ascii="Calibri" w:cs="Calibri" w:eastAsia="Calibri" w:hAnsi="Calibri"/>
          <w:color w:val="1E2D24"/>
          <w:sz w:val="22"/>
          <w:szCs w:val="22"/>
        </w:rPr>
        <w:t xml:space="preserve">Detection Engine worker dequeues job, builds AnalyzerContext.</w:t>
      </w:r>
    </w:p>
    <w:p>
      <w:pPr>
        <w:pStyle w:val="ListParagraph"/>
        <w:numPr>
          <w:ilvl w:val="0"/>
          <w:numId w:val="2"/>
        </w:numPr>
        <w:spacing w:after="80" w:line="276"/>
      </w:pPr>
      <w:r>
        <w:rPr>
          <w:rFonts w:ascii="Calibri" w:cs="Calibri" w:eastAsia="Calibri" w:hAnsi="Calibri"/>
          <w:color w:val="1E2D24"/>
          <w:sz w:val="22"/>
          <w:szCs w:val="22"/>
        </w:rPr>
        <w:t xml:space="preserve">All 10 analyzers run in parallel against context.</w:t>
      </w:r>
    </w:p>
    <w:p>
      <w:pPr>
        <w:pStyle w:val="ListParagraph"/>
        <w:numPr>
          <w:ilvl w:val="0"/>
          <w:numId w:val="2"/>
        </w:numPr>
        <w:spacing w:after="80" w:line="276"/>
      </w:pPr>
      <w:r>
        <w:rPr>
          <w:rFonts w:ascii="Calibri" w:cs="Calibri" w:eastAsia="Calibri" w:hAnsi="Calibri"/>
          <w:color w:val="1E2D24"/>
          <w:sz w:val="22"/>
          <w:szCs w:val="22"/>
        </w:rPr>
        <w:t xml:space="preserve">Deterministic checks complete in &lt;1s; LLM analyses run async.</w:t>
      </w:r>
    </w:p>
    <w:p>
      <w:pPr>
        <w:pStyle w:val="ListParagraph"/>
        <w:numPr>
          <w:ilvl w:val="0"/>
          <w:numId w:val="2"/>
        </w:numPr>
        <w:spacing w:after="80" w:line="276"/>
      </w:pPr>
      <w:r>
        <w:rPr>
          <w:rFonts w:ascii="Calibri" w:cs="Calibri" w:eastAsia="Calibri" w:hAnsi="Calibri"/>
          <w:color w:val="1E2D24"/>
          <w:sz w:val="22"/>
          <w:szCs w:val="22"/>
        </w:rPr>
        <w:t xml:space="preserve">Scoring Engine aggregates findings, calculates score, applies regulatory mapping.</w:t>
      </w:r>
    </w:p>
    <w:p>
      <w:pPr>
        <w:pStyle w:val="ListParagraph"/>
        <w:numPr>
          <w:ilvl w:val="0"/>
          <w:numId w:val="2"/>
        </w:numPr>
        <w:spacing w:after="80" w:line="276"/>
      </w:pPr>
      <w:r>
        <w:rPr>
          <w:rFonts w:ascii="Calibri" w:cs="Calibri" w:eastAsia="Calibri" w:hAnsi="Calibri"/>
          <w:color w:val="1E2D24"/>
          <w:sz w:val="22"/>
          <w:szCs w:val="22"/>
        </w:rPr>
        <w:t xml:space="preserve">Results persisted to PostgreSQL; evidence stored to S3.</w:t>
      </w:r>
    </w:p>
    <w:p>
      <w:pPr>
        <w:pStyle w:val="ListParagraph"/>
        <w:numPr>
          <w:ilvl w:val="0"/>
          <w:numId w:val="2"/>
        </w:numPr>
        <w:spacing w:after="80" w:line="276"/>
      </w:pPr>
      <w:r>
        <w:rPr>
          <w:rFonts w:ascii="Calibri" w:cs="Calibri" w:eastAsia="Calibri" w:hAnsi="Calibri"/>
          <w:color w:val="1E2D24"/>
          <w:sz w:val="22"/>
          <w:szCs w:val="22"/>
        </w:rPr>
        <w:t xml:space="preserve">Extension polls API or receives WebSocket update with completed result.</w:t>
      </w:r>
    </w:p>
    <w:p>
      <w:pPr>
        <w:pStyle w:val="ListParagraph"/>
        <w:numPr>
          <w:ilvl w:val="0"/>
          <w:numId w:val="2"/>
        </w:numPr>
        <w:spacing w:after="80" w:line="276"/>
      </w:pPr>
      <w:r>
        <w:rPr>
          <w:rFonts w:ascii="Calibri" w:cs="Calibri" w:eastAsia="Calibri" w:hAnsi="Calibri"/>
          <w:color w:val="1E2D24"/>
          <w:sz w:val="22"/>
          <w:szCs w:val="22"/>
        </w:rPr>
        <w:t xml:space="preserve">UI renders trust grade, pattern list, evidence links.</w:t>
      </w:r>
    </w:p>
    <w:p>
      <w:pPr>
        <w:pStyle w:val="Heading2"/>
      </w:pPr>
      <w:r>
        <w:t xml:space="preserve">7.3 Data Flow: Deep Scan</w:t>
      </w:r>
    </w:p>
    <w:p>
      <w:pPr>
        <w:spacing w:after="120" w:line="276"/>
      </w:pPr>
      <w:r>
        <w:rPr>
          <w:rFonts w:ascii="Calibri" w:cs="Calibri" w:eastAsia="Calibri" w:hAnsi="Calibri"/>
          <w:color w:val="1E2D24"/>
          <w:sz w:val="22"/>
          <w:szCs w:val="22"/>
        </w:rPr>
        <w:t xml:space="preserve">Flow for Deep Scan (workflow traversal):</w:t>
      </w:r>
    </w:p>
    <w:p>
      <w:pPr>
        <w:pStyle w:val="ListParagraph"/>
        <w:numPr>
          <w:ilvl w:val="0"/>
          <w:numId w:val="2"/>
        </w:numPr>
        <w:spacing w:after="80" w:line="276"/>
      </w:pPr>
      <w:r>
        <w:rPr>
          <w:rFonts w:ascii="Calibri" w:cs="Calibri" w:eastAsia="Calibri" w:hAnsi="Calibri"/>
          <w:color w:val="1E2D24"/>
          <w:sz w:val="22"/>
          <w:szCs w:val="22"/>
        </w:rPr>
        <w:t xml:space="preserve">User submits URL + workflow type via dashboard.</w:t>
      </w:r>
    </w:p>
    <w:p>
      <w:pPr>
        <w:pStyle w:val="ListParagraph"/>
        <w:numPr>
          <w:ilvl w:val="0"/>
          <w:numId w:val="2"/>
        </w:numPr>
        <w:spacing w:after="80" w:line="276"/>
      </w:pPr>
      <w:r>
        <w:rPr>
          <w:rFonts w:ascii="Calibri" w:cs="Calibri" w:eastAsia="Calibri" w:hAnsi="Calibri"/>
          <w:color w:val="1E2D24"/>
          <w:sz w:val="22"/>
          <w:szCs w:val="22"/>
        </w:rPr>
        <w:t xml:space="preserve">API queues Deep Scan job; worker provisions BrowserOS session.</w:t>
      </w:r>
    </w:p>
    <w:p>
      <w:pPr>
        <w:pStyle w:val="ListParagraph"/>
        <w:numPr>
          <w:ilvl w:val="0"/>
          <w:numId w:val="2"/>
        </w:numPr>
        <w:spacing w:after="80" w:line="276"/>
      </w:pPr>
      <w:r>
        <w:rPr>
          <w:rFonts w:ascii="Calibri" w:cs="Calibri" w:eastAsia="Calibri" w:hAnsi="Calibri"/>
          <w:color w:val="1E2D24"/>
          <w:sz w:val="22"/>
          <w:szCs w:val="22"/>
        </w:rPr>
        <w:t xml:space="preserve">Agent navigates to URL, executes workflow steps using natural-language instructions augmented with deterministic selectors.</w:t>
      </w:r>
    </w:p>
    <w:p>
      <w:pPr>
        <w:pStyle w:val="ListParagraph"/>
        <w:numPr>
          <w:ilvl w:val="0"/>
          <w:numId w:val="2"/>
        </w:numPr>
        <w:spacing w:after="80" w:line="276"/>
      </w:pPr>
      <w:r>
        <w:rPr>
          <w:rFonts w:ascii="Calibri" w:cs="Calibri" w:eastAsia="Calibri" w:hAnsi="Calibri"/>
          <w:color w:val="1E2D24"/>
          <w:sz w:val="22"/>
          <w:szCs w:val="22"/>
        </w:rPr>
        <w:t xml:space="preserve">At each step: capture screenshot, DOM, network state; invoke step-specific analyzers.</w:t>
      </w:r>
    </w:p>
    <w:p>
      <w:pPr>
        <w:pStyle w:val="ListParagraph"/>
        <w:numPr>
          <w:ilvl w:val="0"/>
          <w:numId w:val="2"/>
        </w:numPr>
        <w:spacing w:after="80" w:line="276"/>
      </w:pPr>
      <w:r>
        <w:rPr>
          <w:rFonts w:ascii="Calibri" w:cs="Calibri" w:eastAsia="Calibri" w:hAnsi="Calibri"/>
          <w:color w:val="1E2D24"/>
          <w:sz w:val="22"/>
          <w:szCs w:val="22"/>
        </w:rPr>
        <w:t xml:space="preserve">Step findings accumulated into WorkflowStep[]; agent proceeds to next step.</w:t>
      </w:r>
    </w:p>
    <w:p>
      <w:pPr>
        <w:pStyle w:val="ListParagraph"/>
        <w:numPr>
          <w:ilvl w:val="0"/>
          <w:numId w:val="2"/>
        </w:numPr>
        <w:spacing w:after="80" w:line="276"/>
      </w:pPr>
      <w:r>
        <w:rPr>
          <w:rFonts w:ascii="Calibri" w:cs="Calibri" w:eastAsia="Calibri" w:hAnsi="Calibri"/>
          <w:color w:val="1E2D24"/>
          <w:sz w:val="22"/>
          <w:szCs w:val="22"/>
        </w:rPr>
        <w:t xml:space="preserve">On workflow completion, aggregate all patterns across steps; calculate final score.</w:t>
      </w:r>
    </w:p>
    <w:p>
      <w:pPr>
        <w:pStyle w:val="ListParagraph"/>
        <w:numPr>
          <w:ilvl w:val="0"/>
          <w:numId w:val="2"/>
        </w:numPr>
        <w:spacing w:after="80" w:line="276"/>
      </w:pPr>
      <w:r>
        <w:rPr>
          <w:rFonts w:ascii="Calibri" w:cs="Calibri" w:eastAsia="Calibri" w:hAnsi="Calibri"/>
          <w:color w:val="1E2D24"/>
          <w:sz w:val="22"/>
          <w:szCs w:val="22"/>
        </w:rPr>
        <w:t xml:space="preserve">Generate ScanResult with full evidence trail; persist; notify user.</w:t>
      </w:r>
    </w:p>
    <w:p>
      <w:pPr>
        <w:pStyle w:val="Heading2"/>
      </w:pPr>
      <w:r>
        <w:t xml:space="preserve">7.4 LLM Architecture</w:t>
      </w:r>
    </w:p>
    <w:p>
      <w:pPr>
        <w:spacing w:after="120" w:line="276"/>
      </w:pPr>
      <w:r>
        <w:rPr>
          <w:rFonts w:ascii="Calibri" w:cs="Calibri" w:eastAsia="Calibri" w:hAnsi="Calibri"/>
          <w:color w:val="1E2D24"/>
          <w:sz w:val="22"/>
          <w:szCs w:val="22"/>
        </w:rPr>
        <w:t xml:space="preserve">Trusten’s LLM layer is tiered and provider-agnostic: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Tier</w:t>
            </w:r>
          </w:p>
        </w:tc>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Model(s)</w:t>
            </w:r>
          </w:p>
        </w:tc>
        <w:tc>
          <w:tcPr>
            <w:tcW w:type="dxa" w:w="32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Use Case</w:t>
            </w:r>
          </w:p>
        </w:tc>
        <w:tc>
          <w:tcPr>
            <w:tcW w:type="dxa" w:w="1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Cost</w:t>
            </w:r>
          </w:p>
        </w:tc>
      </w:tr>
      <w:tr>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T1: Fine-Tuned Classifiers</w:t>
            </w:r>
          </w:p>
        </w:tc>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DeBERTa, DistilBERT (in-house)</w:t>
            </w:r>
          </w:p>
        </w:tc>
        <w:tc>
          <w:tcPr>
            <w:tcW w:type="dxa" w:w="3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High-throughput binary classification of UI elements (~70% of detections)</w:t>
            </w:r>
          </w:p>
        </w:tc>
        <w:tc>
          <w:tcPr>
            <w:tcW w:type="dxa" w:w="1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Sub-cent per 1K elements</w:t>
            </w:r>
          </w:p>
        </w:tc>
      </w:tr>
      <w:tr>
        <w:tc>
          <w:tcPr>
            <w:tcW w:type="dxa" w:w="1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T2: Semantic Analysis</w:t>
            </w:r>
          </w:p>
        </w:tc>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Claude Sonnet (primary), GPT-4o (secondary)</w:t>
            </w:r>
          </w:p>
        </w:tc>
        <w:tc>
          <w:tcPr>
            <w:tcW w:type="dxa" w:w="3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Confirmshaming, trick wording, context-dependent patterns</w:t>
            </w:r>
          </w:p>
        </w:tc>
        <w:tc>
          <w:tcPr>
            <w:tcW w:type="dxa" w:w="1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~$0.005 per scan</w:t>
            </w:r>
          </w:p>
        </w:tc>
      </w:tr>
      <w:tr>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T3: Visual Analysis</w:t>
            </w:r>
          </w:p>
        </w:tc>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GPT-4o vision, Claude Sonnet vision</w:t>
            </w:r>
          </w:p>
        </w:tc>
        <w:tc>
          <w:tcPr>
            <w:tcW w:type="dxa" w:w="3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Visual interference, disguised ads, layout deception</w:t>
            </w:r>
          </w:p>
        </w:tc>
        <w:tc>
          <w:tcPr>
            <w:tcW w:type="dxa" w:w="1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~$0.01 per scan</w:t>
            </w:r>
          </w:p>
        </w:tc>
      </w:tr>
      <w:tr>
        <w:tc>
          <w:tcPr>
            <w:tcW w:type="dxa" w:w="1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T4: Regulatory Reasoning</w:t>
            </w:r>
          </w:p>
        </w:tc>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Claude Opus</w:t>
            </w:r>
          </w:p>
        </w:tc>
        <w:tc>
          <w:tcPr>
            <w:tcW w:type="dxa" w:w="32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Complex legal mapping for audit reports</w:t>
            </w:r>
          </w:p>
        </w:tc>
        <w:tc>
          <w:tcPr>
            <w:tcW w:type="dxa" w:w="1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~$0.05 per audit</w:t>
            </w:r>
          </w:p>
        </w:tc>
      </w:tr>
      <w:tr>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Consensus Engine</w:t>
            </w:r>
          </w:p>
        </w:tc>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Orchestration layer</w:t>
            </w:r>
          </w:p>
        </w:tc>
        <w:tc>
          <w:tcPr>
            <w:tcW w:type="dxa" w:w="32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Requires 2+ T2/T3 models to agree on high-severity flags</w:t>
            </w:r>
          </w:p>
        </w:tc>
        <w:tc>
          <w:tcPr>
            <w:tcW w:type="dxa" w:w="1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N/A (cost is sum of T2/T3)</w:t>
            </w:r>
          </w:p>
        </w:tc>
      </w:tr>
    </w:tbl>
    <w:p>
      <w:pPr>
        <w:pStyle w:val="Heading2"/>
      </w:pPr>
      <w:r>
        <w:t xml:space="preserve">7.5 Dependencies</w:t>
      </w:r>
    </w:p>
    <w:p>
      <w:pPr>
        <w:pStyle w:val="ListParagraph"/>
        <w:numPr>
          <w:ilvl w:val="0"/>
          <w:numId w:val="2"/>
        </w:numPr>
        <w:spacing w:after="80" w:line="276"/>
      </w:pPr>
      <w:r>
        <w:rPr>
          <w:rFonts w:ascii="Calibri" w:cs="Calibri" w:eastAsia="Calibri" w:hAnsi="Calibri"/>
          <w:b/>
          <w:bCs/>
          <w:color w:val="1E2D24"/>
          <w:sz w:val="22"/>
          <w:szCs w:val="22"/>
        </w:rPr>
        <w:t xml:space="preserve">BrowserOS (forked): </w:t>
      </w:r>
      <w:r>
        <w:rPr>
          <w:rFonts w:ascii="Calibri" w:cs="Calibri" w:eastAsia="Calibri" w:hAnsi="Calibri"/>
          <w:color w:val="1E2D24"/>
          <w:sz w:val="22"/>
          <w:szCs w:val="22"/>
        </w:rPr>
        <w:t xml:space="preserve">Open-source Chromium fork with agent platform. We maintain a Trusten fork with custom workflows.</w:t>
      </w:r>
    </w:p>
    <w:p>
      <w:pPr>
        <w:pStyle w:val="ListParagraph"/>
        <w:numPr>
          <w:ilvl w:val="0"/>
          <w:numId w:val="2"/>
        </w:numPr>
        <w:spacing w:after="80" w:line="276"/>
      </w:pPr>
      <w:r>
        <w:rPr>
          <w:rFonts w:ascii="Calibri" w:cs="Calibri" w:eastAsia="Calibri" w:hAnsi="Calibri"/>
          <w:b/>
          <w:bCs/>
          <w:color w:val="1E2D24"/>
          <w:sz w:val="22"/>
          <w:szCs w:val="22"/>
        </w:rPr>
        <w:t xml:space="preserve">Anthropic API: </w:t>
      </w:r>
      <w:r>
        <w:rPr>
          <w:rFonts w:ascii="Calibri" w:cs="Calibri" w:eastAsia="Calibri" w:hAnsi="Calibri"/>
          <w:color w:val="1E2D24"/>
          <w:sz w:val="22"/>
          <w:szCs w:val="22"/>
        </w:rPr>
        <w:t xml:space="preserve">Claude Sonnet and Opus for semantic and regulatory analysis.</w:t>
      </w:r>
    </w:p>
    <w:p>
      <w:pPr>
        <w:pStyle w:val="ListParagraph"/>
        <w:numPr>
          <w:ilvl w:val="0"/>
          <w:numId w:val="2"/>
        </w:numPr>
        <w:spacing w:after="80" w:line="276"/>
      </w:pPr>
      <w:r>
        <w:rPr>
          <w:rFonts w:ascii="Calibri" w:cs="Calibri" w:eastAsia="Calibri" w:hAnsi="Calibri"/>
          <w:b/>
          <w:bCs/>
          <w:color w:val="1E2D24"/>
          <w:sz w:val="22"/>
          <w:szCs w:val="22"/>
        </w:rPr>
        <w:t xml:space="preserve">OpenAI API: </w:t>
      </w:r>
      <w:r>
        <w:rPr>
          <w:rFonts w:ascii="Calibri" w:cs="Calibri" w:eastAsia="Calibri" w:hAnsi="Calibri"/>
          <w:color w:val="1E2D24"/>
          <w:sz w:val="22"/>
          <w:szCs w:val="22"/>
        </w:rPr>
        <w:t xml:space="preserve">GPT-4o for vision-based detection and consensus validation.</w:t>
      </w:r>
    </w:p>
    <w:p>
      <w:pPr>
        <w:pStyle w:val="ListParagraph"/>
        <w:numPr>
          <w:ilvl w:val="0"/>
          <w:numId w:val="2"/>
        </w:numPr>
        <w:spacing w:after="80" w:line="276"/>
      </w:pPr>
      <w:r>
        <w:rPr>
          <w:rFonts w:ascii="Calibri" w:cs="Calibri" w:eastAsia="Calibri" w:hAnsi="Calibri"/>
          <w:b/>
          <w:bCs/>
          <w:color w:val="1E2D24"/>
          <w:sz w:val="22"/>
          <w:szCs w:val="22"/>
        </w:rPr>
        <w:t xml:space="preserve">Stripe: </w:t>
      </w:r>
      <w:r>
        <w:rPr>
          <w:rFonts w:ascii="Calibri" w:cs="Calibri" w:eastAsia="Calibri" w:hAnsi="Calibri"/>
          <w:color w:val="1E2D24"/>
          <w:sz w:val="22"/>
          <w:szCs w:val="22"/>
        </w:rPr>
        <w:t xml:space="preserve">Payment processing for subscriptions and audit purchases.</w:t>
      </w:r>
    </w:p>
    <w:p>
      <w:pPr>
        <w:pStyle w:val="ListParagraph"/>
        <w:numPr>
          <w:ilvl w:val="0"/>
          <w:numId w:val="2"/>
        </w:numPr>
        <w:spacing w:after="80" w:line="276"/>
      </w:pPr>
      <w:r>
        <w:rPr>
          <w:rFonts w:ascii="Calibri" w:cs="Calibri" w:eastAsia="Calibri" w:hAnsi="Calibri"/>
          <w:b/>
          <w:bCs/>
          <w:color w:val="1E2D24"/>
          <w:sz w:val="22"/>
          <w:szCs w:val="22"/>
        </w:rPr>
        <w:t xml:space="preserve">AWS: </w:t>
      </w:r>
      <w:r>
        <w:rPr>
          <w:rFonts w:ascii="Calibri" w:cs="Calibri" w:eastAsia="Calibri" w:hAnsi="Calibri"/>
          <w:color w:val="1E2D24"/>
          <w:sz w:val="22"/>
          <w:szCs w:val="22"/>
        </w:rPr>
        <w:t xml:space="preserve">ECS Fargate (compute), RDS (PostgreSQL), S3 (storage), CloudFront (CDN).</w:t>
      </w:r>
    </w:p>
    <w:p>
      <w:pPr>
        <w:pStyle w:val="ListParagraph"/>
        <w:numPr>
          <w:ilvl w:val="0"/>
          <w:numId w:val="2"/>
        </w:numPr>
        <w:spacing w:after="80" w:line="276"/>
      </w:pPr>
      <w:r>
        <w:rPr>
          <w:rFonts w:ascii="Calibri" w:cs="Calibri" w:eastAsia="Calibri" w:hAnsi="Calibri"/>
          <w:b/>
          <w:bCs/>
          <w:color w:val="1E2D24"/>
          <w:sz w:val="22"/>
          <w:szCs w:val="22"/>
        </w:rPr>
        <w:t xml:space="preserve">Vercel: </w:t>
      </w:r>
      <w:r>
        <w:rPr>
          <w:rFonts w:ascii="Calibri" w:cs="Calibri" w:eastAsia="Calibri" w:hAnsi="Calibri"/>
          <w:color w:val="1E2D24"/>
          <w:sz w:val="22"/>
          <w:szCs w:val="22"/>
        </w:rPr>
        <w:t xml:space="preserve">Dashboard hosting (Next.js).</w:t>
      </w:r>
    </w:p>
    <w:p>
      <w:pPr>
        <w:pStyle w:val="ListParagraph"/>
        <w:numPr>
          <w:ilvl w:val="0"/>
          <w:numId w:val="2"/>
        </w:numPr>
        <w:spacing w:after="80" w:line="276"/>
      </w:pPr>
      <w:r>
        <w:rPr>
          <w:rFonts w:ascii="Calibri" w:cs="Calibri" w:eastAsia="Calibri" w:hAnsi="Calibri"/>
          <w:b/>
          <w:bCs/>
          <w:color w:val="1E2D24"/>
          <w:sz w:val="22"/>
          <w:szCs w:val="22"/>
        </w:rPr>
        <w:t xml:space="preserve">Datadog: </w:t>
      </w:r>
      <w:r>
        <w:rPr>
          <w:rFonts w:ascii="Calibri" w:cs="Calibri" w:eastAsia="Calibri" w:hAnsi="Calibri"/>
          <w:color w:val="1E2D24"/>
          <w:sz w:val="22"/>
          <w:szCs w:val="22"/>
        </w:rPr>
        <w:t xml:space="preserve">APM, logging, alerting.</w:t>
      </w:r>
    </w:p>
    <w:p>
      <w:r>
        <w:br w:type="page"/>
      </w:r>
    </w:p>
    <w:p>
      <w:pPr>
        <w:pStyle w:val="Heading1"/>
      </w:pPr>
      <w:r>
        <w:t xml:space="preserve">8. UX Requirements</w:t>
      </w:r>
    </w:p>
    <w:p>
      <w:pPr>
        <w:spacing w:after="60"/>
      </w:pPr>
    </w:p>
    <w:p>
      <w:pPr>
        <w:pStyle w:val="Heading2"/>
      </w:pPr>
      <w:r>
        <w:t xml:space="preserve">8.1 Design Principles</w:t>
      </w:r>
    </w:p>
    <w:p>
      <w:pPr>
        <w:pStyle w:val="ListParagraph"/>
        <w:numPr>
          <w:ilvl w:val="0"/>
          <w:numId w:val="2"/>
        </w:numPr>
        <w:spacing w:after="80" w:line="276"/>
      </w:pPr>
      <w:r>
        <w:rPr>
          <w:rFonts w:ascii="Calibri" w:cs="Calibri" w:eastAsia="Calibri" w:hAnsi="Calibri"/>
          <w:b/>
          <w:bCs/>
          <w:color w:val="1E2D24"/>
          <w:sz w:val="22"/>
          <w:szCs w:val="22"/>
        </w:rPr>
        <w:t xml:space="preserve">Plain language over jargon: </w:t>
      </w:r>
      <w:r>
        <w:rPr>
          <w:rFonts w:ascii="Calibri" w:cs="Calibri" w:eastAsia="Calibri" w:hAnsi="Calibri"/>
          <w:color w:val="1E2D24"/>
          <w:sz w:val="22"/>
          <w:szCs w:val="22"/>
        </w:rPr>
        <w:t xml:space="preserve">Surfaces describe patterns in everyday terms (“guilt-trip language,” “fake countdown”) rather than academic terminology.</w:t>
      </w:r>
    </w:p>
    <w:p>
      <w:pPr>
        <w:pStyle w:val="ListParagraph"/>
        <w:numPr>
          <w:ilvl w:val="0"/>
          <w:numId w:val="2"/>
        </w:numPr>
        <w:spacing w:after="80" w:line="276"/>
      </w:pPr>
      <w:r>
        <w:rPr>
          <w:rFonts w:ascii="Calibri" w:cs="Calibri" w:eastAsia="Calibri" w:hAnsi="Calibri"/>
          <w:b/>
          <w:bCs/>
          <w:color w:val="1E2D24"/>
          <w:sz w:val="22"/>
          <w:szCs w:val="22"/>
        </w:rPr>
        <w:t xml:space="preserve">Evidence over assertion: </w:t>
      </w:r>
      <w:r>
        <w:rPr>
          <w:rFonts w:ascii="Calibri" w:cs="Calibri" w:eastAsia="Calibri" w:hAnsi="Calibri"/>
          <w:color w:val="1E2D24"/>
          <w:sz w:val="22"/>
          <w:szCs w:val="22"/>
        </w:rPr>
        <w:t xml:space="preserve">Every finding is paired with visible proof (screenshot, DOM fragment). Users never have to take Trusten’s word for it.</w:t>
      </w:r>
    </w:p>
    <w:p>
      <w:pPr>
        <w:pStyle w:val="ListParagraph"/>
        <w:numPr>
          <w:ilvl w:val="0"/>
          <w:numId w:val="2"/>
        </w:numPr>
        <w:spacing w:after="80" w:line="276"/>
      </w:pPr>
      <w:r>
        <w:rPr>
          <w:rFonts w:ascii="Calibri" w:cs="Calibri" w:eastAsia="Calibri" w:hAnsi="Calibri"/>
          <w:b/>
          <w:bCs/>
          <w:color w:val="1E2D24"/>
          <w:sz w:val="22"/>
          <w:szCs w:val="22"/>
        </w:rPr>
        <w:t xml:space="preserve">Glanceable trust: </w:t>
      </w:r>
      <w:r>
        <w:rPr>
          <w:rFonts w:ascii="Calibri" w:cs="Calibri" w:eastAsia="Calibri" w:hAnsi="Calibri"/>
          <w:color w:val="1E2D24"/>
          <w:sz w:val="22"/>
          <w:szCs w:val="22"/>
        </w:rPr>
        <w:t xml:space="preserve">The A–F grade is the primary surface. Sophistication is available on demand for users who want depth.</w:t>
      </w:r>
    </w:p>
    <w:p>
      <w:pPr>
        <w:pStyle w:val="ListParagraph"/>
        <w:numPr>
          <w:ilvl w:val="0"/>
          <w:numId w:val="2"/>
        </w:numPr>
        <w:spacing w:after="80" w:line="276"/>
      </w:pPr>
      <w:r>
        <w:rPr>
          <w:rFonts w:ascii="Calibri" w:cs="Calibri" w:eastAsia="Calibri" w:hAnsi="Calibri"/>
          <w:b/>
          <w:bCs/>
          <w:color w:val="1E2D24"/>
          <w:sz w:val="22"/>
          <w:szCs w:val="22"/>
        </w:rPr>
        <w:t xml:space="preserve">Action over information: </w:t>
      </w:r>
      <w:r>
        <w:rPr>
          <w:rFonts w:ascii="Calibri" w:cs="Calibri" w:eastAsia="Calibri" w:hAnsi="Calibri"/>
          <w:color w:val="1E2D24"/>
          <w:sz w:val="22"/>
          <w:szCs w:val="22"/>
        </w:rPr>
        <w:t xml:space="preserve">Surface what a user can do (skip the site, complete cancellation with eyes open, demand a refund) not just what was found.</w:t>
      </w:r>
    </w:p>
    <w:p>
      <w:pPr>
        <w:pStyle w:val="Heading2"/>
      </w:pPr>
      <w:r>
        <w:t xml:space="preserve">8.2 Browser Extension UX</w:t>
      </w:r>
    </w:p>
    <w:p>
      <w:pPr>
        <w:pStyle w:val="ListParagraph"/>
        <w:numPr>
          <w:ilvl w:val="0"/>
          <w:numId w:val="2"/>
        </w:numPr>
        <w:spacing w:after="80" w:line="276"/>
      </w:pPr>
      <w:r>
        <w:rPr>
          <w:rFonts w:ascii="Calibri" w:cs="Calibri" w:eastAsia="Calibri" w:hAnsi="Calibri"/>
          <w:color w:val="1E2D24"/>
          <w:sz w:val="22"/>
          <w:szCs w:val="22"/>
        </w:rPr>
        <w:t xml:space="preserve">Extension icon badge displays the current page’s trust grade if a recent scan exists (color-coded: green A/B, yellow C, red D/F).</w:t>
      </w:r>
    </w:p>
    <w:p>
      <w:pPr>
        <w:pStyle w:val="ListParagraph"/>
        <w:numPr>
          <w:ilvl w:val="0"/>
          <w:numId w:val="2"/>
        </w:numPr>
        <w:spacing w:after="80" w:line="276"/>
      </w:pPr>
      <w:r>
        <w:rPr>
          <w:rFonts w:ascii="Calibri" w:cs="Calibri" w:eastAsia="Calibri" w:hAnsi="Calibri"/>
          <w:color w:val="1E2D24"/>
          <w:sz w:val="22"/>
          <w:szCs w:val="22"/>
        </w:rPr>
        <w:t xml:space="preserve">Clicking the icon opens a popover panel; “Scan This Page” button initiates a new scan.</w:t>
      </w:r>
    </w:p>
    <w:p>
      <w:pPr>
        <w:pStyle w:val="ListParagraph"/>
        <w:numPr>
          <w:ilvl w:val="0"/>
          <w:numId w:val="2"/>
        </w:numPr>
        <w:spacing w:after="80" w:line="276"/>
      </w:pPr>
      <w:r>
        <w:rPr>
          <w:rFonts w:ascii="Calibri" w:cs="Calibri" w:eastAsia="Calibri" w:hAnsi="Calibri"/>
          <w:color w:val="1E2D24"/>
          <w:sz w:val="22"/>
          <w:szCs w:val="22"/>
        </w:rPr>
        <w:t xml:space="preserve">During scan: loading state with progress messages (“Checking for fake urgency...”, “Analyzing checkout flow...”).</w:t>
      </w:r>
    </w:p>
    <w:p>
      <w:pPr>
        <w:pStyle w:val="ListParagraph"/>
        <w:numPr>
          <w:ilvl w:val="0"/>
          <w:numId w:val="2"/>
        </w:numPr>
        <w:spacing w:after="80" w:line="276"/>
      </w:pPr>
      <w:r>
        <w:rPr>
          <w:rFonts w:ascii="Calibri" w:cs="Calibri" w:eastAsia="Calibri" w:hAnsi="Calibri"/>
          <w:color w:val="1E2D24"/>
          <w:sz w:val="22"/>
          <w:szCs w:val="22"/>
        </w:rPr>
        <w:t xml:space="preserve">Result view: prominent grade letter, numerical score, summary sentence, scrollable pattern list.</w:t>
      </w:r>
    </w:p>
    <w:p>
      <w:pPr>
        <w:pStyle w:val="ListParagraph"/>
        <w:numPr>
          <w:ilvl w:val="0"/>
          <w:numId w:val="2"/>
        </w:numPr>
        <w:spacing w:after="80" w:line="276"/>
      </w:pPr>
      <w:r>
        <w:rPr>
          <w:rFonts w:ascii="Calibri" w:cs="Calibri" w:eastAsia="Calibri" w:hAnsi="Calibri"/>
          <w:color w:val="1E2D24"/>
          <w:sz w:val="22"/>
          <w:szCs w:val="22"/>
        </w:rPr>
        <w:t xml:space="preserve">Each pattern shows: severity icon, plain-language name, 1-sentence description, “See evidence” link.</w:t>
      </w:r>
    </w:p>
    <w:p>
      <w:pPr>
        <w:pStyle w:val="ListParagraph"/>
        <w:numPr>
          <w:ilvl w:val="0"/>
          <w:numId w:val="2"/>
        </w:numPr>
        <w:spacing w:after="80" w:line="276"/>
      </w:pPr>
      <w:r>
        <w:rPr>
          <w:rFonts w:ascii="Calibri" w:cs="Calibri" w:eastAsia="Calibri" w:hAnsi="Calibri"/>
          <w:color w:val="1E2D24"/>
          <w:sz w:val="22"/>
          <w:szCs w:val="22"/>
        </w:rPr>
        <w:t xml:space="preserve">Evidence drawer: annotated screenshot, regulatory mapping, plain-language explanation.</w:t>
      </w:r>
    </w:p>
    <w:p>
      <w:pPr>
        <w:pStyle w:val="ListParagraph"/>
        <w:numPr>
          <w:ilvl w:val="0"/>
          <w:numId w:val="2"/>
        </w:numPr>
        <w:spacing w:after="80" w:line="276"/>
      </w:pPr>
      <w:r>
        <w:rPr>
          <w:rFonts w:ascii="Calibri" w:cs="Calibri" w:eastAsia="Calibri" w:hAnsi="Calibri"/>
          <w:color w:val="1E2D24"/>
          <w:sz w:val="22"/>
          <w:szCs w:val="22"/>
        </w:rPr>
        <w:t xml:space="preserve">“Share” button generates a public scan URL.</w:t>
      </w:r>
    </w:p>
    <w:p>
      <w:pPr>
        <w:pStyle w:val="ListParagraph"/>
        <w:numPr>
          <w:ilvl w:val="0"/>
          <w:numId w:val="2"/>
        </w:numPr>
        <w:spacing w:after="80" w:line="276"/>
      </w:pPr>
      <w:r>
        <w:rPr>
          <w:rFonts w:ascii="Calibri" w:cs="Calibri" w:eastAsia="Calibri" w:hAnsi="Calibri"/>
          <w:color w:val="1E2D24"/>
          <w:sz w:val="22"/>
          <w:szCs w:val="22"/>
        </w:rPr>
        <w:t xml:space="preserve">“Open Dashboard” button deep-links to the full results view.</w:t>
      </w:r>
    </w:p>
    <w:p>
      <w:pPr>
        <w:pStyle w:val="Heading2"/>
      </w:pPr>
      <w:r>
        <w:t xml:space="preserve">8.3 Dashboard UX</w:t>
      </w:r>
    </w:p>
    <w:p>
      <w:pPr>
        <w:pStyle w:val="ListParagraph"/>
        <w:numPr>
          <w:ilvl w:val="0"/>
          <w:numId w:val="2"/>
        </w:numPr>
        <w:spacing w:after="80" w:line="276"/>
      </w:pPr>
      <w:r>
        <w:rPr>
          <w:rFonts w:ascii="Calibri" w:cs="Calibri" w:eastAsia="Calibri" w:hAnsi="Calibri"/>
          <w:b/>
          <w:bCs/>
          <w:color w:val="1E2D24"/>
          <w:sz w:val="22"/>
          <w:szCs w:val="22"/>
        </w:rPr>
        <w:t xml:space="preserve">Scan Results page: </w:t>
      </w:r>
      <w:r>
        <w:rPr>
          <w:rFonts w:ascii="Calibri" w:cs="Calibri" w:eastAsia="Calibri" w:hAnsi="Calibri"/>
          <w:color w:val="1E2D24"/>
          <w:sz w:val="22"/>
          <w:szCs w:val="22"/>
        </w:rPr>
        <w:t xml:space="preserve">Prominent grade, scan metadata (URL, date, scan type), filterable pattern list, evidence gallery.</w:t>
      </w:r>
    </w:p>
    <w:p>
      <w:pPr>
        <w:pStyle w:val="ListParagraph"/>
        <w:numPr>
          <w:ilvl w:val="0"/>
          <w:numId w:val="2"/>
        </w:numPr>
        <w:spacing w:after="80" w:line="276"/>
      </w:pPr>
      <w:r>
        <w:rPr>
          <w:rFonts w:ascii="Calibri" w:cs="Calibri" w:eastAsia="Calibri" w:hAnsi="Calibri"/>
          <w:b/>
          <w:bCs/>
          <w:color w:val="1E2D24"/>
          <w:sz w:val="22"/>
          <w:szCs w:val="22"/>
        </w:rPr>
        <w:t xml:space="preserve">Workflow Timeline page (Deep Scan): </w:t>
      </w:r>
      <w:r>
        <w:rPr>
          <w:rFonts w:ascii="Calibri" w:cs="Calibri" w:eastAsia="Calibri" w:hAnsi="Calibri"/>
          <w:color w:val="1E2D24"/>
          <w:sz w:val="22"/>
          <w:szCs w:val="22"/>
        </w:rPr>
        <w:t xml:space="preserve">Step-by-step horizontal timeline with screenshot per step and findings overlaid.</w:t>
      </w:r>
    </w:p>
    <w:p>
      <w:pPr>
        <w:pStyle w:val="ListParagraph"/>
        <w:numPr>
          <w:ilvl w:val="0"/>
          <w:numId w:val="2"/>
        </w:numPr>
        <w:spacing w:after="80" w:line="276"/>
      </w:pPr>
      <w:r>
        <w:rPr>
          <w:rFonts w:ascii="Calibri" w:cs="Calibri" w:eastAsia="Calibri" w:hAnsi="Calibri"/>
          <w:b/>
          <w:bCs/>
          <w:color w:val="1E2D24"/>
          <w:sz w:val="22"/>
          <w:szCs w:val="22"/>
        </w:rPr>
        <w:t xml:space="preserve">Regulatory View page: </w:t>
      </w:r>
      <w:r>
        <w:rPr>
          <w:rFonts w:ascii="Calibri" w:cs="Calibri" w:eastAsia="Calibri" w:hAnsi="Calibri"/>
          <w:color w:val="1E2D24"/>
          <w:sz w:val="22"/>
          <w:szCs w:val="22"/>
        </w:rPr>
        <w:t xml:space="preserve">Findings grouped by regulation; each violation shows the specific article and which patterns triggered it.</w:t>
      </w:r>
    </w:p>
    <w:p>
      <w:pPr>
        <w:pStyle w:val="ListParagraph"/>
        <w:numPr>
          <w:ilvl w:val="0"/>
          <w:numId w:val="2"/>
        </w:numPr>
        <w:spacing w:after="80" w:line="276"/>
      </w:pPr>
      <w:r>
        <w:rPr>
          <w:rFonts w:ascii="Calibri" w:cs="Calibri" w:eastAsia="Calibri" w:hAnsi="Calibri"/>
          <w:b/>
          <w:bCs/>
          <w:color w:val="1E2D24"/>
          <w:sz w:val="22"/>
          <w:szCs w:val="22"/>
        </w:rPr>
        <w:t xml:space="preserve">Historical Tracking page (Business+): </w:t>
      </w:r>
      <w:r>
        <w:rPr>
          <w:rFonts w:ascii="Calibri" w:cs="Calibri" w:eastAsia="Calibri" w:hAnsi="Calibri"/>
          <w:color w:val="1E2D24"/>
          <w:sz w:val="22"/>
          <w:szCs w:val="22"/>
        </w:rPr>
        <w:t xml:space="preserve">Line chart of trust score over time for tracked companies; alerts feed for new patterns.</w:t>
      </w:r>
    </w:p>
    <w:p>
      <w:pPr>
        <w:pStyle w:val="ListParagraph"/>
        <w:numPr>
          <w:ilvl w:val="0"/>
          <w:numId w:val="2"/>
        </w:numPr>
        <w:spacing w:after="80" w:line="276"/>
      </w:pPr>
      <w:r>
        <w:rPr>
          <w:rFonts w:ascii="Calibri" w:cs="Calibri" w:eastAsia="Calibri" w:hAnsi="Calibri"/>
          <w:b/>
          <w:bCs/>
          <w:color w:val="1E2D24"/>
          <w:sz w:val="22"/>
          <w:szCs w:val="22"/>
        </w:rPr>
        <w:t xml:space="preserve">Comparison page (Business+): </w:t>
      </w:r>
      <w:r>
        <w:rPr>
          <w:rFonts w:ascii="Calibri" w:cs="Calibri" w:eastAsia="Calibri" w:hAnsi="Calibri"/>
          <w:color w:val="1E2D24"/>
          <w:sz w:val="22"/>
          <w:szCs w:val="22"/>
        </w:rPr>
        <w:t xml:space="preserve">Side-by-side scan results for multiple companies in the same vertical.</w:t>
      </w:r>
    </w:p>
    <w:p>
      <w:pPr>
        <w:pStyle w:val="ListParagraph"/>
        <w:numPr>
          <w:ilvl w:val="0"/>
          <w:numId w:val="2"/>
        </w:numPr>
        <w:spacing w:after="80" w:line="276"/>
      </w:pPr>
      <w:r>
        <w:rPr>
          <w:rFonts w:ascii="Calibri" w:cs="Calibri" w:eastAsia="Calibri" w:hAnsi="Calibri"/>
          <w:b/>
          <w:bCs/>
          <w:color w:val="1E2D24"/>
          <w:sz w:val="22"/>
          <w:szCs w:val="22"/>
        </w:rPr>
        <w:t xml:space="preserve">Trusten Certified Badge Verification page: </w:t>
      </w:r>
      <w:r>
        <w:rPr>
          <w:rFonts w:ascii="Calibri" w:cs="Calibri" w:eastAsia="Calibri" w:hAnsi="Calibri"/>
          <w:color w:val="1E2D24"/>
          <w:sz w:val="22"/>
          <w:szCs w:val="22"/>
        </w:rPr>
        <w:t xml:space="preserve">Public-facing verification of audit-issued badges.</w:t>
      </w:r>
    </w:p>
    <w:p>
      <w:pPr>
        <w:pStyle w:val="Heading2"/>
      </w:pPr>
      <w:r>
        <w:t xml:space="preserve">8.4 Accessibility</w:t>
      </w:r>
    </w:p>
    <w:p>
      <w:pPr>
        <w:pStyle w:val="ListParagraph"/>
        <w:numPr>
          <w:ilvl w:val="0"/>
          <w:numId w:val="2"/>
        </w:numPr>
        <w:spacing w:after="80" w:line="276"/>
      </w:pPr>
      <w:r>
        <w:rPr>
          <w:rFonts w:ascii="Calibri" w:cs="Calibri" w:eastAsia="Calibri" w:hAnsi="Calibri"/>
          <w:color w:val="1E2D24"/>
          <w:sz w:val="22"/>
          <w:szCs w:val="22"/>
        </w:rPr>
        <w:t xml:space="preserve">WCAG 2.1 AA compliance for all consumer-facing surfaces.</w:t>
      </w:r>
    </w:p>
    <w:p>
      <w:pPr>
        <w:pStyle w:val="ListParagraph"/>
        <w:numPr>
          <w:ilvl w:val="0"/>
          <w:numId w:val="2"/>
        </w:numPr>
        <w:spacing w:after="80" w:line="276"/>
      </w:pPr>
      <w:r>
        <w:rPr>
          <w:rFonts w:ascii="Calibri" w:cs="Calibri" w:eastAsia="Calibri" w:hAnsi="Calibri"/>
          <w:color w:val="1E2D24"/>
          <w:sz w:val="22"/>
          <w:szCs w:val="22"/>
        </w:rPr>
        <w:t xml:space="preserve">Keyboard navigation for all interactive elements.</w:t>
      </w:r>
    </w:p>
    <w:p>
      <w:pPr>
        <w:pStyle w:val="ListParagraph"/>
        <w:numPr>
          <w:ilvl w:val="0"/>
          <w:numId w:val="2"/>
        </w:numPr>
        <w:spacing w:after="80" w:line="276"/>
      </w:pPr>
      <w:r>
        <w:rPr>
          <w:rFonts w:ascii="Calibri" w:cs="Calibri" w:eastAsia="Calibri" w:hAnsi="Calibri"/>
          <w:color w:val="1E2D24"/>
          <w:sz w:val="22"/>
          <w:szCs w:val="22"/>
        </w:rPr>
        <w:t xml:space="preserve">Screen reader support with semantic HTML and ARIA labels.</w:t>
      </w:r>
    </w:p>
    <w:p>
      <w:pPr>
        <w:pStyle w:val="ListParagraph"/>
        <w:numPr>
          <w:ilvl w:val="0"/>
          <w:numId w:val="2"/>
        </w:numPr>
        <w:spacing w:after="80" w:line="276"/>
      </w:pPr>
      <w:r>
        <w:rPr>
          <w:rFonts w:ascii="Calibri" w:cs="Calibri" w:eastAsia="Calibri" w:hAnsi="Calibri"/>
          <w:color w:val="1E2D24"/>
          <w:sz w:val="22"/>
          <w:szCs w:val="22"/>
        </w:rPr>
        <w:t xml:space="preserve">Color is never the sole indicator (grades paired with letters; severity icons paired with text).</w:t>
      </w:r>
    </w:p>
    <w:p>
      <w:pPr>
        <w:pStyle w:val="ListParagraph"/>
        <w:numPr>
          <w:ilvl w:val="0"/>
          <w:numId w:val="2"/>
        </w:numPr>
        <w:spacing w:after="80" w:line="276"/>
      </w:pPr>
      <w:r>
        <w:rPr>
          <w:rFonts w:ascii="Calibri" w:cs="Calibri" w:eastAsia="Calibri" w:hAnsi="Calibri"/>
          <w:color w:val="1E2D24"/>
          <w:sz w:val="22"/>
          <w:szCs w:val="22"/>
        </w:rPr>
        <w:t xml:space="preserve">Reduced-motion mode honored.</w:t>
      </w:r>
    </w:p>
    <w:p>
      <w:r>
        <w:br w:type="page"/>
      </w:r>
    </w:p>
    <w:p>
      <w:pPr>
        <w:pStyle w:val="Heading1"/>
      </w:pPr>
      <w:r>
        <w:t xml:space="preserve">9. Success Metrics</w:t>
      </w:r>
    </w:p>
    <w:p>
      <w:pPr>
        <w:spacing w:after="60"/>
      </w:pPr>
    </w:p>
    <w:p>
      <w:pPr>
        <w:pStyle w:val="Heading2"/>
      </w:pPr>
      <w:r>
        <w:t xml:space="preserve">9.1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D8B5E" w:sz="8"/>
              <w:left w:val="single" w:color="2D8B5E" w:sz="8"/>
              <w:bottom w:val="single" w:color="2D8B5E" w:sz="8"/>
              <w:right w:val="single" w:color="2D8B5E" w:sz="8"/>
            </w:tcBorders>
            <w:shd w:fill="D4EDDA" w:val="clear"/>
            <w:tcMar>
              <w:top w:type="dxa" w:w="180"/>
              <w:left w:type="dxa" w:w="240"/>
              <w:bottom w:type="dxa" w:w="180"/>
              <w:right w:type="dxa" w:w="240"/>
            </w:tcMar>
          </w:tcPr>
          <w:p>
            <w:pPr>
              <w:spacing w:after="0"/>
            </w:pPr>
            <w:r>
              <w:rPr>
                <w:rFonts w:ascii="Calibri" w:cs="Calibri" w:eastAsia="Calibri" w:hAnsi="Calibri"/>
                <w:b/>
                <w:bCs/>
                <w:color w:val="1E2D24"/>
                <w:sz w:val="21"/>
                <w:szCs w:val="21"/>
              </w:rPr>
              <w:t xml:space="preserve">Weekly Active Scans (WAS): </w:t>
            </w:r>
            <w:r>
              <w:rPr>
                <w:rFonts w:ascii="Calibri" w:cs="Calibri" w:eastAsia="Calibri" w:hAnsi="Calibri"/>
                <w:color w:val="1E2D24"/>
                <w:sz w:val="21"/>
                <w:szCs w:val="21"/>
              </w:rPr>
              <w:t xml:space="preserve">The total number of scans (Quick + Deep) performed by active users per week. This single metric captures both adoption (users) and engagement (scan frequency) — the two leading indicators of Trusten’s long-term success.</w:t>
            </w:r>
          </w:p>
        </w:tc>
      </w:tr>
    </w:tbl>
    <w:p>
      <w:pPr>
        <w:spacing w:after="180"/>
      </w:pPr>
    </w:p>
    <w:p>
      <w:pPr>
        <w:pStyle w:val="Heading2"/>
      </w:pPr>
      <w:r>
        <w:t xml:space="preserve">9.2 Activation Metrics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tcW w:type="dxa" w:w="25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MVP Target</w:t>
            </w:r>
          </w:p>
        </w:tc>
        <w:tc>
          <w:tcPr>
            <w:tcW w:type="dxa" w:w="25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Year 1 Target</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Extension installs</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5,000</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50,000</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of installs that complete first scan within 24h</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60%</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70%</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of installs that perform 3+ scans in first week</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30%</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40%</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Time to first scan (median)</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5 minutes</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3 minutes</w:t>
            </w:r>
          </w:p>
        </w:tc>
      </w:tr>
    </w:tbl>
    <w:p>
      <w:pPr>
        <w:spacing w:after="120"/>
      </w:pPr>
    </w:p>
    <w:p>
      <w:pPr>
        <w:pStyle w:val="Heading2"/>
      </w:pPr>
      <w:r>
        <w:t xml:space="preserve">9.3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tcW w:type="dxa" w:w="30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Target</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Weekly Active Scanners (WAS)</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25% of total installs</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Scans per active user per week</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4</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Evidence drawer open rate (% of patterns clicked)</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35%</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Share button click rate (% of scan results shared)</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Dashboard visit rate (% of extension users opening dashboard)</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20%</w:t>
            </w:r>
          </w:p>
        </w:tc>
      </w:tr>
    </w:tbl>
    <w:p>
      <w:pPr>
        <w:spacing w:after="120"/>
      </w:pPr>
    </w:p>
    <w:p>
      <w:pPr>
        <w:pStyle w:val="Heading2"/>
      </w:pPr>
      <w:r>
        <w:t xml:space="preserve">9.4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tcW w:type="dxa" w:w="30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Target</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precision (true positive rate)</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90%</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recall (catch rate)</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80%</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False positive rate (overall)</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False positive rate (severity ≥ high)</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3%</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User-reported “unfair score” appeals (% of scans)</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1%</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Chrome Web Store rating</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4.5 stars</w:t>
            </w:r>
          </w:p>
        </w:tc>
      </w:tr>
    </w:tbl>
    <w:p>
      <w:pPr>
        <w:spacing w:after="120"/>
      </w:pPr>
    </w:p>
    <w:p>
      <w:pPr>
        <w:pStyle w:val="Heading2"/>
      </w:pPr>
      <w:r>
        <w:t xml:space="preserve">9.5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tcW w:type="dxa" w:w="25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Year 1 Target</w:t>
            </w:r>
          </w:p>
        </w:tc>
        <w:tc>
          <w:tcPr>
            <w:tcW w:type="dxa" w:w="25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Year 3 Target</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Total MRR</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$30K</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$200K</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Free → Pro conversion</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3.5%</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4.5%</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 subscriber count</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1,500</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10,000</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Business subscriber count</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30</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250</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Enterprise contracts</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40</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Trusten Certified audits completed</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100+</w:t>
            </w:r>
          </w:p>
        </w:tc>
      </w:tr>
      <w:tr>
        <w:tc>
          <w:tcPr>
            <w:tcW w:type="dxa" w:w="4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Avg audit price</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$7,500</w:t>
            </w:r>
          </w:p>
        </w:tc>
        <w:tc>
          <w:tcPr>
            <w:tcW w:type="dxa" w:w="25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$15,000</w:t>
            </w:r>
          </w:p>
        </w:tc>
      </w:tr>
      <w:tr>
        <w:tc>
          <w:tcPr>
            <w:tcW w:type="dxa" w:w="4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LTV:CAC ratio (blended)</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5x</w:t>
            </w:r>
          </w:p>
        </w:tc>
        <w:tc>
          <w:tcPr>
            <w:tcW w:type="dxa" w:w="25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 8x</w:t>
            </w:r>
          </w:p>
        </w:tc>
      </w:tr>
    </w:tbl>
    <w:p>
      <w:pPr>
        <w:spacing w:after="120"/>
      </w:pPr>
    </w:p>
    <w:p>
      <w:pPr>
        <w:pStyle w:val="Heading2"/>
      </w:pPr>
      <w:r>
        <w:t xml:space="preserve">9.6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Metric</w:t>
            </w:r>
          </w:p>
        </w:tc>
        <w:tc>
          <w:tcPr>
            <w:tcW w:type="dxa" w:w="30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By Year 3</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Dark pattern instances removed (companies improving score after public report)</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500+</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Estimated consumer savings ($)</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$10M+</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Regulatory proceedings citing Trusten evidence</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w:t>
            </w:r>
          </w:p>
        </w:tc>
      </w:tr>
      <w:tr>
        <w:tc>
          <w:tcPr>
            <w:tcW w:type="dxa" w:w="63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Press articles citing Trusten data</w:t>
            </w:r>
          </w:p>
        </w:tc>
        <w:tc>
          <w:tcPr>
            <w:tcW w:type="dxa" w:w="3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100+</w:t>
            </w:r>
          </w:p>
        </w:tc>
      </w:tr>
      <w:tr>
        <w:tc>
          <w:tcPr>
            <w:tcW w:type="dxa" w:w="63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Companies displaying Trusten Certified seal</w:t>
            </w:r>
          </w:p>
        </w:tc>
        <w:tc>
          <w:tcPr>
            <w:tcW w:type="dxa" w:w="3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50+</w:t>
            </w:r>
          </w:p>
        </w:tc>
      </w:tr>
    </w:tbl>
    <w:p>
      <w:r>
        <w:br w:type="page"/>
      </w:r>
    </w:p>
    <w:p>
      <w:pPr>
        <w:pStyle w:val="Heading1"/>
      </w:pPr>
      <w:r>
        <w:t xml:space="preserve">10. Release Plan</w:t>
      </w:r>
    </w:p>
    <w:p>
      <w:pPr>
        <w:spacing w:after="60"/>
      </w:pPr>
    </w:p>
    <w:p>
      <w:pPr>
        <w:pStyle w:val="Heading2"/>
      </w:pPr>
      <w:r>
        <w:t xml:space="preserve">10.1 Phased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Release</w:t>
            </w:r>
          </w:p>
        </w:tc>
        <w:tc>
          <w:tcPr>
            <w:tcW w:type="dxa" w:w="1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Timeline</w:t>
            </w:r>
          </w:p>
        </w:tc>
        <w:tc>
          <w:tcPr>
            <w:tcW w:type="dxa" w:w="65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Key Capabilities</w:t>
            </w:r>
          </w:p>
        </w:tc>
      </w:tr>
      <w:tr>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MVP (v1.0)</w:t>
            </w:r>
          </w:p>
        </w:tc>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Q3 2026</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Browser extension (Quick Scan), 10 analyzers, basic dashboard, scoring, regulatory mapping, free + Pro tiers</w:t>
            </w:r>
          </w:p>
        </w:tc>
      </w:tr>
      <w:tr>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v1.1</w:t>
            </w:r>
          </w:p>
        </w:tc>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Q4 2026</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Deep Scan workflows (checkout, cancellation), evidence export, scan history</w:t>
            </w:r>
          </w:p>
        </w:tc>
      </w:tr>
      <w:tr>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v1.2</w:t>
            </w:r>
          </w:p>
        </w:tc>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Q1 2027</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Trusten Certified audit workflow, public badge verification page, audit dashboard, Business tier</w:t>
            </w:r>
          </w:p>
        </w:tc>
      </w:tr>
      <w:tr>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v1.3</w:t>
            </w:r>
          </w:p>
        </w:tc>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Q2 2027</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Enterprise features: API access, custom scoring, white-label, SLAs</w:t>
            </w:r>
          </w:p>
        </w:tc>
      </w:tr>
      <w:tr>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v1.4</w:t>
            </w:r>
          </w:p>
        </w:tc>
        <w:tc>
          <w:tcPr>
            <w:tcW w:type="dxa" w:w="1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Q3 2027</w:t>
            </w:r>
          </w:p>
        </w:tc>
        <w:tc>
          <w:tcPr>
            <w:tcW w:type="dxa" w:w="65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Cookie consent flow, signup flow workflows; multi-language regulatory mapping (EU, India)</w:t>
            </w:r>
          </w:p>
        </w:tc>
      </w:tr>
      <w:tr>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v2.0</w:t>
            </w:r>
          </w:p>
        </w:tc>
        <w:tc>
          <w:tcPr>
            <w:tcW w:type="dxa" w:w="1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Q4 2027+</w:t>
            </w:r>
          </w:p>
        </w:tc>
        <w:tc>
          <w:tcPr>
            <w:tcW w:type="dxa" w:w="65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Enshittification tracking and Shrinkflation detection (separate PRDs)</w:t>
            </w:r>
          </w:p>
        </w:tc>
      </w:tr>
    </w:tbl>
    <w:p>
      <w:pPr>
        <w:spacing w:after="120"/>
      </w:pPr>
    </w:p>
    <w:p>
      <w:pPr>
        <w:pStyle w:val="Heading2"/>
      </w:pPr>
      <w:r>
        <w:t xml:space="preserve">10.2 MVP Acceptance Criteria</w:t>
      </w:r>
    </w:p>
    <w:p>
      <w:pPr>
        <w:spacing w:after="120" w:line="276"/>
      </w:pPr>
      <w:r>
        <w:rPr>
          <w:rFonts w:ascii="Calibri" w:cs="Calibri" w:eastAsia="Calibri" w:hAnsi="Calibri"/>
          <w:color w:val="1E2D24"/>
          <w:sz w:val="22"/>
          <w:szCs w:val="22"/>
        </w:rPr>
        <w:t xml:space="preserve">MVP launches when ALL of the following are true:</w:t>
      </w:r>
    </w:p>
    <w:p>
      <w:pPr>
        <w:pStyle w:val="ListParagraph"/>
        <w:numPr>
          <w:ilvl w:val="0"/>
          <w:numId w:val="2"/>
        </w:numPr>
        <w:spacing w:after="80" w:line="276"/>
      </w:pPr>
      <w:r>
        <w:rPr>
          <w:rFonts w:ascii="Calibri" w:cs="Calibri" w:eastAsia="Calibri" w:hAnsi="Calibri"/>
          <w:color w:val="1E2D24"/>
          <w:sz w:val="22"/>
          <w:szCs w:val="22"/>
        </w:rPr>
        <w:t xml:space="preserve">All 10 analyzers shipped and passing test fixtures (precision ≥ 90%).</w:t>
      </w:r>
    </w:p>
    <w:p>
      <w:pPr>
        <w:pStyle w:val="ListParagraph"/>
        <w:numPr>
          <w:ilvl w:val="0"/>
          <w:numId w:val="2"/>
        </w:numPr>
        <w:spacing w:after="80" w:line="276"/>
      </w:pPr>
      <w:r>
        <w:rPr>
          <w:rFonts w:ascii="Calibri" w:cs="Calibri" w:eastAsia="Calibri" w:hAnsi="Calibri"/>
          <w:color w:val="1E2D24"/>
          <w:sz w:val="22"/>
          <w:szCs w:val="22"/>
        </w:rPr>
        <w:t xml:space="preserve">Browser extension published to Chrome Web Store, passing review.</w:t>
      </w:r>
    </w:p>
    <w:p>
      <w:pPr>
        <w:pStyle w:val="ListParagraph"/>
        <w:numPr>
          <w:ilvl w:val="0"/>
          <w:numId w:val="2"/>
        </w:numPr>
        <w:spacing w:after="80" w:line="276"/>
      </w:pPr>
      <w:r>
        <w:rPr>
          <w:rFonts w:ascii="Calibri" w:cs="Calibri" w:eastAsia="Calibri" w:hAnsi="Calibri"/>
          <w:color w:val="1E2D24"/>
          <w:sz w:val="22"/>
          <w:szCs w:val="22"/>
        </w:rPr>
        <w:t xml:space="preserve">Quick Scan latency meets p50 ≤ 5s, p95 ≤ 10s targets.</w:t>
      </w:r>
    </w:p>
    <w:p>
      <w:pPr>
        <w:pStyle w:val="ListParagraph"/>
        <w:numPr>
          <w:ilvl w:val="0"/>
          <w:numId w:val="2"/>
        </w:numPr>
        <w:spacing w:after="80" w:line="276"/>
      </w:pPr>
      <w:r>
        <w:rPr>
          <w:rFonts w:ascii="Calibri" w:cs="Calibri" w:eastAsia="Calibri" w:hAnsi="Calibri"/>
          <w:color w:val="1E2D24"/>
          <w:sz w:val="22"/>
          <w:szCs w:val="22"/>
        </w:rPr>
        <w:t xml:space="preserve">Scoring engine produces deterministic results on test fixtures.</w:t>
      </w:r>
    </w:p>
    <w:p>
      <w:pPr>
        <w:pStyle w:val="ListParagraph"/>
        <w:numPr>
          <w:ilvl w:val="0"/>
          <w:numId w:val="2"/>
        </w:numPr>
        <w:spacing w:after="80" w:line="276"/>
      </w:pPr>
      <w:r>
        <w:rPr>
          <w:rFonts w:ascii="Calibri" w:cs="Calibri" w:eastAsia="Calibri" w:hAnsi="Calibri"/>
          <w:color w:val="1E2D24"/>
          <w:sz w:val="22"/>
          <w:szCs w:val="22"/>
        </w:rPr>
        <w:t xml:space="preserve">Regulatory mapping covers all 14 frameworks for all 24 categories.</w:t>
      </w:r>
    </w:p>
    <w:p>
      <w:pPr>
        <w:pStyle w:val="ListParagraph"/>
        <w:numPr>
          <w:ilvl w:val="0"/>
          <w:numId w:val="2"/>
        </w:numPr>
        <w:spacing w:after="80" w:line="276"/>
      </w:pPr>
      <w:r>
        <w:rPr>
          <w:rFonts w:ascii="Calibri" w:cs="Calibri" w:eastAsia="Calibri" w:hAnsi="Calibri"/>
          <w:color w:val="1E2D24"/>
          <w:sz w:val="22"/>
          <w:szCs w:val="22"/>
        </w:rPr>
        <w:t xml:space="preserve">Dashboard supports scan result viewing, sharing, and evidence inspection.</w:t>
      </w:r>
    </w:p>
    <w:p>
      <w:pPr>
        <w:pStyle w:val="ListParagraph"/>
        <w:numPr>
          <w:ilvl w:val="0"/>
          <w:numId w:val="2"/>
        </w:numPr>
        <w:spacing w:after="80" w:line="276"/>
      </w:pPr>
      <w:r>
        <w:rPr>
          <w:rFonts w:ascii="Calibri" w:cs="Calibri" w:eastAsia="Calibri" w:hAnsi="Calibri"/>
          <w:color w:val="1E2D24"/>
          <w:sz w:val="22"/>
          <w:szCs w:val="22"/>
        </w:rPr>
        <w:t xml:space="preserve">Authentication, payment (Stripe), and quota enforcement work end-to-end.</w:t>
      </w:r>
    </w:p>
    <w:p>
      <w:pPr>
        <w:pStyle w:val="ListParagraph"/>
        <w:numPr>
          <w:ilvl w:val="0"/>
          <w:numId w:val="2"/>
        </w:numPr>
        <w:spacing w:after="80" w:line="276"/>
      </w:pPr>
      <w:r>
        <w:rPr>
          <w:rFonts w:ascii="Calibri" w:cs="Calibri" w:eastAsia="Calibri" w:hAnsi="Calibri"/>
          <w:color w:val="1E2D24"/>
          <w:sz w:val="22"/>
          <w:szCs w:val="22"/>
        </w:rPr>
        <w:t xml:space="preserve">Methodology page published; appeals process documented.</w:t>
      </w:r>
    </w:p>
    <w:p>
      <w:pPr>
        <w:pStyle w:val="ListParagraph"/>
        <w:numPr>
          <w:ilvl w:val="0"/>
          <w:numId w:val="2"/>
        </w:numPr>
        <w:spacing w:after="80" w:line="276"/>
      </w:pPr>
      <w:r>
        <w:rPr>
          <w:rFonts w:ascii="Calibri" w:cs="Calibri" w:eastAsia="Calibri" w:hAnsi="Calibri"/>
          <w:color w:val="1E2D24"/>
          <w:sz w:val="22"/>
          <w:szCs w:val="22"/>
        </w:rPr>
        <w:t xml:space="preserve">Legal review completed for scraping practices and defamation defense.</w:t>
      </w:r>
    </w:p>
    <w:p>
      <w:r>
        <w:br w:type="page"/>
      </w:r>
    </w:p>
    <w:p>
      <w:pPr>
        <w:pStyle w:val="Heading1"/>
      </w:pPr>
      <w:r>
        <w:t xml:space="preserve">11. Risks &amp;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900"/>
        <w:gridCol w:w="1000"/>
        <w:gridCol w:w="5260"/>
      </w:tblGrid>
      <w:tr>
        <w:trPr>
          <w:tblHeader/>
        </w:trPr>
        <w:tc>
          <w:tcPr>
            <w:tcW w:type="dxa" w:w="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w:t>
            </w:r>
          </w:p>
        </w:tc>
        <w:tc>
          <w:tcPr>
            <w:tcW w:type="dxa" w:w="18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Risk</w:t>
            </w:r>
          </w:p>
        </w:tc>
        <w:tc>
          <w:tcPr>
            <w:tcW w:type="dxa" w:w="9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Severity</w:t>
            </w:r>
          </w:p>
        </w:tc>
        <w:tc>
          <w:tcPr>
            <w:tcW w:type="dxa" w:w="10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Likelihood</w:t>
            </w:r>
          </w:p>
        </w:tc>
        <w:tc>
          <w:tcPr>
            <w:tcW w:type="dxa" w:w="52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Mitigation</w:t>
            </w:r>
          </w:p>
        </w:tc>
      </w:tr>
      <w:tr>
        <w:tc>
          <w:tcPr>
            <w:tcW w:type="dxa" w:w="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R1</w:t>
            </w:r>
          </w:p>
        </w:tc>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False positives erode user trust and trigger legal challenges from scored companies</w:t>
            </w:r>
          </w:p>
        </w:tc>
        <w:tc>
          <w:tcPr>
            <w:tcW w:type="dxa" w:w="9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w:t>
            </w:r>
          </w:p>
        </w:tc>
        <w:tc>
          <w:tcPr>
            <w:tcW w:type="dxa" w:w="1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5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Hybrid (rule + LLM) detection with consensus; precision gate of 90%+ before release; human-in-the-loop QA pipeline; formal appeals process.</w:t>
            </w:r>
          </w:p>
        </w:tc>
      </w:tr>
      <w:tr>
        <w:tc>
          <w:tcPr>
            <w:tcW w:type="dxa" w:w="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R2</w:t>
            </w:r>
          </w:p>
        </w:tc>
        <w:tc>
          <w:tcPr>
            <w:tcW w:type="dxa" w:w="1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Sites deploy anti-bot measures that break Deep Scan</w:t>
            </w:r>
          </w:p>
        </w:tc>
        <w:tc>
          <w:tcPr>
            <w:tcW w:type="dxa" w:w="9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1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w:t>
            </w:r>
          </w:p>
        </w:tc>
        <w:tc>
          <w:tcPr>
            <w:tcW w:type="dxa" w:w="5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Multi-source data; residential proxy rotation; community-reported manual evidence as fallback; abandon highly hostile sites rather than fight arms race.</w:t>
            </w:r>
          </w:p>
        </w:tc>
      </w:tr>
      <w:tr>
        <w:tc>
          <w:tcPr>
            <w:tcW w:type="dxa" w:w="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R3</w:t>
            </w:r>
          </w:p>
        </w:tc>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LLM provider pricing increases significantly</w:t>
            </w:r>
          </w:p>
        </w:tc>
        <w:tc>
          <w:tcPr>
            <w:tcW w:type="dxa" w:w="9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1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5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Provider-agnostic architecture; quarterly cost-quality benchmarking across Claude/GPT/Gemini/open-source; ability to reroute in hours.</w:t>
            </w:r>
          </w:p>
        </w:tc>
      </w:tr>
      <w:tr>
        <w:tc>
          <w:tcPr>
            <w:tcW w:type="dxa" w:w="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R4</w:t>
            </w:r>
          </w:p>
        </w:tc>
        <w:tc>
          <w:tcPr>
            <w:tcW w:type="dxa" w:w="1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Defamation suit from a high-profile F-graded company</w:t>
            </w:r>
          </w:p>
        </w:tc>
        <w:tc>
          <w:tcPr>
            <w:tcW w:type="dxa" w:w="9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High</w:t>
            </w:r>
          </w:p>
        </w:tc>
        <w:tc>
          <w:tcPr>
            <w:tcW w:type="dxa" w:w="1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Low–Med</w:t>
            </w:r>
          </w:p>
        </w:tc>
        <w:tc>
          <w:tcPr>
            <w:tcW w:type="dxa" w:w="5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Methodology transparency; factual-only reporting (no editorializing); appeals process; Delaware incorporation (anti-SLAPP); E&amp;O insurance.</w:t>
            </w:r>
          </w:p>
        </w:tc>
      </w:tr>
      <w:tr>
        <w:tc>
          <w:tcPr>
            <w:tcW w:type="dxa" w:w="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R5</w:t>
            </w:r>
          </w:p>
        </w:tc>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Browser vendors build native dark pattern detection</w:t>
            </w:r>
          </w:p>
        </w:tc>
        <w:tc>
          <w:tcPr>
            <w:tcW w:type="dxa" w:w="9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1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Low</w:t>
            </w:r>
          </w:p>
        </w:tc>
        <w:tc>
          <w:tcPr>
            <w:tcW w:type="dxa" w:w="5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Move fast on four-pillar moat; partner with browser vendors as data provider rather than compete; audit business is uncopyable browser feature.</w:t>
            </w:r>
          </w:p>
        </w:tc>
      </w:tr>
      <w:tr>
        <w:tc>
          <w:tcPr>
            <w:tcW w:type="dxa" w:w="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R6</w:t>
            </w:r>
          </w:p>
        </w:tc>
        <w:tc>
          <w:tcPr>
            <w:tcW w:type="dxa" w:w="18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Slow enterprise sales cycles delay revenue</w:t>
            </w:r>
          </w:p>
        </w:tc>
        <w:tc>
          <w:tcPr>
            <w:tcW w:type="dxa" w:w="9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10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52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Lead with audit business (transactional, fast close); use audit clients as enterprise case studies; offer free pilots for first 10 enterprise customers.</w:t>
            </w:r>
          </w:p>
        </w:tc>
      </w:tr>
      <w:tr>
        <w:tc>
          <w:tcPr>
            <w:tcW w:type="dxa" w:w="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R7</w:t>
            </w:r>
          </w:p>
        </w:tc>
        <w:tc>
          <w:tcPr>
            <w:tcW w:type="dxa" w:w="18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Detection coverage gaps in non-Western markets</w:t>
            </w:r>
          </w:p>
        </w:tc>
        <w:tc>
          <w:tcPr>
            <w:tcW w:type="dxa" w:w="9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10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Medium</w:t>
            </w:r>
          </w:p>
        </w:tc>
        <w:tc>
          <w:tcPr>
            <w:tcW w:type="dxa" w:w="52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Open detection API for community contributions; regional partnerships; phased internationalization.</w:t>
            </w:r>
          </w:p>
        </w:tc>
      </w:tr>
    </w:tbl>
    <w:p>
      <w:r>
        <w:br w:type="page"/>
      </w:r>
    </w:p>
    <w:p>
      <w:pPr>
        <w:pStyle w:val="Heading1"/>
      </w:pPr>
      <w:r>
        <w:t xml:space="preserve">12. Open Questions</w:t>
      </w:r>
    </w:p>
    <w:p>
      <w:pPr>
        <w:spacing w:after="60"/>
      </w:pPr>
    </w:p>
    <w:p>
      <w:pPr>
        <w:spacing w:after="120" w:line="276"/>
      </w:pPr>
      <w:r>
        <w:rPr>
          <w:rFonts w:ascii="Calibri" w:cs="Calibri" w:eastAsia="Calibri" w:hAnsi="Calibri"/>
          <w:color w:val="1E2D24"/>
          <w:sz w:val="22"/>
          <w:szCs w:val="22"/>
        </w:rPr>
        <w:t xml:space="preserve">Items requiring decisions or further research before or during MVP development:</w:t>
      </w:r>
    </w:p>
    <w:p>
      <w:pPr>
        <w:pStyle w:val="ListParagraph"/>
        <w:numPr>
          <w:ilvl w:val="0"/>
          <w:numId w:val="2"/>
        </w:numPr>
        <w:spacing w:after="80" w:line="276"/>
      </w:pPr>
      <w:r>
        <w:rPr>
          <w:rFonts w:ascii="Calibri" w:cs="Calibri" w:eastAsia="Calibri" w:hAnsi="Calibri"/>
          <w:b/>
          <w:bCs/>
          <w:color w:val="1E2D24"/>
          <w:sz w:val="22"/>
          <w:szCs w:val="22"/>
        </w:rPr>
        <w:t xml:space="preserve">Q1: </w:t>
      </w:r>
      <w:r>
        <w:rPr>
          <w:rFonts w:ascii="Calibri" w:cs="Calibri" w:eastAsia="Calibri" w:hAnsi="Calibri"/>
          <w:color w:val="1E2D24"/>
          <w:sz w:val="22"/>
          <w:szCs w:val="22"/>
        </w:rPr>
        <w:t xml:space="preserve">Should the free tier limit be 5 scans/month, 10/month, or unlimited with rate limiting? Pricing experimentation needed.</w:t>
      </w:r>
    </w:p>
    <w:p>
      <w:pPr>
        <w:pStyle w:val="ListParagraph"/>
        <w:numPr>
          <w:ilvl w:val="0"/>
          <w:numId w:val="2"/>
        </w:numPr>
        <w:spacing w:after="80" w:line="276"/>
      </w:pPr>
      <w:r>
        <w:rPr>
          <w:rFonts w:ascii="Calibri" w:cs="Calibri" w:eastAsia="Calibri" w:hAnsi="Calibri"/>
          <w:b/>
          <w:bCs/>
          <w:color w:val="1E2D24"/>
          <w:sz w:val="22"/>
          <w:szCs w:val="22"/>
        </w:rPr>
        <w:t xml:space="preserve">Q2: </w:t>
      </w:r>
      <w:r>
        <w:rPr>
          <w:rFonts w:ascii="Calibri" w:cs="Calibri" w:eastAsia="Calibri" w:hAnsi="Calibri"/>
          <w:color w:val="1E2D24"/>
          <w:sz w:val="22"/>
          <w:szCs w:val="22"/>
        </w:rPr>
        <w:t xml:space="preserve">What is the exact threshold for promoting a finding from “suggested” to “detected” when consensus is partial (1 of 2 models flag)?</w:t>
      </w:r>
    </w:p>
    <w:p>
      <w:pPr>
        <w:pStyle w:val="ListParagraph"/>
        <w:numPr>
          <w:ilvl w:val="0"/>
          <w:numId w:val="2"/>
        </w:numPr>
        <w:spacing w:after="80" w:line="276"/>
      </w:pPr>
      <w:r>
        <w:rPr>
          <w:rFonts w:ascii="Calibri" w:cs="Calibri" w:eastAsia="Calibri" w:hAnsi="Calibri"/>
          <w:b/>
          <w:bCs/>
          <w:color w:val="1E2D24"/>
          <w:sz w:val="22"/>
          <w:szCs w:val="22"/>
        </w:rPr>
        <w:t xml:space="preserve">Q3: </w:t>
      </w:r>
      <w:r>
        <w:rPr>
          <w:rFonts w:ascii="Calibri" w:cs="Calibri" w:eastAsia="Calibri" w:hAnsi="Calibri"/>
          <w:color w:val="1E2D24"/>
          <w:sz w:val="22"/>
          <w:szCs w:val="22"/>
        </w:rPr>
        <w:t xml:space="preserve">Should we offer a free “self-audit” tier for small businesses (under 10 employees) to drive bottom-up adoption?</w:t>
      </w:r>
    </w:p>
    <w:p>
      <w:pPr>
        <w:pStyle w:val="ListParagraph"/>
        <w:numPr>
          <w:ilvl w:val="0"/>
          <w:numId w:val="2"/>
        </w:numPr>
        <w:spacing w:after="80" w:line="276"/>
      </w:pPr>
      <w:r>
        <w:rPr>
          <w:rFonts w:ascii="Calibri" w:cs="Calibri" w:eastAsia="Calibri" w:hAnsi="Calibri"/>
          <w:b/>
          <w:bCs/>
          <w:color w:val="1E2D24"/>
          <w:sz w:val="22"/>
          <w:szCs w:val="22"/>
        </w:rPr>
        <w:t xml:space="preserve">Q4: </w:t>
      </w:r>
      <w:r>
        <w:rPr>
          <w:rFonts w:ascii="Calibri" w:cs="Calibri" w:eastAsia="Calibri" w:hAnsi="Calibri"/>
          <w:color w:val="1E2D24"/>
          <w:sz w:val="22"/>
          <w:szCs w:val="22"/>
        </w:rPr>
        <w:t xml:space="preserve">What is the formal SLA for audit delivery? (Industry benchmark: 4–6 weeks for SOC 2.) We propose 3–4 weeks initially.</w:t>
      </w:r>
    </w:p>
    <w:p>
      <w:pPr>
        <w:pStyle w:val="ListParagraph"/>
        <w:numPr>
          <w:ilvl w:val="0"/>
          <w:numId w:val="2"/>
        </w:numPr>
        <w:spacing w:after="80" w:line="276"/>
      </w:pPr>
      <w:r>
        <w:rPr>
          <w:rFonts w:ascii="Calibri" w:cs="Calibri" w:eastAsia="Calibri" w:hAnsi="Calibri"/>
          <w:b/>
          <w:bCs/>
          <w:color w:val="1E2D24"/>
          <w:sz w:val="22"/>
          <w:szCs w:val="22"/>
        </w:rPr>
        <w:t xml:space="preserve">Q5: </w:t>
      </w:r>
      <w:r>
        <w:rPr>
          <w:rFonts w:ascii="Calibri" w:cs="Calibri" w:eastAsia="Calibri" w:hAnsi="Calibri"/>
          <w:color w:val="1E2D24"/>
          <w:sz w:val="22"/>
          <w:szCs w:val="22"/>
        </w:rPr>
        <w:t xml:space="preserve">Localization priority: which markets after English? Spanish, French, German, Portuguese all have regulatory demand.</w:t>
      </w:r>
    </w:p>
    <w:p>
      <w:pPr>
        <w:pStyle w:val="ListParagraph"/>
        <w:numPr>
          <w:ilvl w:val="0"/>
          <w:numId w:val="2"/>
        </w:numPr>
        <w:spacing w:after="80" w:line="276"/>
      </w:pPr>
      <w:r>
        <w:rPr>
          <w:rFonts w:ascii="Calibri" w:cs="Calibri" w:eastAsia="Calibri" w:hAnsi="Calibri"/>
          <w:b/>
          <w:bCs/>
          <w:color w:val="1E2D24"/>
          <w:sz w:val="22"/>
          <w:szCs w:val="22"/>
        </w:rPr>
        <w:t xml:space="preserve">Q6: </w:t>
      </w:r>
      <w:r>
        <w:rPr>
          <w:rFonts w:ascii="Calibri" w:cs="Calibri" w:eastAsia="Calibri" w:hAnsi="Calibri"/>
          <w:color w:val="1E2D24"/>
          <w:sz w:val="22"/>
          <w:szCs w:val="22"/>
        </w:rPr>
        <w:t xml:space="preserve">Should certified companies have an obligation to maintain their score (revocation if they degrade), or is the badge perpetual once earned?</w:t>
      </w:r>
    </w:p>
    <w:p>
      <w:pPr>
        <w:pStyle w:val="ListParagraph"/>
        <w:numPr>
          <w:ilvl w:val="0"/>
          <w:numId w:val="2"/>
        </w:numPr>
        <w:spacing w:after="80" w:line="276"/>
      </w:pPr>
      <w:r>
        <w:rPr>
          <w:rFonts w:ascii="Calibri" w:cs="Calibri" w:eastAsia="Calibri" w:hAnsi="Calibri"/>
          <w:b/>
          <w:bCs/>
          <w:color w:val="1E2D24"/>
          <w:sz w:val="22"/>
          <w:szCs w:val="22"/>
        </w:rPr>
        <w:t xml:space="preserve">Q7: </w:t>
      </w:r>
      <w:r>
        <w:rPr>
          <w:rFonts w:ascii="Calibri" w:cs="Calibri" w:eastAsia="Calibri" w:hAnsi="Calibri"/>
          <w:color w:val="1E2D24"/>
          <w:sz w:val="22"/>
          <w:szCs w:val="22"/>
        </w:rPr>
        <w:t xml:space="preserve">What is the formal escalation path when a scan is requested for a company that is suing or threatening Trusten?</w:t>
      </w:r>
    </w:p>
    <w:p>
      <w:pPr>
        <w:pStyle w:val="Heading1"/>
      </w:pPr>
      <w:r>
        <w:t xml:space="preserve">Appendix A: Glossary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Term</w:t>
            </w:r>
          </w:p>
        </w:tc>
        <w:tc>
          <w:tcPr>
            <w:tcW w:type="dxa" w:w="6960"/>
            <w:tcBorders>
              <w:top w:val="single" w:color="B8D4C5" w:sz="1"/>
              <w:left w:val="single" w:color="B8D4C5" w:sz="1"/>
              <w:bottom w:val="single" w:color="B8D4C5" w:sz="1"/>
              <w:right w:val="single" w:color="B8D4C5" w:sz="1"/>
            </w:tcBorders>
            <w:shd w:fill="1A3C2A" w:val="clear"/>
            <w:tcMar>
              <w:top w:type="dxa" w:w="60"/>
              <w:left w:type="dxa" w:w="120"/>
              <w:bottom w:type="dxa" w:w="60"/>
              <w:right w:type="dxa" w:w="120"/>
            </w:tcMar>
          </w:tcPr>
          <w:p>
            <w:r>
              <w:rPr>
                <w:rFonts w:ascii="Calibri" w:cs="Calibri" w:eastAsia="Calibri" w:hAnsi="Calibri"/>
                <w:b/>
                <w:bCs/>
                <w:color w:val="FFFFFF"/>
                <w:sz w:val="20"/>
                <w:szCs w:val="20"/>
              </w:rPr>
              <w:t xml:space="preserve">Definition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Dark Pattern</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 user interface element designed to manipulate users into actions they did not intend (per Brignull, 2010).</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Quick Scan</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Single-page real-time detection performed via browser extension.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Deep Scan</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Multi-step workflow detection performed via server-side agentic browser.</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Consumer Trust Score</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The composite 0–100 trust metric produced by Trusten.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Trusten Certified</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 paid, third-party audit certification with public verification badge.</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BrowserOS</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Open-source agentic browser platform. Trusten maintains a fork as the foundation of Deep Scan.</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Analyzer</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 modular detection unit responsible for one pattern family (e.g., Urgency &amp; Scarcity Analyzer).</w:t>
            </w:r>
          </w:p>
        </w:tc>
      </w:tr>
      <w:tr>
        <w:tc>
          <w:tcPr>
            <w:tcW w:type="dxa" w:w="240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AnalyzerContext</w:t>
            </w:r>
          </w:p>
        </w:tc>
        <w:tc>
          <w:tcPr>
            <w:tcW w:type="dxa" w:w="6960"/>
            <w:tcBorders>
              <w:top w:val="single" w:color="B8D4C5" w:sz="1"/>
              <w:left w:val="single" w:color="B8D4C5" w:sz="1"/>
              <w:bottom w:val="single" w:color="B8D4C5" w:sz="1"/>
              <w:right w:val="single" w:color="B8D4C5" w:sz="1"/>
            </w:tcBorders>
            <w:shd w:fill="EEF5F0"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The input data structure passed to every analyzer (DOM, screenshot, text, network, cookies).</w:t>
            </w:r>
          </w:p>
        </w:tc>
      </w:tr>
      <w:tr>
        <w:tc>
          <w:tcPr>
            <w:tcW w:type="dxa" w:w="240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WorkflowStep</w:t>
            </w:r>
          </w:p>
        </w:tc>
        <w:tc>
          <w:tcPr>
            <w:tcW w:type="dxa" w:w="6960"/>
            <w:tcBorders>
              <w:top w:val="single" w:color="B8D4C5" w:sz="1"/>
              <w:left w:val="single" w:color="B8D4C5" w:sz="1"/>
              <w:bottom w:val="single" w:color="B8D4C5" w:sz="1"/>
              <w:right w:val="single" w:color="B8D4C5" w:sz="1"/>
            </w:tcBorders>
            <w:shd w:fill="FFFFFF" w:val="clear"/>
            <w:tcMar>
              <w:top w:type="dxa" w:w="60"/>
              <w:left w:type="dxa" w:w="120"/>
              <w:bottom w:type="dxa" w:w="60"/>
              <w:right w:type="dxa" w:w="120"/>
            </w:tcMar>
          </w:tcPr>
          <w:p>
            <w:pPr>
              <w:spacing w:after="40"/>
            </w:pPr>
            <w:r>
              <w:rPr>
                <w:rFonts w:ascii="Calibri" w:cs="Calibri" w:eastAsia="Calibri" w:hAnsi="Calibri"/>
                <w:color w:val="1E2D24"/>
                <w:sz w:val="20"/>
                <w:szCs w:val="20"/>
              </w:rPr>
              <w:t xml:space="preserve">An ordered record of one step in a Deep Scan, including screenshot and findings.</w:t>
            </w:r>
          </w:p>
        </w:tc>
      </w:tr>
    </w:tbl>
    <w:p>
      <w:pPr>
        <w:spacing w:after="120"/>
      </w:pPr>
    </w:p>
    <w:p>
      <w:pPr>
        <w:pStyle w:val="Heading1"/>
      </w:pPr>
      <w:r>
        <w:t xml:space="preserve">Appendix B: References &amp; Research</w:t>
      </w:r>
    </w:p>
    <w:p>
      <w:pPr>
        <w:spacing w:after="40"/>
      </w:pPr>
    </w:p>
    <w:p>
      <w:pPr>
        <w:pStyle w:val="ListParagraph"/>
        <w:numPr>
          <w:ilvl w:val="0"/>
          <w:numId w:val="2"/>
        </w:numPr>
        <w:spacing w:after="80" w:line="276"/>
      </w:pPr>
      <w:r>
        <w:rPr>
          <w:rFonts w:ascii="Calibri" w:cs="Calibri" w:eastAsia="Calibri" w:hAnsi="Calibri"/>
          <w:color w:val="1E2D24"/>
          <w:sz w:val="22"/>
          <w:szCs w:val="22"/>
        </w:rPr>
        <w:t xml:space="preserve">Brignull, H. (2010). “Dark Patterns: Deception vs. Honesty in UI Design.”</w:t>
      </w:r>
    </w:p>
    <w:p>
      <w:pPr>
        <w:pStyle w:val="ListParagraph"/>
        <w:numPr>
          <w:ilvl w:val="0"/>
          <w:numId w:val="2"/>
        </w:numPr>
        <w:spacing w:after="80" w:line="276"/>
      </w:pPr>
      <w:r>
        <w:rPr>
          <w:rFonts w:ascii="Calibri" w:cs="Calibri" w:eastAsia="Calibri" w:hAnsi="Calibri"/>
          <w:color w:val="1E2D24"/>
          <w:sz w:val="22"/>
          <w:szCs w:val="22"/>
        </w:rPr>
        <w:t xml:space="preserve">Mathur, A., Acar, G., Friedman, M.J., et al. (2019). “Dark Patterns at Scale.” ACM CSCW.</w:t>
      </w:r>
    </w:p>
    <w:p>
      <w:pPr>
        <w:pStyle w:val="ListParagraph"/>
        <w:numPr>
          <w:ilvl w:val="0"/>
          <w:numId w:val="2"/>
        </w:numPr>
        <w:spacing w:after="80" w:line="276"/>
      </w:pPr>
      <w:r>
        <w:rPr>
          <w:rFonts w:ascii="Calibri" w:cs="Calibri" w:eastAsia="Calibri" w:hAnsi="Calibri"/>
          <w:color w:val="1E2D24"/>
          <w:sz w:val="22"/>
          <w:szCs w:val="22"/>
        </w:rPr>
        <w:t xml:space="preserve">Gray, C.M., Kou, Y., Battles, B., et al. (2018). “The Dark (Patterns) Side of UX Design.” CHI.</w:t>
      </w:r>
    </w:p>
    <w:p>
      <w:pPr>
        <w:pStyle w:val="ListParagraph"/>
        <w:numPr>
          <w:ilvl w:val="0"/>
          <w:numId w:val="2"/>
        </w:numPr>
        <w:spacing w:after="80" w:line="276"/>
      </w:pPr>
      <w:r>
        <w:rPr>
          <w:rFonts w:ascii="Calibri" w:cs="Calibri" w:eastAsia="Calibri" w:hAnsi="Calibri"/>
          <w:color w:val="1E2D24"/>
          <w:sz w:val="22"/>
          <w:szCs w:val="22"/>
        </w:rPr>
        <w:t xml:space="preserve">European Data Protection Board (2022). “Guidelines on Dark Patterns in Social Media Platform Interfaces.”</w:t>
      </w:r>
    </w:p>
    <w:p>
      <w:pPr>
        <w:pStyle w:val="ListParagraph"/>
        <w:numPr>
          <w:ilvl w:val="0"/>
          <w:numId w:val="2"/>
        </w:numPr>
        <w:spacing w:after="80" w:line="276"/>
      </w:pPr>
      <w:r>
        <w:rPr>
          <w:rFonts w:ascii="Calibri" w:cs="Calibri" w:eastAsia="Calibri" w:hAnsi="Calibri"/>
          <w:color w:val="1E2D24"/>
          <w:sz w:val="22"/>
          <w:szCs w:val="22"/>
        </w:rPr>
        <w:t xml:space="preserve">FTC (2022). “Bringing Dark Patterns to Light.” Staff Report.</w:t>
      </w:r>
    </w:p>
    <w:p>
      <w:pPr>
        <w:pStyle w:val="ListParagraph"/>
        <w:numPr>
          <w:ilvl w:val="0"/>
          <w:numId w:val="2"/>
        </w:numPr>
        <w:spacing w:after="80" w:line="276"/>
      </w:pPr>
      <w:r>
        <w:rPr>
          <w:rFonts w:ascii="Calibri" w:cs="Calibri" w:eastAsia="Calibri" w:hAnsi="Calibri"/>
          <w:color w:val="1E2D24"/>
          <w:sz w:val="22"/>
          <w:szCs w:val="22"/>
        </w:rPr>
        <w:t xml:space="preserve">EU Digital Services Act (Regulation 2022/2065), Article 25 on online interface design.</w:t>
      </w:r>
    </w:p>
    <w:p>
      <w:pPr>
        <w:pStyle w:val="ListParagraph"/>
        <w:numPr>
          <w:ilvl w:val="0"/>
          <w:numId w:val="2"/>
        </w:numPr>
        <w:spacing w:after="80" w:line="276"/>
      </w:pPr>
      <w:r>
        <w:rPr>
          <w:rFonts w:ascii="Calibri" w:cs="Calibri" w:eastAsia="Calibri" w:hAnsi="Calibri"/>
          <w:color w:val="1E2D24"/>
          <w:sz w:val="22"/>
          <w:szCs w:val="22"/>
        </w:rPr>
        <w:t xml:space="preserve">OECD (2022). “Dark Commercial Patterns.” OECD Digital Economy Papers.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D72"/>
        <w:sz w:val="16"/>
        <w:szCs w:val="16"/>
      </w:rPr>
      <w:t xml:space="preserve">Page </w:t>
    </w:r>
    <w:r>
      <w:rPr>
        <w:rFonts w:ascii="Calibri" w:cs="Calibri" w:eastAsia="Calibri" w:hAnsi="Calibri"/>
        <w:color w:val="6B7D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4C5" w:sz="4" w:space="4"/>
      </w:pBdr>
      <w:tabs>
        <w:tab w:val="right" w:pos="9026"/>
      </w:tabs>
    </w:pPr>
    <w:r>
      <w:rPr>
        <w:rFonts w:ascii="Calibri" w:cs="Calibri" w:eastAsia="Calibri" w:hAnsi="Calibri"/>
        <w:i/>
        <w:iCs/>
        <w:color w:val="6B7D72"/>
        <w:sz w:val="16"/>
        <w:szCs w:val="16"/>
      </w:rPr>
      <w:t xml:space="preserve">TRUSTEN — PRD v1.0</w:t>
    </w:r>
    <w:r>
      <w:rPr>
        <w:rFonts w:ascii="Calibri" w:cs="Calibri" w:eastAsia="Calibri" w:hAnsi="Calibri"/>
        <w:i/>
        <w:iCs/>
        <w:color w:val="6B7D72"/>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D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8B5E" w:sz="8" w:space="4"/>
      </w:pBdr>
      <w:spacing w:after="200" w:before="360"/>
      <w:outlineLvl w:val="0"/>
    </w:pPr>
    <w:rPr>
      <w:rFonts w:ascii="Calibri" w:cs="Calibri" w:eastAsia="Calibri" w:hAnsi="Calibri"/>
      <w:b/>
      <w:bCs/>
      <w:color w:val="1A3C2A"/>
      <w:sz w:val="40"/>
      <w:szCs w:val="40"/>
    </w:rPr>
  </w:style>
  <w:style w:type="paragraph" w:styleId="Heading2">
    <w:name w:val="Heading 2"/>
    <w:basedOn w:val="Normal"/>
    <w:next w:val="Normal"/>
    <w:qFormat/>
    <w:pPr>
      <w:spacing w:after="160" w:before="240"/>
      <w:outlineLvl w:val="1"/>
    </w:pPr>
    <w:rPr>
      <w:rFonts w:ascii="Calibri" w:cs="Calibri" w:eastAsia="Calibri" w:hAnsi="Calibri"/>
      <w:b/>
      <w:bCs/>
      <w:color w:val="2D8B5E"/>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B92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2026-06-07T16:24:08.667Z</dcterms:created>
  <dcterms:modified xsi:type="dcterms:W3CDTF">2026-06-07T16:24:08.679Z</dcterms:modified>
</cp:coreProperties>
</file>

<file path=docProps/custom.xml><?xml version="1.0" encoding="utf-8"?>
<Properties xmlns="http://schemas.openxmlformats.org/officeDocument/2006/custom-properties" xmlns:vt="http://schemas.openxmlformats.org/officeDocument/2006/docPropsVTypes"/>
</file>