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EAF" w:rsidRDefault="00A33B98" w:rsidP="008C2863">
      <w:pPr>
        <w:spacing w:line="360" w:lineRule="auto"/>
        <w:jc w:val="both"/>
        <w:rPr>
          <w:rFonts w:ascii="Sylfaen" w:hAnsi="Sylfaen"/>
          <w:b/>
          <w:sz w:val="32"/>
        </w:rPr>
      </w:pPr>
      <w:r>
        <w:rPr>
          <w:rFonts w:ascii="Sylfaen" w:hAnsi="Sylfaen"/>
          <w:b/>
          <w:sz w:val="32"/>
          <w:lang w:val="ru-RU"/>
        </w:rPr>
        <w:t>3</w:t>
      </w:r>
      <w:r w:rsidR="00F8413E">
        <w:rPr>
          <w:rFonts w:ascii="Sylfaen" w:hAnsi="Sylfaen"/>
          <w:b/>
          <w:sz w:val="32"/>
        </w:rPr>
        <w:t>Հիբրիդային մեթդներ՝ հիմնված Հաարի համակարգի վրա</w:t>
      </w:r>
    </w:p>
    <w:p w:rsidR="00F8413E" w:rsidRDefault="00F8413E" w:rsidP="008C2863">
      <w:pPr>
        <w:spacing w:line="360" w:lineRule="auto"/>
        <w:jc w:val="both"/>
        <w:rPr>
          <w:rFonts w:ascii="Sylfaen" w:hAnsi="Sylfaen"/>
          <w:b/>
          <w:sz w:val="28"/>
        </w:rPr>
      </w:pPr>
      <w:r>
        <w:rPr>
          <w:rFonts w:ascii="Sylfaen" w:hAnsi="Sylfaen"/>
          <w:b/>
          <w:sz w:val="32"/>
        </w:rPr>
        <w:t xml:space="preserve"> </w:t>
      </w:r>
      <w:r w:rsidR="00A33B98">
        <w:rPr>
          <w:rFonts w:ascii="Sylfaen" w:hAnsi="Sylfaen"/>
          <w:b/>
          <w:sz w:val="28"/>
        </w:rPr>
        <w:t>3</w:t>
      </w:r>
      <w:r>
        <w:rPr>
          <w:rFonts w:ascii="Sylfaen" w:hAnsi="Sylfaen"/>
          <w:b/>
          <w:sz w:val="28"/>
        </w:rPr>
        <w:t>.1 Հիբրիդային մոտեցման ընդհանուր սկզբունքը</w:t>
      </w:r>
    </w:p>
    <w:p w:rsidR="00F8413E" w:rsidRDefault="00F8413E" w:rsidP="008C2863">
      <w:pPr>
        <w:spacing w:line="360" w:lineRule="auto"/>
        <w:jc w:val="both"/>
        <w:rPr>
          <w:rFonts w:ascii="Sylfaen" w:hAnsi="Sylfaen"/>
          <w:sz w:val="24"/>
        </w:rPr>
      </w:pPr>
      <w:r>
        <w:rPr>
          <w:rFonts w:ascii="Sylfaen" w:hAnsi="Sylfaen"/>
          <w:sz w:val="24"/>
        </w:rPr>
        <w:t>Հիբրիդային մեթոդ ասելով հասկանում ենք հետևյալ բաղադրիչների համադրությունը.</w:t>
      </w:r>
    </w:p>
    <w:p w:rsidR="00F8413E" w:rsidRDefault="00F8413E" w:rsidP="008C2863">
      <w:pPr>
        <w:pStyle w:val="a3"/>
        <w:numPr>
          <w:ilvl w:val="0"/>
          <w:numId w:val="1"/>
        </w:numPr>
        <w:spacing w:line="360" w:lineRule="auto"/>
        <w:jc w:val="both"/>
        <w:rPr>
          <w:rFonts w:ascii="Sylfaen" w:hAnsi="Sylfaen"/>
          <w:sz w:val="24"/>
        </w:rPr>
      </w:pPr>
      <w:r>
        <w:rPr>
          <w:rFonts w:ascii="Sylfaen" w:hAnsi="Sylfaen"/>
          <w:sz w:val="24"/>
        </w:rPr>
        <w:t>Հաարի բազմամակարդակ ձևափոխություն՝ նախանշանների ստացման համար</w:t>
      </w:r>
    </w:p>
    <w:p w:rsidR="00F8413E" w:rsidRDefault="00F8413E" w:rsidP="008C2863">
      <w:pPr>
        <w:pStyle w:val="a3"/>
        <w:numPr>
          <w:ilvl w:val="0"/>
          <w:numId w:val="1"/>
        </w:numPr>
        <w:spacing w:line="360" w:lineRule="auto"/>
        <w:jc w:val="both"/>
        <w:rPr>
          <w:rFonts w:ascii="Sylfaen" w:hAnsi="Sylfaen"/>
          <w:sz w:val="24"/>
        </w:rPr>
      </w:pPr>
      <w:r>
        <w:rPr>
          <w:rFonts w:ascii="Sylfaen" w:hAnsi="Sylfaen"/>
          <w:sz w:val="24"/>
        </w:rPr>
        <w:t>Հատկորոշող գործակիցների շեմային վերլուծությունը</w:t>
      </w:r>
    </w:p>
    <w:p w:rsidR="00F8413E" w:rsidRDefault="00F8413E" w:rsidP="008C2863">
      <w:pPr>
        <w:pStyle w:val="a3"/>
        <w:numPr>
          <w:ilvl w:val="0"/>
          <w:numId w:val="1"/>
        </w:numPr>
        <w:spacing w:line="360" w:lineRule="auto"/>
        <w:jc w:val="both"/>
        <w:rPr>
          <w:rFonts w:ascii="Sylfaen" w:hAnsi="Sylfaen"/>
          <w:sz w:val="24"/>
        </w:rPr>
      </w:pPr>
      <w:r>
        <w:rPr>
          <w:rFonts w:ascii="Sylfaen" w:hAnsi="Sylfaen"/>
          <w:sz w:val="24"/>
        </w:rPr>
        <w:t xml:space="preserve"> Վիճակագրական վերլուծություն (խոտորումների և քվանտիլային շեմեր)</w:t>
      </w:r>
    </w:p>
    <w:p w:rsidR="00F8413E" w:rsidRDefault="00A645E5" w:rsidP="008C2863">
      <w:pPr>
        <w:pStyle w:val="a3"/>
        <w:numPr>
          <w:ilvl w:val="0"/>
          <w:numId w:val="1"/>
        </w:numPr>
        <w:spacing w:line="360" w:lineRule="auto"/>
        <w:jc w:val="both"/>
        <w:rPr>
          <w:rFonts w:ascii="Sylfaen" w:hAnsi="Sylfaen"/>
          <w:sz w:val="24"/>
        </w:rPr>
      </w:pPr>
      <w:r>
        <w:rPr>
          <w:rFonts w:ascii="Sylfaen" w:hAnsi="Sylfaen"/>
          <w:sz w:val="24"/>
        </w:rPr>
        <w:t>Մեքենայական ուսուցման դասակարգիչներ՝ նախանշանների վեկտորի հիման վրա</w:t>
      </w:r>
    </w:p>
    <w:p w:rsidR="00A645E5" w:rsidRPr="00A645E5" w:rsidRDefault="00A645E5" w:rsidP="008C2863">
      <w:pPr>
        <w:spacing w:line="360" w:lineRule="auto"/>
        <w:ind w:left="360"/>
        <w:jc w:val="both"/>
        <w:rPr>
          <w:rFonts w:ascii="Sylfaen" w:hAnsi="Sylfaen"/>
          <w:sz w:val="24"/>
        </w:rPr>
      </w:pPr>
      <w:r>
        <w:rPr>
          <w:rFonts w:ascii="Sylfaen" w:hAnsi="Sylfaen"/>
          <w:sz w:val="24"/>
        </w:rPr>
        <w:t>Գաղափարը հետևյալն է. oգտագործել Հաարի մեկնաբանվող նախանշանները կոպիտ ֆիլտրման (շեմային արժեքի) համար, ինչպես նաև օգտագործել նույն համախումբը</w:t>
      </w:r>
      <w:r w:rsidR="008C2863">
        <w:rPr>
          <w:rFonts w:ascii="Sylfaen" w:hAnsi="Sylfaen"/>
          <w:sz w:val="24"/>
        </w:rPr>
        <w:t xml:space="preserve"> </w:t>
      </w:r>
      <w:r w:rsidR="000B518F">
        <w:rPr>
          <w:rFonts w:ascii="Sylfaen" w:hAnsi="Sylfaen"/>
          <w:sz w:val="24"/>
        </w:rPr>
        <w:t xml:space="preserve">(կամ դրանց </w:t>
      </w:r>
      <w:r w:rsidR="008C2863" w:rsidRPr="008C2863">
        <w:rPr>
          <w:rFonts w:ascii="Sylfaen" w:hAnsi="Sylfaen"/>
          <w:sz w:val="24"/>
          <w:highlight w:val="yellow"/>
        </w:rPr>
        <w:t>խտացումը/</w:t>
      </w:r>
      <w:r w:rsidR="000B518F" w:rsidRPr="008C2863">
        <w:rPr>
          <w:rFonts w:ascii="Sylfaen" w:hAnsi="Sylfaen"/>
          <w:sz w:val="24"/>
          <w:highlight w:val="yellow"/>
        </w:rPr>
        <w:t>համախումբը)</w:t>
      </w:r>
      <w:r>
        <w:rPr>
          <w:rFonts w:ascii="Sylfaen" w:hAnsi="Sylfaen"/>
          <w:sz w:val="24"/>
        </w:rPr>
        <w:t xml:space="preserve"> ուսուցման </w:t>
      </w:r>
      <w:r w:rsidR="000B518F">
        <w:rPr>
          <w:rFonts w:ascii="Sylfaen" w:hAnsi="Sylfaen"/>
          <w:sz w:val="24"/>
        </w:rPr>
        <w:t>ալգորիթմի</w:t>
      </w:r>
      <w:r>
        <w:rPr>
          <w:rFonts w:ascii="Sylfaen" w:hAnsi="Sylfaen"/>
          <w:sz w:val="24"/>
        </w:rPr>
        <w:t xml:space="preserve"> մուտքում</w:t>
      </w:r>
      <w:r w:rsidR="000B518F">
        <w:rPr>
          <w:rFonts w:ascii="Sylfaen" w:hAnsi="Sylfaen"/>
          <w:sz w:val="24"/>
        </w:rPr>
        <w:t>՝</w:t>
      </w:r>
      <w:r>
        <w:rPr>
          <w:rFonts w:ascii="Sylfaen" w:hAnsi="Sylfaen"/>
          <w:sz w:val="24"/>
        </w:rPr>
        <w:t xml:space="preserve"> ավելի ճշգրիտ բաշխման համար:</w:t>
      </w:r>
    </w:p>
    <w:p w:rsidR="00F8413E" w:rsidRDefault="00A33B98" w:rsidP="008C2863">
      <w:pPr>
        <w:jc w:val="both"/>
        <w:rPr>
          <w:rFonts w:ascii="Sylfaen" w:hAnsi="Sylfaen"/>
          <w:b/>
          <w:sz w:val="28"/>
        </w:rPr>
      </w:pPr>
      <w:r>
        <w:rPr>
          <w:rFonts w:ascii="Sylfaen" w:hAnsi="Sylfaen"/>
          <w:b/>
          <w:sz w:val="28"/>
        </w:rPr>
        <w:t>3</w:t>
      </w:r>
      <w:r w:rsidR="000D69FD">
        <w:rPr>
          <w:rFonts w:ascii="Sylfaen" w:hAnsi="Sylfaen"/>
          <w:b/>
          <w:sz w:val="28"/>
        </w:rPr>
        <w:t>.2  Հատկորոշող գործակիցների շեմային վերլուծությունը</w:t>
      </w:r>
    </w:p>
    <w:p w:rsidR="000D69FD" w:rsidRDefault="000D69FD" w:rsidP="008C2863">
      <w:pPr>
        <w:jc w:val="both"/>
        <w:rPr>
          <w:rFonts w:ascii="GHEA Grapalat" w:eastAsiaTheme="minorEastAsia" w:hAnsi="GHEA Grapalat"/>
          <w:sz w:val="24"/>
        </w:rPr>
      </w:pPr>
      <w:r>
        <w:rPr>
          <w:rFonts w:ascii="Sylfaen" w:hAnsi="Sylfaen"/>
          <w:sz w:val="24"/>
        </w:rPr>
        <w:t xml:space="preserve">Ենթադրենք </w:t>
      </w:r>
      <m:oMath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</m:d>
          </m:sup>
        </m:sSubSup>
        <m:r>
          <w:rPr>
            <w:rFonts w:ascii="Cambria Math" w:hAnsi="Cambria Math"/>
            <w:sz w:val="24"/>
          </w:rPr>
          <m:t>-ը</m:t>
        </m:r>
      </m:oMath>
      <w:r>
        <w:rPr>
          <w:rFonts w:ascii="Sylfaen" w:eastAsiaTheme="minorEastAsia" w:hAnsi="Sylfaen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l</m:t>
        </m:r>
      </m:oMath>
      <w:r>
        <w:rPr>
          <w:rFonts w:ascii="Sylfaen" w:eastAsiaTheme="minorEastAsia" w:hAnsi="Sylfaen"/>
          <w:sz w:val="24"/>
        </w:rPr>
        <w:t xml:space="preserve"> մակարդակում հատկորոշող գործակիցներն են: Ազդանշանի բնականոն հատվածների համար դրանց բաշխումը սովորբար կենտրոնացված է 0-ի որոշակի շրջակայքում, իսկ անոմալիաները ստեղծում են բաշխման </w:t>
      </w:r>
      <w:r>
        <w:rPr>
          <w:rFonts w:ascii="GHEA Grapalat" w:eastAsiaTheme="minorEastAsia" w:hAnsi="GHEA Grapalat"/>
          <w:sz w:val="24"/>
        </w:rPr>
        <w:t></w:t>
      </w:r>
      <w:r w:rsidRPr="000D69FD">
        <w:rPr>
          <w:rFonts w:ascii="Sylfaen" w:eastAsiaTheme="minorEastAsia" w:hAnsi="Sylfaen"/>
          <w:sz w:val="24"/>
        </w:rPr>
        <w:t>պոչեր</w:t>
      </w:r>
      <w:r>
        <w:rPr>
          <w:rFonts w:ascii="GHEA Grapalat" w:eastAsiaTheme="minorEastAsia" w:hAnsi="GHEA Grapalat"/>
          <w:sz w:val="24"/>
        </w:rPr>
        <w:t>:</w:t>
      </w:r>
    </w:p>
    <w:p w:rsidR="00A72C41" w:rsidRDefault="00A72C41" w:rsidP="008C2863">
      <w:p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 xml:space="preserve">Պարզագույն շեմային սխեմայում ներմուծվում է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l</m:t>
            </m:r>
          </m:sub>
        </m:sSub>
      </m:oMath>
      <w:r>
        <w:rPr>
          <w:rFonts w:ascii="Sylfaen" w:eastAsiaTheme="minorEastAsia" w:hAnsi="Sylfaen"/>
          <w:sz w:val="24"/>
        </w:rPr>
        <w:t xml:space="preserve"> շեմ և հատվածը համարվում է կասկածելի, եթե տրված ժամանակային միջակայքում նշանակալի թվով  համար j ինդեքսների համար </w:t>
      </w:r>
    </w:p>
    <w:p w:rsidR="00A72C41" w:rsidRPr="00A72C41" w:rsidRDefault="00A33B98" w:rsidP="008C2863">
      <w:pPr>
        <w:jc w:val="both"/>
        <w:rPr>
          <w:rFonts w:ascii="Sylfaen" w:eastAsiaTheme="minorEastAsia" w:hAnsi="Sylfaen"/>
          <w:sz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l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  <w:sz w:val="24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sub>
          </m:sSub>
        </m:oMath>
      </m:oMathPara>
    </w:p>
    <w:p w:rsidR="00A72C41" w:rsidRDefault="00A72C41" w:rsidP="008C2863">
      <w:p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 xml:space="preserve">Շեմային արժեքը կարող է լինել </w:t>
      </w:r>
    </w:p>
    <w:p w:rsidR="00A72C41" w:rsidRDefault="00A72C41" w:rsidP="008C2863">
      <w:pPr>
        <w:pStyle w:val="a3"/>
        <w:numPr>
          <w:ilvl w:val="0"/>
          <w:numId w:val="2"/>
        </w:num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>Ֆիքսված (հիմնված ապրիորիկ պատկերացումների վրա)</w:t>
      </w:r>
    </w:p>
    <w:p w:rsidR="00A72C41" w:rsidRDefault="00A72C41" w:rsidP="008C2863">
      <w:pPr>
        <w:pStyle w:val="a3"/>
        <w:numPr>
          <w:ilvl w:val="0"/>
          <w:numId w:val="2"/>
        </w:num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 xml:space="preserve">Համեմատական ստանդարտ շեղման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l</m:t>
            </m:r>
          </m:sub>
        </m:sSub>
      </m:oMath>
      <w:r>
        <w:rPr>
          <w:rFonts w:ascii="Sylfaen" w:eastAsiaTheme="minorEastAsia" w:hAnsi="Sylfaen"/>
          <w:sz w:val="28"/>
        </w:rPr>
        <w:t xml:space="preserve"> </w:t>
      </w:r>
      <w:r>
        <w:rPr>
          <w:rFonts w:ascii="Sylfaen" w:eastAsiaTheme="minorEastAsia" w:hAnsi="Sylfaen"/>
          <w:sz w:val="24"/>
        </w:rPr>
        <w:t>գնահատականին,</w:t>
      </w:r>
    </w:p>
    <w:p w:rsidR="00A72C41" w:rsidRPr="00A72C41" w:rsidRDefault="00A72C41" w:rsidP="008C2863">
      <w:pPr>
        <w:pStyle w:val="a3"/>
        <w:jc w:val="both"/>
        <w:rPr>
          <w:rFonts w:ascii="Sylfaen" w:eastAsiaTheme="minorEastAsia" w:hAnsi="Sylfaen"/>
          <w:sz w:val="24"/>
        </w:rPr>
      </w:pPr>
    </w:p>
    <w:p w:rsidR="00A72C41" w:rsidRPr="00A72C41" w:rsidRDefault="00A33B98" w:rsidP="008C2863">
      <w:pPr>
        <w:jc w:val="both"/>
        <w:rPr>
          <w:rFonts w:ascii="Sylfaen" w:eastAsiaTheme="minorEastAsia" w:hAnsi="Sylfae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sub>
          </m:sSub>
        </m:oMath>
      </m:oMathPara>
    </w:p>
    <w:p w:rsidR="00A72C41" w:rsidRDefault="00A72C41" w:rsidP="008C2863">
      <w:p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>Որտեղ k-ն գործակից է:</w:t>
      </w:r>
    </w:p>
    <w:p w:rsidR="00F26913" w:rsidRDefault="00F26913" w:rsidP="008C2863">
      <w:pPr>
        <w:jc w:val="both"/>
        <w:rPr>
          <w:rFonts w:ascii="Sylfaen" w:eastAsiaTheme="minorEastAsia" w:hAnsi="Sylfaen"/>
          <w:sz w:val="24"/>
        </w:rPr>
      </w:pPr>
    </w:p>
    <w:p w:rsidR="008C2863" w:rsidRDefault="00A33B98" w:rsidP="008C2863">
      <w:pPr>
        <w:jc w:val="both"/>
        <w:rPr>
          <w:rFonts w:ascii="Sylfaen" w:eastAsiaTheme="minorEastAsia" w:hAnsi="Sylfaen"/>
          <w:b/>
          <w:sz w:val="28"/>
        </w:rPr>
      </w:pPr>
      <w:r>
        <w:rPr>
          <w:rFonts w:ascii="Sylfaen" w:eastAsiaTheme="minorEastAsia" w:hAnsi="Sylfaen"/>
          <w:b/>
          <w:sz w:val="28"/>
        </w:rPr>
        <w:t>3</w:t>
      </w:r>
      <w:r w:rsidR="00F26913" w:rsidRPr="00F26913">
        <w:rPr>
          <w:rFonts w:ascii="Sylfaen" w:eastAsiaTheme="minorEastAsia" w:hAnsi="Sylfaen"/>
          <w:b/>
          <w:sz w:val="28"/>
        </w:rPr>
        <w:t>.3</w:t>
      </w:r>
      <w:r w:rsidR="00F26913">
        <w:rPr>
          <w:rFonts w:ascii="Sylfaen" w:eastAsiaTheme="minorEastAsia" w:hAnsi="Sylfaen"/>
          <w:b/>
          <w:sz w:val="28"/>
        </w:rPr>
        <w:t xml:space="preserve"> Խոտորումների վիճակագրական չափանիշները</w:t>
      </w:r>
    </w:p>
    <w:p w:rsidR="00C329EA" w:rsidRDefault="00C329EA" w:rsidP="008C2863">
      <w:p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lastRenderedPageBreak/>
        <w:t>Լրացուցիչ կարելի է դիտարկել հատկորոշող գործակիցները որպես պատահական մեծությունների ընտրանք և կիրառել ստանդարտ չափանիշներ.</w:t>
      </w:r>
    </w:p>
    <w:p w:rsidR="00C329EA" w:rsidRDefault="00C329EA" w:rsidP="008C2863">
      <w:pPr>
        <w:pStyle w:val="a3"/>
        <w:numPr>
          <w:ilvl w:val="0"/>
          <w:numId w:val="3"/>
        </w:num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>Z- գնահատականներ՝ նորմավորված շեղումներ</w:t>
      </w:r>
    </w:p>
    <w:p w:rsidR="00C329EA" w:rsidRDefault="00C329EA" w:rsidP="008C2863">
      <w:pPr>
        <w:pStyle w:val="a3"/>
        <w:numPr>
          <w:ilvl w:val="0"/>
          <w:numId w:val="3"/>
        </w:num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>Քվանտիլային շեմեր (</w:t>
      </w:r>
      <w:r w:rsidR="008C2863">
        <w:rPr>
          <w:rFonts w:ascii="Sylfaen" w:eastAsiaTheme="minorEastAsia" w:hAnsi="Sylfaen"/>
          <w:sz w:val="24"/>
        </w:rPr>
        <w:t>տոկոսային շեմեր ըստ 95 կամ 99 տոկոսի(percentil)</w:t>
      </w:r>
      <w:r>
        <w:rPr>
          <w:rFonts w:ascii="Sylfaen" w:eastAsiaTheme="minorEastAsia" w:hAnsi="Sylfaen"/>
          <w:sz w:val="24"/>
        </w:rPr>
        <w:t>)</w:t>
      </w:r>
    </w:p>
    <w:p w:rsidR="008C2863" w:rsidRDefault="008C2863" w:rsidP="008C2863">
      <w:pPr>
        <w:pStyle w:val="a3"/>
        <w:numPr>
          <w:ilvl w:val="0"/>
          <w:numId w:val="3"/>
        </w:num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>Կայուն չափորոշիչներ մադիա և MAD)</w:t>
      </w:r>
    </w:p>
    <w:p w:rsidR="008C2863" w:rsidRDefault="008C2863" w:rsidP="008C2863">
      <w:p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>Եթե տվյալ ժամանակային միջակայքում թույլատրելի միջակայքից դուրս եկող գործակիցների մասնաբաժինը գերազանցում է տրված մակարդակը, հատվածը նշվում է որպես անոմալ:</w:t>
      </w:r>
    </w:p>
    <w:p w:rsidR="008C2863" w:rsidRDefault="008C2863" w:rsidP="008C2863">
      <w:pPr>
        <w:jc w:val="both"/>
        <w:rPr>
          <w:rFonts w:ascii="Sylfaen" w:eastAsiaTheme="minorEastAsia" w:hAnsi="Sylfaen"/>
          <w:sz w:val="24"/>
        </w:rPr>
      </w:pPr>
    </w:p>
    <w:p w:rsidR="008C2863" w:rsidRDefault="00A33B98" w:rsidP="008C2863">
      <w:pPr>
        <w:jc w:val="both"/>
        <w:rPr>
          <w:rFonts w:ascii="Sylfaen" w:eastAsiaTheme="minorEastAsia" w:hAnsi="Sylfaen"/>
          <w:b/>
          <w:sz w:val="28"/>
        </w:rPr>
      </w:pPr>
      <w:bookmarkStart w:id="0" w:name="_GoBack"/>
      <w:r>
        <w:rPr>
          <w:rFonts w:ascii="Sylfaen" w:eastAsiaTheme="minorEastAsia" w:hAnsi="Sylfaen"/>
          <w:b/>
          <w:sz w:val="28"/>
        </w:rPr>
        <w:t>3</w:t>
      </w:r>
      <w:bookmarkEnd w:id="0"/>
      <w:r w:rsidR="008C2863" w:rsidRPr="008C2863">
        <w:rPr>
          <w:rFonts w:ascii="Sylfaen" w:eastAsiaTheme="minorEastAsia" w:hAnsi="Sylfaen"/>
          <w:b/>
          <w:sz w:val="28"/>
        </w:rPr>
        <w:t>.</w:t>
      </w:r>
      <w:r>
        <w:rPr>
          <w:rFonts w:ascii="Sylfaen" w:eastAsiaTheme="minorEastAsia" w:hAnsi="Sylfaen"/>
          <w:b/>
          <w:sz w:val="28"/>
        </w:rPr>
        <w:t>3</w:t>
      </w:r>
      <w:r w:rsidR="008C2863" w:rsidRPr="008C2863">
        <w:rPr>
          <w:rFonts w:ascii="Sylfaen" w:eastAsiaTheme="minorEastAsia" w:hAnsi="Sylfaen"/>
          <w:b/>
          <w:sz w:val="28"/>
        </w:rPr>
        <w:t xml:space="preserve"> Դասակարգման չափորոշիչներ </w:t>
      </w:r>
    </w:p>
    <w:p w:rsidR="008C2863" w:rsidRDefault="008C2863" w:rsidP="008C2863">
      <w:p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>Մեքենայական ուսուցման չափորոշիչի ստեղծման համար</w:t>
      </w:r>
      <w:r w:rsidR="00FE3325">
        <w:rPr>
          <w:rFonts w:ascii="Sylfaen" w:eastAsiaTheme="minorEastAsia" w:hAnsi="Sylfaen"/>
          <w:sz w:val="24"/>
        </w:rPr>
        <w:t xml:space="preserve"> (օրինակ՝ լոգիստիկ ռեգրեսիա, </w:t>
      </w:r>
      <w:r w:rsidR="00FE3325" w:rsidRPr="00FE3325">
        <w:rPr>
          <w:rFonts w:ascii="Sylfaen" w:eastAsiaTheme="minorEastAsia" w:hAnsi="Sylfaen"/>
          <w:sz w:val="24"/>
          <w:highlight w:val="yellow"/>
        </w:rPr>
        <w:t>օժանդակ/հենքային</w:t>
      </w:r>
      <w:r w:rsidR="00FE3325">
        <w:rPr>
          <w:rFonts w:ascii="Sylfaen" w:eastAsiaTheme="minorEastAsia" w:hAnsi="Sylfaen"/>
          <w:sz w:val="24"/>
        </w:rPr>
        <w:t xml:space="preserve"> վեկտորների կամ պատահական անտառի մոթոդներ )</w:t>
      </w:r>
      <w:r>
        <w:rPr>
          <w:rFonts w:ascii="Sylfaen" w:eastAsiaTheme="minorEastAsia" w:hAnsi="Sylfaen"/>
          <w:sz w:val="24"/>
        </w:rPr>
        <w:t xml:space="preserve"> օգտագործվում է Հաարի գործակիցներից դուրս բերված նախանշանների խտացված </w:t>
      </w:r>
      <w:r w:rsidR="00FE3325">
        <w:rPr>
          <w:rFonts w:ascii="Sylfaen" w:eastAsiaTheme="minorEastAsia" w:hAnsi="Sylfaen"/>
          <w:sz w:val="24"/>
        </w:rPr>
        <w:t>համախմբերը՝</w:t>
      </w:r>
    </w:p>
    <w:p w:rsidR="00FE3325" w:rsidRDefault="00FE3325" w:rsidP="00FE3325">
      <w:pPr>
        <w:pStyle w:val="a3"/>
        <w:numPr>
          <w:ilvl w:val="0"/>
          <w:numId w:val="4"/>
        </w:num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 xml:space="preserve">Ըստ մակարդակի միջին և ստանդարտ </w:t>
      </w:r>
      <m:oMath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l</m:t>
                </m:r>
              </m:e>
            </m:d>
          </m:sup>
        </m:sSubSup>
      </m:oMath>
      <w:r>
        <w:rPr>
          <w:rFonts w:ascii="Sylfaen" w:eastAsiaTheme="minorEastAsia" w:hAnsi="Sylfaen"/>
          <w:sz w:val="24"/>
        </w:rPr>
        <w:t xml:space="preserve"> շեղումները</w:t>
      </w:r>
    </w:p>
    <w:p w:rsidR="00FE3325" w:rsidRDefault="00FE3325" w:rsidP="00FE3325">
      <w:pPr>
        <w:pStyle w:val="a3"/>
        <w:numPr>
          <w:ilvl w:val="0"/>
          <w:numId w:val="4"/>
        </w:num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>Առավելագույն և փոքրագույն արժեքները</w:t>
      </w:r>
    </w:p>
    <w:p w:rsidR="00FE3325" w:rsidRDefault="00FE3325" w:rsidP="00FE3325">
      <w:pPr>
        <w:pStyle w:val="a3"/>
        <w:numPr>
          <w:ilvl w:val="0"/>
          <w:numId w:val="4"/>
        </w:num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>Շեմը գերազանցող գործակիցների մասնաբաժինը</w:t>
      </w:r>
    </w:p>
    <w:p w:rsidR="00FE3325" w:rsidRDefault="00FE3325" w:rsidP="00FE3325">
      <w:pPr>
        <w:pStyle w:val="a3"/>
        <w:numPr>
          <w:ilvl w:val="0"/>
          <w:numId w:val="4"/>
        </w:numPr>
        <w:jc w:val="both"/>
        <w:rPr>
          <w:rFonts w:ascii="Sylfaen" w:eastAsiaTheme="minorEastAsia" w:hAnsi="Sylfaen"/>
          <w:sz w:val="24"/>
        </w:rPr>
      </w:pPr>
      <w:r>
        <w:rPr>
          <w:rFonts w:ascii="Sylfaen" w:eastAsiaTheme="minorEastAsia" w:hAnsi="Sylfaen"/>
          <w:sz w:val="24"/>
        </w:rPr>
        <w:t>Մակարդակի էներգիան</w:t>
      </w:r>
    </w:p>
    <w:p w:rsidR="00FE3325" w:rsidRPr="00FE3325" w:rsidRDefault="00A33B98" w:rsidP="00FE3325">
      <w:pPr>
        <w:pStyle w:val="a3"/>
        <w:jc w:val="both"/>
        <w:rPr>
          <w:rFonts w:ascii="Sylfaen" w:eastAsiaTheme="minorEastAsia" w:hAnsi="Sylfaen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j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e>
          </m:nary>
        </m:oMath>
      </m:oMathPara>
    </w:p>
    <w:p w:rsidR="00FE3325" w:rsidRPr="004C667A" w:rsidRDefault="00FE3325" w:rsidP="00FE3325">
      <w:pPr>
        <w:pStyle w:val="a3"/>
        <w:numPr>
          <w:ilvl w:val="0"/>
          <w:numId w:val="4"/>
        </w:numPr>
        <w:jc w:val="both"/>
        <w:rPr>
          <w:rFonts w:ascii="Sylfaen" w:eastAsiaTheme="minorEastAsia" w:hAnsi="Sylfaen"/>
          <w:sz w:val="24"/>
        </w:rPr>
      </w:pPr>
      <w:r w:rsidRPr="004C667A">
        <w:rPr>
          <w:rFonts w:ascii="Sylfaen" w:eastAsiaTheme="minorEastAsia" w:hAnsi="Sylfaen"/>
          <w:sz w:val="24"/>
        </w:rPr>
        <w:t>Մակարդակների միջև էներգիաների հարաբերությունը</w:t>
      </w:r>
    </w:p>
    <w:p w:rsidR="00FE3325" w:rsidRPr="004C667A" w:rsidRDefault="00FE3325" w:rsidP="004C667A">
      <w:pPr>
        <w:ind w:firstLine="360"/>
        <w:jc w:val="both"/>
        <w:rPr>
          <w:rFonts w:ascii="Sylfaen" w:eastAsiaTheme="minorEastAsia" w:hAnsi="Sylfaen"/>
          <w:sz w:val="24"/>
          <w:lang w:val="ru-RU"/>
        </w:rPr>
      </w:pPr>
      <w:r w:rsidRPr="004C667A">
        <w:rPr>
          <w:rFonts w:ascii="Sylfaen" w:eastAsiaTheme="minorEastAsia" w:hAnsi="Sylfaen"/>
          <w:sz w:val="24"/>
        </w:rPr>
        <w:t>Ելքում, յուրաքանչյու</w:t>
      </w:r>
      <w:r w:rsidR="004C667A">
        <w:rPr>
          <w:rFonts w:ascii="Sylfaen" w:eastAsiaTheme="minorEastAsia" w:hAnsi="Sylfaen"/>
          <w:sz w:val="24"/>
          <w:lang w:val="ru-RU"/>
        </w:rPr>
        <w:t>ր</w:t>
      </w:r>
      <w:r w:rsidRPr="004C667A">
        <w:rPr>
          <w:rFonts w:ascii="Sylfaen" w:eastAsiaTheme="minorEastAsia" w:hAnsi="Sylfaen"/>
          <w:sz w:val="24"/>
        </w:rPr>
        <w:t xml:space="preserve"> ժամանակային հատվածի համար, ձևավորվում է նախանշանների վեկտոր՝ </w:t>
      </w:r>
      <m:oMath>
        <m:r>
          <w:rPr>
            <w:rFonts w:ascii="Cambria Math" w:eastAsiaTheme="minorEastAsia" w:hAnsi="Cambria Math"/>
            <w:sz w:val="24"/>
          </w:rPr>
          <m:t>z∈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p</m:t>
            </m:r>
          </m:sup>
        </m:sSup>
      </m:oMath>
      <w:r w:rsidR="004C667A" w:rsidRPr="004C667A">
        <w:rPr>
          <w:rFonts w:ascii="Sylfaen" w:eastAsiaTheme="minorEastAsia" w:hAnsi="Sylfaen"/>
          <w:sz w:val="24"/>
        </w:rPr>
        <w:t xml:space="preserve">:  Ըստ </w:t>
      </w:r>
      <w:r w:rsidR="004C667A" w:rsidRPr="004C667A">
        <w:rPr>
          <w:rFonts w:ascii="Sylfaen" w:eastAsiaTheme="minorEastAsia" w:hAnsi="Sylfaen"/>
          <w:sz w:val="24"/>
          <w:highlight w:val="yellow"/>
        </w:rPr>
        <w:t>պիտակավորված/ մակնշվված</w:t>
      </w:r>
      <w:r w:rsidR="004C667A" w:rsidRPr="004C667A">
        <w:rPr>
          <w:rFonts w:ascii="Sylfaen" w:eastAsiaTheme="minorEastAsia" w:hAnsi="Sylfaen"/>
          <w:sz w:val="24"/>
        </w:rPr>
        <w:t xml:space="preserve"> տվյալների</w:t>
      </w:r>
      <w:r w:rsidR="004C667A" w:rsidRPr="004C667A">
        <w:rPr>
          <w:rFonts w:ascii="Sylfaen" w:eastAsiaTheme="minorEastAsia" w:hAnsi="Sylfaen"/>
          <w:sz w:val="24"/>
          <w:lang w:val="ru-RU"/>
        </w:rPr>
        <w:t xml:space="preserve">   (</w:t>
      </w:r>
      <w:proofErr w:type="spellStart"/>
      <w:r w:rsidR="004C667A" w:rsidRPr="004C667A">
        <w:rPr>
          <w:rFonts w:ascii="Sylfaen" w:eastAsiaTheme="minorEastAsia" w:hAnsi="Sylfaen"/>
          <w:sz w:val="24"/>
          <w:lang w:val="ru-RU"/>
        </w:rPr>
        <w:t>նորմա</w:t>
      </w:r>
      <w:proofErr w:type="spellEnd"/>
      <w:r w:rsidR="004C667A" w:rsidRPr="004C667A">
        <w:rPr>
          <w:rFonts w:ascii="Sylfaen" w:eastAsiaTheme="minorEastAsia" w:hAnsi="Sylfaen"/>
          <w:sz w:val="24"/>
          <w:lang w:val="ru-RU"/>
        </w:rPr>
        <w:t>/</w:t>
      </w:r>
      <w:proofErr w:type="spellStart"/>
      <w:r w:rsidR="004C667A" w:rsidRPr="004C667A">
        <w:rPr>
          <w:rFonts w:ascii="Sylfaen" w:eastAsiaTheme="minorEastAsia" w:hAnsi="Sylfaen"/>
          <w:sz w:val="24"/>
          <w:lang w:val="ru-RU"/>
        </w:rPr>
        <w:t>անոմալի</w:t>
      </w:r>
      <w:proofErr w:type="spellEnd"/>
      <w:r w:rsidR="004C667A" w:rsidRPr="004C667A">
        <w:rPr>
          <w:rFonts w:ascii="Sylfaen" w:eastAsiaTheme="minorEastAsia" w:hAnsi="Sylfaen"/>
          <w:sz w:val="24"/>
          <w:lang w:val="ru-RU"/>
        </w:rPr>
        <w:t xml:space="preserve">) </w:t>
      </w:r>
      <w:proofErr w:type="spellStart"/>
      <w:r w:rsidR="004C667A" w:rsidRPr="004C667A">
        <w:rPr>
          <w:rFonts w:ascii="Sylfaen" w:eastAsiaTheme="minorEastAsia" w:hAnsi="Sylfaen"/>
          <w:sz w:val="24"/>
          <w:lang w:val="ru-RU"/>
        </w:rPr>
        <w:t>ուսուցանվում</w:t>
      </w:r>
      <w:proofErr w:type="spellEnd"/>
      <w:r w:rsidR="004C667A">
        <w:rPr>
          <w:rFonts w:ascii="Sylfaen" w:eastAsiaTheme="minorEastAsia" w:hAnsi="Sylfaen"/>
          <w:sz w:val="24"/>
          <w:lang w:val="ru-RU"/>
        </w:rPr>
        <w:t xml:space="preserve"> է </w:t>
      </w:r>
      <w:proofErr w:type="spellStart"/>
      <w:r w:rsidR="004C667A">
        <w:rPr>
          <w:rFonts w:ascii="Sylfaen" w:eastAsiaTheme="minorEastAsia" w:hAnsi="Sylfaen"/>
          <w:sz w:val="24"/>
          <w:lang w:val="ru-RU"/>
        </w:rPr>
        <w:t>երկուական</w:t>
      </w:r>
      <w:proofErr w:type="spellEnd"/>
      <w:r w:rsidR="004C667A">
        <w:rPr>
          <w:rFonts w:ascii="Sylfaen" w:eastAsiaTheme="minorEastAsia" w:hAnsi="Sylfaen"/>
          <w:sz w:val="24"/>
          <w:lang w:val="ru-RU"/>
        </w:rPr>
        <w:t xml:space="preserve"> </w:t>
      </w:r>
      <w:proofErr w:type="spellStart"/>
      <w:r w:rsidR="004C667A">
        <w:rPr>
          <w:rFonts w:ascii="Sylfaen" w:eastAsiaTheme="minorEastAsia" w:hAnsi="Sylfaen"/>
          <w:sz w:val="24"/>
          <w:lang w:val="ru-RU"/>
        </w:rPr>
        <w:t>դասակարգիչը</w:t>
      </w:r>
      <w:proofErr w:type="spellEnd"/>
      <w:r w:rsidR="004C667A">
        <w:rPr>
          <w:rFonts w:ascii="Sylfaen" w:eastAsiaTheme="minorEastAsia" w:hAnsi="Sylfaen"/>
          <w:sz w:val="24"/>
          <w:lang w:val="ru-RU"/>
        </w:rPr>
        <w:t>:</w:t>
      </w:r>
    </w:p>
    <w:p w:rsidR="00F26913" w:rsidRPr="00F26913" w:rsidRDefault="00F26913" w:rsidP="008C2863">
      <w:pPr>
        <w:jc w:val="both"/>
        <w:rPr>
          <w:rFonts w:ascii="Sylfaen" w:eastAsiaTheme="minorEastAsia" w:hAnsi="Sylfaen"/>
          <w:b/>
          <w:sz w:val="28"/>
        </w:rPr>
      </w:pPr>
    </w:p>
    <w:sectPr w:rsidR="00F26913" w:rsidRPr="00F26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B0EB2"/>
    <w:multiLevelType w:val="hybridMultilevel"/>
    <w:tmpl w:val="08CA9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55483"/>
    <w:multiLevelType w:val="hybridMultilevel"/>
    <w:tmpl w:val="FB9AC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C42E6"/>
    <w:multiLevelType w:val="hybridMultilevel"/>
    <w:tmpl w:val="858CC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3B2E64"/>
    <w:multiLevelType w:val="hybridMultilevel"/>
    <w:tmpl w:val="80FE1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593"/>
    <w:rsid w:val="000B518F"/>
    <w:rsid w:val="000D69FD"/>
    <w:rsid w:val="004C667A"/>
    <w:rsid w:val="00516593"/>
    <w:rsid w:val="007E3261"/>
    <w:rsid w:val="008C2863"/>
    <w:rsid w:val="008C2EAF"/>
    <w:rsid w:val="00A33B98"/>
    <w:rsid w:val="00A645E5"/>
    <w:rsid w:val="00A72C41"/>
    <w:rsid w:val="00C329EA"/>
    <w:rsid w:val="00F26913"/>
    <w:rsid w:val="00F8413E"/>
    <w:rsid w:val="00FE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AC3B3"/>
  <w15:chartTrackingRefBased/>
  <w15:docId w15:val="{CCCABD37-47F3-4B48-A29E-D95600EB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hy-A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13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D69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2025-11-24T06:39:00Z</dcterms:created>
  <dcterms:modified xsi:type="dcterms:W3CDTF">2025-11-24T08:45:00Z</dcterms:modified>
</cp:coreProperties>
</file>