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rtl w:val="0"/>
        </w:rPr>
        <w:t xml:space="preserve">Mila Radenkovic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rtl w:val="0"/>
        </w:rPr>
        <w:t xml:space="preserve">53/2020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A* algoritam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rtl w:val="0"/>
        </w:rPr>
        <w:t xml:space="preserve">Dajkstrin algoritam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rtl w:val="0"/>
        </w:rPr>
        <w:t xml:space="preserve"> C++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</w:t>
      </w:r>
      <w:r w:rsidDel="00000000" w:rsidR="00000000" w:rsidRPr="00000000">
        <w:rPr>
          <w:rFonts w:ascii="Arial" w:cs="Arial" w:eastAsia="Arial" w:hAnsi="Arial"/>
          <w:rtl w:val="0"/>
        </w:rPr>
        <w:t xml:space="preserve">A* algoritam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U okviru teme je obradjen A* algoritam, ideja je bila obraditi A* algoritam iz razloga sto se Dajkstrin algoritam (koji je obradjen na kursu) moze posmatrati kao specijalan slucaj A* algoritma. A* algoritam je implementiran na primeru Beckog metroa.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