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6AD" w:rsidRDefault="008E7B3D" w:rsidP="008E7B3D">
      <w:pPr>
        <w:pStyle w:val="NormalWeb"/>
        <w:shd w:val="clear" w:color="auto" w:fill="FFFFFF"/>
        <w:spacing w:before="0" w:beforeAutospacing="0" w:after="0" w:afterAutospacing="0"/>
        <w:jc w:val="center"/>
        <w:rPr>
          <w:rFonts w:ascii="Helvetica" w:hAnsi="Helvetica" w:cs="Helvetica"/>
          <w:color w:val="212121"/>
          <w:sz w:val="21"/>
          <w:szCs w:val="21"/>
        </w:rPr>
      </w:pPr>
      <w:r>
        <w:rPr>
          <w:rFonts w:ascii="Helvetica" w:hAnsi="Helvetica" w:cs="Helvetica"/>
          <w:color w:val="212121"/>
          <w:sz w:val="21"/>
          <w:szCs w:val="21"/>
        </w:rPr>
        <w:t>Estándares de desarrollo de software</w:t>
      </w:r>
    </w:p>
    <w:p w:rsidR="008E7B3D" w:rsidRDefault="008E7B3D" w:rsidP="004226AD">
      <w:pPr>
        <w:pStyle w:val="NormalWeb"/>
        <w:shd w:val="clear" w:color="auto" w:fill="FFFFFF"/>
        <w:spacing w:before="0" w:beforeAutospacing="0" w:after="0" w:afterAutospacing="0"/>
        <w:rPr>
          <w:rFonts w:ascii="Helvetica" w:hAnsi="Helvetica" w:cs="Helvetica"/>
          <w:color w:val="212121"/>
          <w:sz w:val="21"/>
          <w:szCs w:val="21"/>
        </w:rPr>
      </w:pPr>
    </w:p>
    <w:p w:rsidR="008E7B3D" w:rsidRPr="008E7B3D" w:rsidRDefault="008E7B3D" w:rsidP="008E7B3D">
      <w:pPr>
        <w:shd w:val="clear" w:color="auto" w:fill="FFFFFF"/>
        <w:spacing w:before="300" w:after="150" w:line="240" w:lineRule="auto"/>
        <w:outlineLvl w:val="0"/>
        <w:rPr>
          <w:rFonts w:ascii="Helvetica" w:eastAsia="Times New Roman" w:hAnsi="Helvetica" w:cs="Helvetica"/>
          <w:color w:val="404040"/>
          <w:kern w:val="36"/>
          <w:sz w:val="54"/>
          <w:szCs w:val="54"/>
          <w:lang w:eastAsia="es-EC"/>
        </w:rPr>
      </w:pPr>
      <w:r w:rsidRPr="008E7B3D">
        <w:rPr>
          <w:rFonts w:ascii="Helvetica" w:eastAsia="Times New Roman" w:hAnsi="Helvetica" w:cs="Helvetica"/>
          <w:color w:val="404040"/>
          <w:kern w:val="36"/>
          <w:sz w:val="54"/>
          <w:szCs w:val="54"/>
          <w:lang w:eastAsia="es-EC"/>
        </w:rPr>
        <w:t>NORMAS ISO/IEC</w:t>
      </w:r>
    </w:p>
    <w:p w:rsidR="008E7B3D" w:rsidRPr="008E7B3D" w:rsidRDefault="008E7B3D" w:rsidP="008E7B3D">
      <w:pPr>
        <w:shd w:val="clear" w:color="auto" w:fill="FFFFFF"/>
        <w:spacing w:before="300" w:after="150" w:line="240" w:lineRule="auto"/>
        <w:outlineLvl w:val="0"/>
        <w:rPr>
          <w:rFonts w:ascii="Helvetica" w:eastAsia="Times New Roman" w:hAnsi="Helvetica" w:cs="Helvetica"/>
          <w:color w:val="404040"/>
          <w:kern w:val="36"/>
          <w:sz w:val="54"/>
          <w:szCs w:val="54"/>
          <w:lang w:eastAsia="es-EC"/>
        </w:rPr>
      </w:pPr>
      <w:r w:rsidRPr="008E7B3D">
        <w:rPr>
          <w:rFonts w:ascii="Helvetica" w:eastAsia="Times New Roman" w:hAnsi="Helvetica" w:cs="Helvetica"/>
          <w:color w:val="404040"/>
          <w:kern w:val="36"/>
          <w:lang w:eastAsia="es-EC"/>
        </w:rPr>
        <w:t>ISO 12207 – Modelos de Ciclos de Vida del Software.</w:t>
      </w:r>
      <w:r w:rsidRPr="008E7B3D">
        <w:rPr>
          <w:rFonts w:ascii="Helvetica" w:eastAsia="Times New Roman" w:hAnsi="Helvetica" w:cs="Helvetica"/>
          <w:color w:val="404040"/>
          <w:kern w:val="36"/>
          <w:lang w:eastAsia="es-EC"/>
        </w:rPr>
        <w:br/>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Estándar para los procesos de ciclo de vida del software de la organización, Este estándar se concibió para aquellos interesados en adquisición de software, así como desarrolladores y proveedores. El estándar indica una serie de procesos desde la recopilación de requisitos hasta la culminación del software.</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El estándar comprende 17 procesos lo cuales son agrupados en tres categorías:</w:t>
      </w:r>
    </w:p>
    <w:p w:rsidR="008E7B3D" w:rsidRPr="008E7B3D" w:rsidRDefault="008E7B3D" w:rsidP="008E7B3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Principales</w:t>
      </w:r>
    </w:p>
    <w:p w:rsidR="008E7B3D" w:rsidRPr="008E7B3D" w:rsidRDefault="008E7B3D" w:rsidP="008E7B3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De apoyo</w:t>
      </w:r>
    </w:p>
    <w:p w:rsidR="008E7B3D" w:rsidRPr="008E7B3D" w:rsidRDefault="008E7B3D" w:rsidP="008E7B3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De organización</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Este estándar agrupa las actividades que se pueden llevar a cabo durante el ciclo de vida del software en cinco procesos principales, ocho procesos de apoyo y cuatro procesos organizativos</w:t>
      </w:r>
    </w:p>
    <w:p w:rsidR="008E7B3D" w:rsidRPr="008E7B3D" w:rsidRDefault="008E7B3D" w:rsidP="008E7B3D">
      <w:pPr>
        <w:shd w:val="clear" w:color="auto" w:fill="FFFFFF"/>
        <w:spacing w:before="300" w:after="150" w:line="240" w:lineRule="auto"/>
        <w:outlineLvl w:val="1"/>
        <w:rPr>
          <w:rFonts w:ascii="Helvetica" w:eastAsia="Times New Roman" w:hAnsi="Helvetica" w:cs="Helvetica"/>
          <w:color w:val="404040"/>
          <w:sz w:val="45"/>
          <w:szCs w:val="45"/>
          <w:lang w:eastAsia="es-EC"/>
        </w:rPr>
      </w:pPr>
      <w:r w:rsidRPr="008E7B3D">
        <w:rPr>
          <w:rFonts w:ascii="Helvetica" w:eastAsia="Times New Roman" w:hAnsi="Helvetica" w:cs="Helvetica"/>
          <w:b/>
          <w:bCs/>
          <w:noProof/>
          <w:color w:val="404040"/>
          <w:sz w:val="36"/>
          <w:szCs w:val="36"/>
          <w:lang w:eastAsia="es-EC"/>
        </w:rPr>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4600575" cy="3686175"/>
            <wp:effectExtent l="0" t="0" r="9525" b="9525"/>
            <wp:wrapSquare wrapText="bothSides"/>
            <wp:docPr id="2" name="Imagen 2" descr="http://fernandoarciniega.com/wp-content/uploads/052317_0147_NormasyEst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ernandoarciniega.com/wp-content/uploads/052317_0147_NormasyEst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7B3D">
        <w:rPr>
          <w:rFonts w:ascii="Helvetica" w:eastAsia="Times New Roman" w:hAnsi="Helvetica" w:cs="Helvetica"/>
          <w:color w:val="404040"/>
          <w:sz w:val="24"/>
          <w:szCs w:val="24"/>
          <w:lang w:eastAsia="es-EC"/>
        </w:rPr>
        <w:t>Norma ISO/IEC 9126</w:t>
      </w:r>
      <w:r w:rsidRPr="008E7B3D">
        <w:rPr>
          <w:rFonts w:ascii="Helvetica" w:eastAsia="Times New Roman" w:hAnsi="Helvetica" w:cs="Helvetica"/>
          <w:color w:val="404040"/>
          <w:sz w:val="24"/>
          <w:szCs w:val="24"/>
          <w:lang w:eastAsia="es-EC"/>
        </w:rPr>
        <w:br/>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 xml:space="preserve">La norma ISO/IEC 9126 de 1991, es la norma para evaluar los productos de software, esta norma nos indica las características de la calidad y los lineamientos para su uso, las características de calidad y sus métricas asociadas, pueden ser útiles tanto como para evaluar el producto como para definir los requerimientos de la calidad y otros usos. Esta norma definida por un marco conceptual basado en los factores tales como Calidad del Proceso, Calidad del Producto del Software y Calidad en Uso; según </w:t>
      </w:r>
      <w:r w:rsidRPr="008E7B3D">
        <w:rPr>
          <w:rFonts w:ascii="Helvetica" w:eastAsia="Times New Roman" w:hAnsi="Helvetica" w:cs="Helvetica"/>
          <w:color w:val="404040"/>
          <w:sz w:val="24"/>
          <w:szCs w:val="24"/>
          <w:lang w:eastAsia="es-EC"/>
        </w:rPr>
        <w:lastRenderedPageBreak/>
        <w:t>el marco conceptual, la calidad del producto, a su vez, contribuye a mejorar la calidad en uso.</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La norma ISO/IEC 9126 define la calidad en uso como la perspectiva del usuario de la calidad del producto software cuando éste es usado en un ambiente específico y un contexto de uso específico. Éste mide la extensión para la cual los usuarios pueden conseguir sus metas en un ambiente particular, en vez de medir las propiedades del software en sí mismo.</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noProof/>
          <w:color w:val="404040"/>
          <w:sz w:val="24"/>
          <w:szCs w:val="24"/>
          <w:lang w:eastAsia="es-EC"/>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133975" cy="2495550"/>
            <wp:effectExtent l="0" t="0" r="9525" b="0"/>
            <wp:wrapSquare wrapText="bothSides"/>
            <wp:docPr id="1" name="Imagen 1" descr="http://fernandoarciniega.com/wp-content/uploads/052317_0147_NormasyEs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ernandoarciniega.com/wp-content/uploads/052317_0147_NormasyEst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7B3D">
        <w:rPr>
          <w:rFonts w:ascii="Helvetica" w:eastAsia="Times New Roman" w:hAnsi="Helvetica" w:cs="Helvetica"/>
          <w:color w:val="404040"/>
          <w:sz w:val="24"/>
          <w:szCs w:val="24"/>
          <w:lang w:eastAsia="es-EC"/>
        </w:rPr>
        <w:t>El modelo de la calidad en uso muestra un conjunto de 4 características: efectividad, productividad, integridad, y satisfacción.</w:t>
      </w:r>
    </w:p>
    <w:p w:rsidR="008E7B3D" w:rsidRPr="008E7B3D" w:rsidRDefault="008E7B3D" w:rsidP="008E7B3D">
      <w:pPr>
        <w:shd w:val="clear" w:color="auto" w:fill="FFFFFF"/>
        <w:spacing w:before="300" w:after="150" w:line="240" w:lineRule="auto"/>
        <w:outlineLvl w:val="1"/>
        <w:rPr>
          <w:rFonts w:ascii="Helvetica" w:eastAsia="Times New Roman" w:hAnsi="Helvetica" w:cs="Helvetica"/>
          <w:color w:val="404040"/>
          <w:sz w:val="45"/>
          <w:szCs w:val="45"/>
          <w:lang w:eastAsia="es-EC"/>
        </w:rPr>
      </w:pPr>
      <w:r w:rsidRPr="008E7B3D">
        <w:rPr>
          <w:rFonts w:ascii="Helvetica" w:eastAsia="Times New Roman" w:hAnsi="Helvetica" w:cs="Helvetica"/>
          <w:color w:val="404040"/>
          <w:sz w:val="24"/>
          <w:szCs w:val="24"/>
          <w:lang w:eastAsia="es-EC"/>
        </w:rPr>
        <w:t>Estándar ISO/IEC 14598</w:t>
      </w:r>
      <w:r w:rsidRPr="008E7B3D">
        <w:rPr>
          <w:rFonts w:ascii="Helvetica" w:eastAsia="Times New Roman" w:hAnsi="Helvetica" w:cs="Helvetica"/>
          <w:color w:val="404040"/>
          <w:sz w:val="24"/>
          <w:szCs w:val="24"/>
          <w:lang w:eastAsia="es-EC"/>
        </w:rPr>
        <w:br/>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 xml:space="preserve">El estándar ISO/IEC 14598 es actualmente usado como base metodológica para la evaluación del producto software. En sus diferentes etapas, establece un marco de trabajo para evaluar la calidad de los productos de software proporcionando, además, métricas y requisitos para los procesos de evaluación de </w:t>
      </w:r>
      <w:proofErr w:type="gramStart"/>
      <w:r w:rsidRPr="008E7B3D">
        <w:rPr>
          <w:rFonts w:ascii="Helvetica" w:eastAsia="Times New Roman" w:hAnsi="Helvetica" w:cs="Helvetica"/>
          <w:color w:val="404040"/>
          <w:sz w:val="24"/>
          <w:szCs w:val="24"/>
          <w:lang w:eastAsia="es-EC"/>
        </w:rPr>
        <w:t>los mismos</w:t>
      </w:r>
      <w:proofErr w:type="gramEnd"/>
      <w:r w:rsidRPr="008E7B3D">
        <w:rPr>
          <w:rFonts w:ascii="Helvetica" w:eastAsia="Times New Roman" w:hAnsi="Helvetica" w:cs="Helvetica"/>
          <w:color w:val="404040"/>
          <w:sz w:val="24"/>
          <w:szCs w:val="24"/>
          <w:lang w:eastAsia="es-EC"/>
        </w:rPr>
        <w:t>.</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La norma define las principales características del proceso de evaluación</w:t>
      </w:r>
    </w:p>
    <w:p w:rsidR="008E7B3D" w:rsidRPr="008E7B3D" w:rsidRDefault="008E7B3D" w:rsidP="008E7B3D">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Repetitividad.</w:t>
      </w:r>
    </w:p>
    <w:p w:rsidR="008E7B3D" w:rsidRPr="008E7B3D" w:rsidRDefault="008E7B3D" w:rsidP="008E7B3D">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Reproducibilidad.</w:t>
      </w:r>
    </w:p>
    <w:p w:rsidR="008E7B3D" w:rsidRPr="008E7B3D" w:rsidRDefault="008E7B3D" w:rsidP="008E7B3D">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Imparcialidad.</w:t>
      </w:r>
    </w:p>
    <w:p w:rsidR="008E7B3D" w:rsidRPr="008E7B3D" w:rsidRDefault="008E7B3D" w:rsidP="008E7B3D">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Objetividad.</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Para estas características se describen las medidas concretas que participan:</w:t>
      </w:r>
    </w:p>
    <w:p w:rsidR="008E7B3D" w:rsidRPr="008E7B3D" w:rsidRDefault="008E7B3D" w:rsidP="008E7B3D">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Análisis de los requisitos de evaluación.</w:t>
      </w:r>
    </w:p>
    <w:p w:rsidR="008E7B3D" w:rsidRPr="008E7B3D" w:rsidRDefault="008E7B3D" w:rsidP="008E7B3D">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Evaluación de las especificaciones.</w:t>
      </w:r>
    </w:p>
    <w:p w:rsidR="008E7B3D" w:rsidRPr="008E7B3D" w:rsidRDefault="008E7B3D" w:rsidP="008E7B3D">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Evaluación del diseño y definición del plan de evaluación.</w:t>
      </w:r>
    </w:p>
    <w:p w:rsidR="008E7B3D" w:rsidRPr="008E7B3D" w:rsidRDefault="008E7B3D" w:rsidP="008E7B3D">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Ejecución del plan de evaluación.</w:t>
      </w:r>
    </w:p>
    <w:p w:rsidR="008E7B3D" w:rsidRPr="008E7B3D" w:rsidRDefault="008E7B3D" w:rsidP="008E7B3D">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Evaluación de la conclusión.</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lastRenderedPageBreak/>
        <w:t>El estándar ISO/IEC 14598 define el proceso para evaluar un producto de</w:t>
      </w:r>
      <w:hyperlink r:id="rId7" w:history="1">
        <w:r w:rsidRPr="008E7B3D">
          <w:rPr>
            <w:rFonts w:ascii="Helvetica" w:eastAsia="Times New Roman" w:hAnsi="Helvetica" w:cs="Helvetica"/>
            <w:b/>
            <w:bCs/>
            <w:color w:val="0090FF"/>
            <w:sz w:val="24"/>
            <w:szCs w:val="24"/>
            <w:lang w:eastAsia="es-EC"/>
          </w:rPr>
          <w:br/>
        </w:r>
      </w:hyperlink>
      <w:hyperlink r:id="rId8" w:history="1">
        <w:r w:rsidRPr="00934C18">
          <w:rPr>
            <w:rFonts w:ascii="Helvetica" w:eastAsia="Times New Roman" w:hAnsi="Helvetica" w:cs="Helvetica"/>
            <w:color w:val="404040"/>
            <w:sz w:val="24"/>
            <w:szCs w:val="24"/>
            <w:lang w:eastAsia="es-EC"/>
          </w:rPr>
          <w:t>softwar</w:t>
        </w:r>
      </w:hyperlink>
      <w:r w:rsidRPr="008E7B3D">
        <w:rPr>
          <w:rFonts w:ascii="Helvetica" w:eastAsia="Times New Roman" w:hAnsi="Helvetica" w:cs="Helvetica"/>
          <w:color w:val="404040"/>
          <w:sz w:val="24"/>
          <w:szCs w:val="24"/>
          <w:lang w:eastAsia="es-EC"/>
        </w:rPr>
        <w:t>e, el mismo consta de seis partes:</w:t>
      </w:r>
    </w:p>
    <w:p w:rsidR="008E7B3D" w:rsidRPr="008E7B3D" w:rsidRDefault="008E7B3D" w:rsidP="008E7B3D">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14598-1</w:t>
      </w:r>
      <w:r w:rsidRPr="008E7B3D">
        <w:rPr>
          <w:rFonts w:ascii="Helvetica" w:eastAsia="Times New Roman" w:hAnsi="Helvetica" w:cs="Helvetica"/>
          <w:color w:val="404040"/>
          <w:sz w:val="24"/>
          <w:szCs w:val="24"/>
          <w:lang w:eastAsia="es-EC"/>
        </w:rPr>
        <w:t> Visión General: provee una visión general de las otras cinco partes y explica la relación entre la evaluación del producto software y el modelo de calidad definido en la ISO/IEC 9126.</w:t>
      </w:r>
    </w:p>
    <w:p w:rsidR="008E7B3D" w:rsidRPr="008E7B3D" w:rsidRDefault="008E7B3D" w:rsidP="008E7B3D">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14598-2</w:t>
      </w:r>
      <w:r w:rsidRPr="008E7B3D">
        <w:rPr>
          <w:rFonts w:ascii="Helvetica" w:eastAsia="Times New Roman" w:hAnsi="Helvetica" w:cs="Helvetica"/>
          <w:color w:val="404040"/>
          <w:sz w:val="24"/>
          <w:szCs w:val="24"/>
          <w:lang w:eastAsia="es-EC"/>
        </w:rPr>
        <w:t> Planeamiento y Gestión: contiene requisitos y guías para las funciones de soporte tales como la planificación y gestión de la evaluación del producto del software.</w:t>
      </w:r>
    </w:p>
    <w:p w:rsidR="008E7B3D" w:rsidRPr="008E7B3D" w:rsidRDefault="008E7B3D" w:rsidP="008E7B3D">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14598-3</w:t>
      </w:r>
      <w:r w:rsidRPr="008E7B3D">
        <w:rPr>
          <w:rFonts w:ascii="Helvetica" w:eastAsia="Times New Roman" w:hAnsi="Helvetica" w:cs="Helvetica"/>
          <w:color w:val="404040"/>
          <w:sz w:val="24"/>
          <w:szCs w:val="24"/>
          <w:lang w:eastAsia="es-EC"/>
        </w:rPr>
        <w:t> Proceso para desenvolvedores: provee los requisitos y guías para la evaluación del producto software cuando la evaluación es llevada a cabo en paralelo con el desarrollo por parte del desarrollador.</w:t>
      </w:r>
    </w:p>
    <w:p w:rsidR="008E7B3D" w:rsidRPr="008E7B3D" w:rsidRDefault="008E7B3D" w:rsidP="008E7B3D">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14598-4</w:t>
      </w:r>
      <w:r w:rsidRPr="008E7B3D">
        <w:rPr>
          <w:rFonts w:ascii="Helvetica" w:eastAsia="Times New Roman" w:hAnsi="Helvetica" w:cs="Helvetica"/>
          <w:color w:val="404040"/>
          <w:sz w:val="24"/>
          <w:szCs w:val="24"/>
          <w:lang w:eastAsia="es-EC"/>
        </w:rPr>
        <w:t xml:space="preserve"> Proceso para adquirentes: provee los requisitos y guías para que la evaluación del producto software sea llevada a cabo en función a los compradores que planean adquirir o reutilizar un producto de software existente o </w:t>
      </w:r>
      <w:proofErr w:type="spellStart"/>
      <w:r w:rsidRPr="008E7B3D">
        <w:rPr>
          <w:rFonts w:ascii="Helvetica" w:eastAsia="Times New Roman" w:hAnsi="Helvetica" w:cs="Helvetica"/>
          <w:color w:val="404040"/>
          <w:sz w:val="24"/>
          <w:szCs w:val="24"/>
          <w:lang w:eastAsia="es-EC"/>
        </w:rPr>
        <w:t>pre-desarrollado</w:t>
      </w:r>
      <w:proofErr w:type="spellEnd"/>
      <w:r w:rsidRPr="008E7B3D">
        <w:rPr>
          <w:rFonts w:ascii="Helvetica" w:eastAsia="Times New Roman" w:hAnsi="Helvetica" w:cs="Helvetica"/>
          <w:color w:val="404040"/>
          <w:sz w:val="24"/>
          <w:szCs w:val="24"/>
          <w:lang w:eastAsia="es-EC"/>
        </w:rPr>
        <w:t>.</w:t>
      </w:r>
    </w:p>
    <w:p w:rsidR="008E7B3D" w:rsidRPr="008E7B3D" w:rsidRDefault="008E7B3D" w:rsidP="008E7B3D">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14598-5</w:t>
      </w:r>
      <w:r w:rsidRPr="008E7B3D">
        <w:rPr>
          <w:rFonts w:ascii="Helvetica" w:eastAsia="Times New Roman" w:hAnsi="Helvetica" w:cs="Helvetica"/>
          <w:color w:val="404040"/>
          <w:sz w:val="24"/>
          <w:szCs w:val="24"/>
          <w:lang w:eastAsia="es-EC"/>
        </w:rPr>
        <w:t> Proceso para avaladores: provee los requisitos y guías para la evaluación del producto software cuando la evaluación es llevada a cabo por evaluadores independientes.</w:t>
      </w:r>
    </w:p>
    <w:p w:rsidR="008E7B3D" w:rsidRPr="008E7B3D" w:rsidRDefault="008E7B3D" w:rsidP="008E7B3D">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14598-6</w:t>
      </w:r>
      <w:r w:rsidRPr="008E7B3D">
        <w:rPr>
          <w:rFonts w:ascii="Helvetica" w:eastAsia="Times New Roman" w:hAnsi="Helvetica" w:cs="Helvetica"/>
          <w:color w:val="404040"/>
          <w:sz w:val="24"/>
          <w:szCs w:val="24"/>
          <w:lang w:eastAsia="es-EC"/>
        </w:rPr>
        <w:t> Documentación de Módulos: provee las guías para la documentación del módulo de evaluación.</w:t>
      </w:r>
    </w:p>
    <w:p w:rsidR="008E7B3D" w:rsidRPr="008E7B3D" w:rsidRDefault="008E7B3D" w:rsidP="008E7B3D">
      <w:pPr>
        <w:shd w:val="clear" w:color="auto" w:fill="FFFFFF"/>
        <w:spacing w:before="300" w:after="150" w:line="240" w:lineRule="auto"/>
        <w:outlineLvl w:val="0"/>
        <w:rPr>
          <w:rFonts w:ascii="Helvetica" w:eastAsia="Times New Roman" w:hAnsi="Helvetica" w:cs="Helvetica"/>
          <w:color w:val="404040"/>
          <w:kern w:val="36"/>
          <w:sz w:val="54"/>
          <w:szCs w:val="54"/>
          <w:lang w:eastAsia="es-EC"/>
        </w:rPr>
      </w:pPr>
      <w:r w:rsidRPr="008E7B3D">
        <w:rPr>
          <w:rFonts w:ascii="Helvetica" w:eastAsia="Times New Roman" w:hAnsi="Helvetica" w:cs="Helvetica"/>
          <w:color w:val="404040"/>
          <w:kern w:val="36"/>
          <w:sz w:val="24"/>
          <w:szCs w:val="24"/>
          <w:lang w:eastAsia="es-EC"/>
        </w:rPr>
        <w:t>Norma ISO/IEC 25000 (</w:t>
      </w:r>
      <w:proofErr w:type="spellStart"/>
      <w:r w:rsidRPr="008E7B3D">
        <w:rPr>
          <w:rFonts w:ascii="Helvetica" w:eastAsia="Times New Roman" w:hAnsi="Helvetica" w:cs="Helvetica"/>
          <w:color w:val="404040"/>
          <w:kern w:val="36"/>
          <w:sz w:val="24"/>
          <w:szCs w:val="24"/>
          <w:lang w:eastAsia="es-EC"/>
        </w:rPr>
        <w:t>SquaRE</w:t>
      </w:r>
      <w:proofErr w:type="spellEnd"/>
      <w:r w:rsidRPr="008E7B3D">
        <w:rPr>
          <w:rFonts w:ascii="Helvetica" w:eastAsia="Times New Roman" w:hAnsi="Helvetica" w:cs="Helvetica"/>
          <w:color w:val="404040"/>
          <w:kern w:val="36"/>
          <w:sz w:val="24"/>
          <w:szCs w:val="24"/>
          <w:lang w:eastAsia="es-EC"/>
        </w:rPr>
        <w:t>)</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ISO 25000:2005 (</w:t>
      </w:r>
      <w:proofErr w:type="spellStart"/>
      <w:r w:rsidRPr="008E7B3D">
        <w:rPr>
          <w:rFonts w:ascii="Helvetica" w:eastAsia="Times New Roman" w:hAnsi="Helvetica" w:cs="Helvetica"/>
          <w:color w:val="404040"/>
          <w:sz w:val="24"/>
          <w:szCs w:val="24"/>
          <w:lang w:eastAsia="es-EC"/>
        </w:rPr>
        <w:t>SQuaRE</w:t>
      </w:r>
      <w:proofErr w:type="spellEnd"/>
      <w:r w:rsidRPr="008E7B3D">
        <w:rPr>
          <w:rFonts w:ascii="Helvetica" w:eastAsia="Times New Roman" w:hAnsi="Helvetica" w:cs="Helvetica"/>
          <w:color w:val="404040"/>
          <w:sz w:val="24"/>
          <w:szCs w:val="24"/>
          <w:lang w:eastAsia="es-EC"/>
        </w:rPr>
        <w:t xml:space="preserve"> -Software </w:t>
      </w:r>
      <w:proofErr w:type="spellStart"/>
      <w:r w:rsidRPr="008E7B3D">
        <w:rPr>
          <w:rFonts w:ascii="Helvetica" w:eastAsia="Times New Roman" w:hAnsi="Helvetica" w:cs="Helvetica"/>
          <w:color w:val="404040"/>
          <w:sz w:val="24"/>
          <w:szCs w:val="24"/>
          <w:lang w:eastAsia="es-EC"/>
        </w:rPr>
        <w:t>Quality</w:t>
      </w:r>
      <w:proofErr w:type="spellEnd"/>
      <w:r w:rsidRPr="008E7B3D">
        <w:rPr>
          <w:rFonts w:ascii="Helvetica" w:eastAsia="Times New Roman" w:hAnsi="Helvetica" w:cs="Helvetica"/>
          <w:color w:val="404040"/>
          <w:sz w:val="24"/>
          <w:szCs w:val="24"/>
          <w:lang w:eastAsia="es-EC"/>
        </w:rPr>
        <w:t xml:space="preserve"> </w:t>
      </w:r>
      <w:proofErr w:type="spellStart"/>
      <w:r w:rsidRPr="008E7B3D">
        <w:rPr>
          <w:rFonts w:ascii="Helvetica" w:eastAsia="Times New Roman" w:hAnsi="Helvetica" w:cs="Helvetica"/>
          <w:color w:val="404040"/>
          <w:sz w:val="24"/>
          <w:szCs w:val="24"/>
          <w:lang w:eastAsia="es-EC"/>
        </w:rPr>
        <w:t>Requirements</w:t>
      </w:r>
      <w:proofErr w:type="spellEnd"/>
      <w:r w:rsidRPr="008E7B3D">
        <w:rPr>
          <w:rFonts w:ascii="Helvetica" w:eastAsia="Times New Roman" w:hAnsi="Helvetica" w:cs="Helvetica"/>
          <w:color w:val="404040"/>
          <w:sz w:val="24"/>
          <w:szCs w:val="24"/>
          <w:lang w:eastAsia="es-EC"/>
        </w:rPr>
        <w:t xml:space="preserve"> and </w:t>
      </w:r>
      <w:proofErr w:type="spellStart"/>
      <w:r w:rsidRPr="008E7B3D">
        <w:rPr>
          <w:rFonts w:ascii="Helvetica" w:eastAsia="Times New Roman" w:hAnsi="Helvetica" w:cs="Helvetica"/>
          <w:color w:val="404040"/>
          <w:sz w:val="24"/>
          <w:szCs w:val="24"/>
          <w:lang w:eastAsia="es-EC"/>
        </w:rPr>
        <w:t>Evaluation</w:t>
      </w:r>
      <w:proofErr w:type="spellEnd"/>
      <w:r w:rsidRPr="008E7B3D">
        <w:rPr>
          <w:rFonts w:ascii="Helvetica" w:eastAsia="Times New Roman" w:hAnsi="Helvetica" w:cs="Helvetica"/>
          <w:color w:val="404040"/>
          <w:sz w:val="24"/>
          <w:szCs w:val="24"/>
          <w:lang w:eastAsia="es-EC"/>
        </w:rPr>
        <w:t xml:space="preserve">) es una nueva serie de normas que se basa en ISO 9126 y en ISO 14598 (Evaluación del software). Uno de los principales objetivos de la serie </w:t>
      </w:r>
      <w:proofErr w:type="spellStart"/>
      <w:r w:rsidRPr="008E7B3D">
        <w:rPr>
          <w:rFonts w:ascii="Helvetica" w:eastAsia="Times New Roman" w:hAnsi="Helvetica" w:cs="Helvetica"/>
          <w:color w:val="404040"/>
          <w:sz w:val="24"/>
          <w:szCs w:val="24"/>
          <w:lang w:eastAsia="es-EC"/>
        </w:rPr>
        <w:t>SQuaRE</w:t>
      </w:r>
      <w:proofErr w:type="spellEnd"/>
      <w:r w:rsidRPr="008E7B3D">
        <w:rPr>
          <w:rFonts w:ascii="Helvetica" w:eastAsia="Times New Roman" w:hAnsi="Helvetica" w:cs="Helvetica"/>
          <w:color w:val="404040"/>
          <w:sz w:val="24"/>
          <w:szCs w:val="24"/>
          <w:lang w:eastAsia="es-EC"/>
        </w:rPr>
        <w:t xml:space="preserve"> es la coordinación y armonización del contenido de ISO 9126 y de ISO 15939:2002 (</w:t>
      </w:r>
      <w:proofErr w:type="spellStart"/>
      <w:r w:rsidRPr="008E7B3D">
        <w:rPr>
          <w:rFonts w:ascii="Helvetica" w:eastAsia="Times New Roman" w:hAnsi="Helvetica" w:cs="Helvetica"/>
          <w:color w:val="404040"/>
          <w:sz w:val="24"/>
          <w:szCs w:val="24"/>
          <w:lang w:eastAsia="es-EC"/>
        </w:rPr>
        <w:t>Measurement</w:t>
      </w:r>
      <w:proofErr w:type="spellEnd"/>
      <w:r w:rsidRPr="008E7B3D">
        <w:rPr>
          <w:rFonts w:ascii="Helvetica" w:eastAsia="Times New Roman" w:hAnsi="Helvetica" w:cs="Helvetica"/>
          <w:color w:val="404040"/>
          <w:sz w:val="24"/>
          <w:szCs w:val="24"/>
          <w:lang w:eastAsia="es-EC"/>
        </w:rPr>
        <w:t xml:space="preserve"> </w:t>
      </w:r>
      <w:proofErr w:type="spellStart"/>
      <w:r w:rsidRPr="008E7B3D">
        <w:rPr>
          <w:rFonts w:ascii="Helvetica" w:eastAsia="Times New Roman" w:hAnsi="Helvetica" w:cs="Helvetica"/>
          <w:color w:val="404040"/>
          <w:sz w:val="24"/>
          <w:szCs w:val="24"/>
          <w:lang w:eastAsia="es-EC"/>
        </w:rPr>
        <w:t>Information</w:t>
      </w:r>
      <w:proofErr w:type="spellEnd"/>
      <w:r w:rsidRPr="008E7B3D">
        <w:rPr>
          <w:rFonts w:ascii="Helvetica" w:eastAsia="Times New Roman" w:hAnsi="Helvetica" w:cs="Helvetica"/>
          <w:color w:val="404040"/>
          <w:sz w:val="24"/>
          <w:szCs w:val="24"/>
          <w:lang w:eastAsia="es-EC"/>
        </w:rPr>
        <w:t xml:space="preserve"> </w:t>
      </w:r>
      <w:proofErr w:type="spellStart"/>
      <w:r w:rsidRPr="008E7B3D">
        <w:rPr>
          <w:rFonts w:ascii="Helvetica" w:eastAsia="Times New Roman" w:hAnsi="Helvetica" w:cs="Helvetica"/>
          <w:color w:val="404040"/>
          <w:sz w:val="24"/>
          <w:szCs w:val="24"/>
          <w:lang w:eastAsia="es-EC"/>
        </w:rPr>
        <w:t>Model</w:t>
      </w:r>
      <w:proofErr w:type="spellEnd"/>
      <w:r w:rsidRPr="008E7B3D">
        <w:rPr>
          <w:rFonts w:ascii="Helvetica" w:eastAsia="Times New Roman" w:hAnsi="Helvetica" w:cs="Helvetica"/>
          <w:color w:val="404040"/>
          <w:sz w:val="24"/>
          <w:szCs w:val="24"/>
          <w:lang w:eastAsia="es-EC"/>
        </w:rPr>
        <w:t>).</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ISO 15939 tiene un modelo de información que ayuda a determinar que se debe especificar durante la planificación, performance y evaluación de la medición. Para su aplicación, cuenta con los siguientes pasos: Recopilar los datos, Preparación de los datos y Análisis de los datos.</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proofErr w:type="spellStart"/>
      <w:r w:rsidRPr="008E7B3D">
        <w:rPr>
          <w:rFonts w:ascii="Helvetica" w:eastAsia="Times New Roman" w:hAnsi="Helvetica" w:cs="Helvetica"/>
          <w:color w:val="404040"/>
          <w:sz w:val="24"/>
          <w:szCs w:val="24"/>
          <w:lang w:eastAsia="es-EC"/>
        </w:rPr>
        <w:t>SQuaRE</w:t>
      </w:r>
      <w:proofErr w:type="spellEnd"/>
      <w:r w:rsidRPr="008E7B3D">
        <w:rPr>
          <w:rFonts w:ascii="Helvetica" w:eastAsia="Times New Roman" w:hAnsi="Helvetica" w:cs="Helvetica"/>
          <w:color w:val="404040"/>
          <w:sz w:val="24"/>
          <w:szCs w:val="24"/>
          <w:lang w:eastAsia="es-EC"/>
        </w:rPr>
        <w:t xml:space="preserve"> está formada por las divisiones siguientes:</w:t>
      </w:r>
    </w:p>
    <w:p w:rsidR="008E7B3D" w:rsidRPr="008E7B3D" w:rsidRDefault="008E7B3D" w:rsidP="008E7B3D">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2500n</w:t>
      </w:r>
      <w:r w:rsidRPr="008E7B3D">
        <w:rPr>
          <w:rFonts w:ascii="Helvetica" w:eastAsia="Times New Roman" w:hAnsi="Helvetica" w:cs="Helvetica"/>
          <w:color w:val="404040"/>
          <w:sz w:val="24"/>
          <w:szCs w:val="24"/>
          <w:lang w:eastAsia="es-EC"/>
        </w:rPr>
        <w:t xml:space="preserve">. División de gestión de calidad. Los estándares que forman esta división definen todos los modelos comunes, términos y referencias a los que se alude en las demás divisiones de </w:t>
      </w:r>
      <w:proofErr w:type="spellStart"/>
      <w:r w:rsidRPr="008E7B3D">
        <w:rPr>
          <w:rFonts w:ascii="Helvetica" w:eastAsia="Times New Roman" w:hAnsi="Helvetica" w:cs="Helvetica"/>
          <w:color w:val="404040"/>
          <w:sz w:val="24"/>
          <w:szCs w:val="24"/>
          <w:lang w:eastAsia="es-EC"/>
        </w:rPr>
        <w:t>SQuaRE</w:t>
      </w:r>
      <w:proofErr w:type="spellEnd"/>
      <w:r w:rsidRPr="008E7B3D">
        <w:rPr>
          <w:rFonts w:ascii="Helvetica" w:eastAsia="Times New Roman" w:hAnsi="Helvetica" w:cs="Helvetica"/>
          <w:color w:val="404040"/>
          <w:sz w:val="24"/>
          <w:szCs w:val="24"/>
          <w:lang w:eastAsia="es-EC"/>
        </w:rPr>
        <w:t>.</w:t>
      </w:r>
    </w:p>
    <w:p w:rsidR="008E7B3D" w:rsidRPr="008E7B3D" w:rsidRDefault="008E7B3D" w:rsidP="008E7B3D">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2501n</w:t>
      </w:r>
      <w:r w:rsidRPr="008E7B3D">
        <w:rPr>
          <w:rFonts w:ascii="Helvetica" w:eastAsia="Times New Roman" w:hAnsi="Helvetica" w:cs="Helvetica"/>
          <w:color w:val="404040"/>
          <w:sz w:val="24"/>
          <w:szCs w:val="24"/>
          <w:lang w:eastAsia="es-EC"/>
        </w:rPr>
        <w:t>. División del modelo de calidad. El estándar que conforma esta división presenta un modelo de calidad detallado, incluyendo características para la calidad interna, externa y en uso.</w:t>
      </w:r>
    </w:p>
    <w:p w:rsidR="008E7B3D" w:rsidRPr="008E7B3D" w:rsidRDefault="008E7B3D" w:rsidP="008E7B3D">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2502n</w:t>
      </w:r>
      <w:r w:rsidRPr="008E7B3D">
        <w:rPr>
          <w:rFonts w:ascii="Helvetica" w:eastAsia="Times New Roman" w:hAnsi="Helvetica" w:cs="Helvetica"/>
          <w:color w:val="404040"/>
          <w:sz w:val="24"/>
          <w:szCs w:val="24"/>
          <w:lang w:eastAsia="es-EC"/>
        </w:rPr>
        <w:t>. División de mediciones de calidad. Los estándares pertenecientes a esta división incluyen un modelo de referencia de calidad del producto software, definiciones matemáticas de las métricas de calidad y una guía práctica para su aplicación.</w:t>
      </w:r>
    </w:p>
    <w:p w:rsidR="008E7B3D" w:rsidRPr="008E7B3D" w:rsidRDefault="008E7B3D" w:rsidP="008E7B3D">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2503n</w:t>
      </w:r>
      <w:r w:rsidRPr="008E7B3D">
        <w:rPr>
          <w:rFonts w:ascii="Helvetica" w:eastAsia="Times New Roman" w:hAnsi="Helvetica" w:cs="Helvetica"/>
          <w:color w:val="404040"/>
          <w:sz w:val="24"/>
          <w:szCs w:val="24"/>
          <w:lang w:eastAsia="es-EC"/>
        </w:rPr>
        <w:t xml:space="preserve">. División de requisitos de calidad. Los estándares que forman parte de esta división ayudan a especificar los requisitos de calidad. Estos requisitos pueden ser usados en el proceso de </w:t>
      </w:r>
      <w:r w:rsidRPr="008E7B3D">
        <w:rPr>
          <w:rFonts w:ascii="Helvetica" w:eastAsia="Times New Roman" w:hAnsi="Helvetica" w:cs="Helvetica"/>
          <w:color w:val="404040"/>
          <w:sz w:val="24"/>
          <w:szCs w:val="24"/>
          <w:lang w:eastAsia="es-EC"/>
        </w:rPr>
        <w:lastRenderedPageBreak/>
        <w:t xml:space="preserve">especificación de requisitos de calidad para un producto software que va a ser desarrollado </w:t>
      </w:r>
      <w:proofErr w:type="spellStart"/>
      <w:r w:rsidRPr="008E7B3D">
        <w:rPr>
          <w:rFonts w:ascii="Helvetica" w:eastAsia="Times New Roman" w:hAnsi="Helvetica" w:cs="Helvetica"/>
          <w:color w:val="404040"/>
          <w:sz w:val="24"/>
          <w:szCs w:val="24"/>
          <w:lang w:eastAsia="es-EC"/>
        </w:rPr>
        <w:t>ó</w:t>
      </w:r>
      <w:proofErr w:type="spellEnd"/>
      <w:r w:rsidRPr="008E7B3D">
        <w:rPr>
          <w:rFonts w:ascii="Helvetica" w:eastAsia="Times New Roman" w:hAnsi="Helvetica" w:cs="Helvetica"/>
          <w:color w:val="404040"/>
          <w:sz w:val="24"/>
          <w:szCs w:val="24"/>
          <w:lang w:eastAsia="es-EC"/>
        </w:rPr>
        <w:t xml:space="preserve"> como entrada para un proceso de evaluación. El proceso de definición de requisitos se guía por el establecido en la norma ISO/IEC 15288 (ISO, 2003).</w:t>
      </w:r>
    </w:p>
    <w:p w:rsidR="008E7B3D" w:rsidRPr="008E7B3D" w:rsidRDefault="008E7B3D" w:rsidP="008E7B3D">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2504n</w:t>
      </w:r>
      <w:r w:rsidRPr="008E7B3D">
        <w:rPr>
          <w:rFonts w:ascii="Helvetica" w:eastAsia="Times New Roman" w:hAnsi="Helvetica" w:cs="Helvetica"/>
          <w:color w:val="404040"/>
          <w:sz w:val="24"/>
          <w:szCs w:val="24"/>
          <w:lang w:eastAsia="es-EC"/>
        </w:rPr>
        <w:t>. División de evaluación de la calidad. Estos estándares proporcionan requisitos, recomendaciones y guías para la evaluación de un producto software, tanto si la llevan a cabo evaluadores, como clientes o desarrolladores.</w:t>
      </w:r>
    </w:p>
    <w:p w:rsidR="008E7B3D" w:rsidRPr="008E7B3D" w:rsidRDefault="008E7B3D" w:rsidP="008E7B3D">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ISO/IEC 25050–25099</w:t>
      </w:r>
      <w:r w:rsidRPr="008E7B3D">
        <w:rPr>
          <w:rFonts w:ascii="Helvetica" w:eastAsia="Times New Roman" w:hAnsi="Helvetica" w:cs="Helvetica"/>
          <w:color w:val="404040"/>
          <w:sz w:val="24"/>
          <w:szCs w:val="24"/>
          <w:lang w:eastAsia="es-EC"/>
        </w:rPr>
        <w:t xml:space="preserve">. Estándares de extensión </w:t>
      </w:r>
      <w:proofErr w:type="spellStart"/>
      <w:r w:rsidRPr="008E7B3D">
        <w:rPr>
          <w:rFonts w:ascii="Helvetica" w:eastAsia="Times New Roman" w:hAnsi="Helvetica" w:cs="Helvetica"/>
          <w:color w:val="404040"/>
          <w:sz w:val="24"/>
          <w:szCs w:val="24"/>
          <w:lang w:eastAsia="es-EC"/>
        </w:rPr>
        <w:t>SQuaRE</w:t>
      </w:r>
      <w:proofErr w:type="spellEnd"/>
      <w:r w:rsidRPr="008E7B3D">
        <w:rPr>
          <w:rFonts w:ascii="Helvetica" w:eastAsia="Times New Roman" w:hAnsi="Helvetica" w:cs="Helvetica"/>
          <w:color w:val="404040"/>
          <w:sz w:val="24"/>
          <w:szCs w:val="24"/>
          <w:lang w:eastAsia="es-EC"/>
        </w:rPr>
        <w:t>. Incluyen requisitos para la calidad de productos de software «Off-</w:t>
      </w:r>
      <w:proofErr w:type="spellStart"/>
      <w:r w:rsidRPr="008E7B3D">
        <w:rPr>
          <w:rFonts w:ascii="Helvetica" w:eastAsia="Times New Roman" w:hAnsi="Helvetica" w:cs="Helvetica"/>
          <w:color w:val="404040"/>
          <w:sz w:val="24"/>
          <w:szCs w:val="24"/>
          <w:lang w:eastAsia="es-EC"/>
        </w:rPr>
        <w:t>The</w:t>
      </w:r>
      <w:proofErr w:type="spellEnd"/>
      <w:r w:rsidRPr="008E7B3D">
        <w:rPr>
          <w:rFonts w:ascii="Helvetica" w:eastAsia="Times New Roman" w:hAnsi="Helvetica" w:cs="Helvetica"/>
          <w:color w:val="404040"/>
          <w:sz w:val="24"/>
          <w:szCs w:val="24"/>
          <w:lang w:eastAsia="es-EC"/>
        </w:rPr>
        <w:t>-</w:t>
      </w:r>
      <w:proofErr w:type="spellStart"/>
      <w:r w:rsidRPr="008E7B3D">
        <w:rPr>
          <w:rFonts w:ascii="Helvetica" w:eastAsia="Times New Roman" w:hAnsi="Helvetica" w:cs="Helvetica"/>
          <w:color w:val="404040"/>
          <w:sz w:val="24"/>
          <w:szCs w:val="24"/>
          <w:lang w:eastAsia="es-EC"/>
        </w:rPr>
        <w:t>Self</w:t>
      </w:r>
      <w:proofErr w:type="spellEnd"/>
      <w:r w:rsidRPr="008E7B3D">
        <w:rPr>
          <w:rFonts w:ascii="Helvetica" w:eastAsia="Times New Roman" w:hAnsi="Helvetica" w:cs="Helvetica"/>
          <w:color w:val="404040"/>
          <w:sz w:val="24"/>
          <w:szCs w:val="24"/>
          <w:lang w:eastAsia="es-EC"/>
        </w:rPr>
        <w:t>» y para el formato común de la industria (CIF) para informes de usabilidad.</w:t>
      </w:r>
    </w:p>
    <w:p w:rsidR="008E7B3D" w:rsidRPr="008E7B3D" w:rsidRDefault="008E7B3D" w:rsidP="008E7B3D">
      <w:pPr>
        <w:shd w:val="clear" w:color="auto" w:fill="FFFFFF"/>
        <w:spacing w:before="300" w:after="150" w:line="240" w:lineRule="auto"/>
        <w:outlineLvl w:val="0"/>
        <w:rPr>
          <w:rFonts w:ascii="Helvetica" w:eastAsia="Times New Roman" w:hAnsi="Helvetica" w:cs="Helvetica"/>
          <w:color w:val="404040"/>
          <w:kern w:val="36"/>
          <w:sz w:val="54"/>
          <w:szCs w:val="54"/>
          <w:lang w:eastAsia="es-EC"/>
        </w:rPr>
      </w:pPr>
      <w:r w:rsidRPr="008E7B3D">
        <w:rPr>
          <w:rFonts w:ascii="Helvetica" w:eastAsia="Times New Roman" w:hAnsi="Helvetica" w:cs="Helvetica"/>
          <w:color w:val="404040"/>
          <w:kern w:val="36"/>
          <w:sz w:val="54"/>
          <w:szCs w:val="54"/>
          <w:lang w:eastAsia="es-EC"/>
        </w:rPr>
        <w:t>SPICE</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Es un estándar importante iniciativa internacional para apoyar el desarrollo de una Norma Internacional para la Evaluación de Procesos de Software. El proyecto tiene tres objetivos principales: Para desarrollar un proyecto de trabajo para un estándar para la evaluación de procesos de software. Para llevar a cabo los ensayos de la industria de la norma emergente. Para promover la transferencia de tecnología de la evaluación de procesos de software en la industria mundial del software a nivel mundial.</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El estándar SPICE creciente en número de métodos de evaluación disponibles, y la creciente utilización de la técnica comercial en áreas sensibles, fueron los factores clave que impulsaron el desarrollo y la aceptación de una propuesta para desarrollar un estándar internacional para la evaluación de procesos de software.</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 xml:space="preserve">Una Norma Internacional sobre Evaluación de Procesos de Software ofrecerá los siguientes beneficios a la industria y los usuarios del </w:t>
      </w:r>
      <w:proofErr w:type="spellStart"/>
      <w:proofErr w:type="gramStart"/>
      <w:r w:rsidRPr="008E7B3D">
        <w:rPr>
          <w:rFonts w:ascii="Helvetica" w:eastAsia="Times New Roman" w:hAnsi="Helvetica" w:cs="Helvetica"/>
          <w:color w:val="404040"/>
          <w:sz w:val="24"/>
          <w:szCs w:val="24"/>
          <w:lang w:eastAsia="es-EC"/>
        </w:rPr>
        <w:t>software:Beneficios</w:t>
      </w:r>
      <w:proofErr w:type="spellEnd"/>
      <w:proofErr w:type="gramEnd"/>
      <w:r w:rsidRPr="008E7B3D">
        <w:rPr>
          <w:rFonts w:ascii="Helvetica" w:eastAsia="Times New Roman" w:hAnsi="Helvetica" w:cs="Helvetica"/>
          <w:color w:val="404040"/>
          <w:sz w:val="24"/>
          <w:szCs w:val="24"/>
          <w:lang w:eastAsia="es-EC"/>
        </w:rPr>
        <w:t xml:space="preserve"> para la Industria del Software Los proveedores de software se someterá a un solo esquema de proceso de evaluación. Las organizaciones de desarrollo de software tendrán una herramienta para iniciar y sostener un proceso continuo de mejora. Los directores de programas tendrán un medio para garantizar que su desarrollo de software está en consonancia y apoya, las necesidades comerciales de la organización.</w:t>
      </w:r>
    </w:p>
    <w:p w:rsidR="008E7B3D" w:rsidRPr="008E7B3D" w:rsidRDefault="008E7B3D" w:rsidP="008E7B3D">
      <w:pPr>
        <w:shd w:val="clear" w:color="auto" w:fill="FFFFFF"/>
        <w:spacing w:before="300" w:after="150" w:line="240" w:lineRule="auto"/>
        <w:outlineLvl w:val="0"/>
        <w:rPr>
          <w:rFonts w:ascii="Helvetica" w:eastAsia="Times New Roman" w:hAnsi="Helvetica" w:cs="Helvetica"/>
          <w:color w:val="404040"/>
          <w:kern w:val="36"/>
          <w:sz w:val="54"/>
          <w:szCs w:val="54"/>
          <w:lang w:eastAsia="es-EC"/>
        </w:rPr>
      </w:pPr>
      <w:r w:rsidRPr="008E7B3D">
        <w:rPr>
          <w:rFonts w:ascii="Helvetica" w:eastAsia="Times New Roman" w:hAnsi="Helvetica" w:cs="Helvetica"/>
          <w:color w:val="404040"/>
          <w:kern w:val="36"/>
          <w:sz w:val="54"/>
          <w:szCs w:val="54"/>
          <w:lang w:eastAsia="es-EC"/>
        </w:rPr>
        <w:t>CMMI</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Es un modelo de mejora de los procesos de construcción de software que provee los elementos necesarios para determinar su efectividad. Este modelo puede ser utilizado como guía para mejorar las actividades de un proyecto, área u organización, ya que proporciona un marco de referencia para evaluar la efectividad de los procesos actuales, facilitando con ello la definición de actividades, prioridades y metas para garantizar la mejora continua. Es el estándar más conocido para la mejora de procesos en mejora de procesos para el desarrollo de proyectos, gestión de proveedores y gestión de servicio.</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El CMMI establece cinco niveles de madurez los cuales son: Nivel 0: Incompleto El proceso no se realiza, o no se consiguen los objetivos.</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lastRenderedPageBreak/>
        <w:t>Nivel 1</w:t>
      </w:r>
      <w:r w:rsidRPr="008E7B3D">
        <w:rPr>
          <w:rFonts w:ascii="Helvetica" w:eastAsia="Times New Roman" w:hAnsi="Helvetica" w:cs="Helvetica"/>
          <w:color w:val="404040"/>
          <w:sz w:val="24"/>
          <w:szCs w:val="24"/>
          <w:lang w:eastAsia="es-EC"/>
        </w:rPr>
        <w:br/>
      </w:r>
      <w:r w:rsidRPr="008E7B3D">
        <w:rPr>
          <w:rFonts w:ascii="Helvetica" w:eastAsia="Times New Roman" w:hAnsi="Helvetica" w:cs="Helvetica"/>
          <w:b/>
          <w:bCs/>
          <w:color w:val="404040"/>
          <w:sz w:val="24"/>
          <w:szCs w:val="24"/>
          <w:lang w:eastAsia="es-EC"/>
        </w:rPr>
        <w:t>Inicial o ejecutando:</w:t>
      </w:r>
      <w:r w:rsidRPr="008E7B3D">
        <w:rPr>
          <w:rFonts w:ascii="Helvetica" w:eastAsia="Times New Roman" w:hAnsi="Helvetica" w:cs="Helvetica"/>
          <w:color w:val="404040"/>
          <w:sz w:val="24"/>
          <w:szCs w:val="24"/>
          <w:lang w:eastAsia="es-EC"/>
        </w:rPr>
        <w:t> Este es el nivel en donde todas las empresas que no tienen procesos, es donde el proceso se ejecuta y se logra su objetivo, así sea fuera de presupuesto y de cronograma.</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Nivel 2 Repetible:</w:t>
      </w:r>
      <w:r w:rsidRPr="008E7B3D">
        <w:rPr>
          <w:rFonts w:ascii="Helvetica" w:eastAsia="Times New Roman" w:hAnsi="Helvetica" w:cs="Helvetica"/>
          <w:color w:val="404040"/>
          <w:sz w:val="24"/>
          <w:szCs w:val="24"/>
          <w:lang w:eastAsia="es-EC"/>
        </w:rPr>
        <w:t> Se da cuando el éxito de los resultados obtenidos se puede repetir.</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Nivel 3</w:t>
      </w:r>
      <w:r w:rsidRPr="008E7B3D">
        <w:rPr>
          <w:rFonts w:ascii="Helvetica" w:eastAsia="Times New Roman" w:hAnsi="Helvetica" w:cs="Helvetica"/>
          <w:color w:val="404040"/>
          <w:sz w:val="24"/>
          <w:szCs w:val="24"/>
          <w:lang w:eastAsia="es-EC"/>
        </w:rPr>
        <w:br/>
      </w:r>
      <w:r w:rsidRPr="008E7B3D">
        <w:rPr>
          <w:rFonts w:ascii="Helvetica" w:eastAsia="Times New Roman" w:hAnsi="Helvetica" w:cs="Helvetica"/>
          <w:b/>
          <w:bCs/>
          <w:color w:val="404040"/>
          <w:sz w:val="24"/>
          <w:szCs w:val="24"/>
          <w:lang w:eastAsia="es-EC"/>
        </w:rPr>
        <w:t>Definido:</w:t>
      </w:r>
      <w:r w:rsidRPr="008E7B3D">
        <w:rPr>
          <w:rFonts w:ascii="Helvetica" w:eastAsia="Times New Roman" w:hAnsi="Helvetica" w:cs="Helvetica"/>
          <w:color w:val="404040"/>
          <w:sz w:val="24"/>
          <w:szCs w:val="24"/>
          <w:lang w:eastAsia="es-EC"/>
        </w:rPr>
        <w:t> Significa que la forma de desarrollar proyectos está definida, establecida, documentada y que existen métricas.</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Nivel 4 Administrado:</w:t>
      </w:r>
      <w:r w:rsidRPr="008E7B3D">
        <w:rPr>
          <w:rFonts w:ascii="Helvetica" w:eastAsia="Times New Roman" w:hAnsi="Helvetica" w:cs="Helvetica"/>
          <w:color w:val="404040"/>
          <w:sz w:val="24"/>
          <w:szCs w:val="24"/>
          <w:lang w:eastAsia="es-EC"/>
        </w:rPr>
        <w:t xml:space="preserve"> Los proyectos usan objetivos medibles y cuantificables para </w:t>
      </w:r>
      <w:r w:rsidR="00934C18" w:rsidRPr="008E7B3D">
        <w:rPr>
          <w:rFonts w:ascii="Helvetica" w:eastAsia="Times New Roman" w:hAnsi="Helvetica" w:cs="Helvetica"/>
          <w:color w:val="404040"/>
          <w:sz w:val="24"/>
          <w:szCs w:val="24"/>
          <w:lang w:eastAsia="es-EC"/>
        </w:rPr>
        <w:t>alcanzar a</w:t>
      </w:r>
      <w:r w:rsidRPr="008E7B3D">
        <w:rPr>
          <w:rFonts w:ascii="Helvetica" w:eastAsia="Times New Roman" w:hAnsi="Helvetica" w:cs="Helvetica"/>
          <w:color w:val="404040"/>
          <w:sz w:val="24"/>
          <w:szCs w:val="24"/>
          <w:lang w:eastAsia="es-EC"/>
        </w:rPr>
        <w:t xml:space="preserve"> cubrir las necesidades de los clientes y la organización. Es decir, se usan métricas para gestionar la organización.</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b/>
          <w:bCs/>
          <w:color w:val="404040"/>
          <w:sz w:val="24"/>
          <w:szCs w:val="24"/>
          <w:lang w:eastAsia="es-EC"/>
        </w:rPr>
        <w:t>Nivel 5 Optimizado:</w:t>
      </w:r>
      <w:r w:rsidRPr="008E7B3D">
        <w:rPr>
          <w:rFonts w:ascii="Helvetica" w:eastAsia="Times New Roman" w:hAnsi="Helvetica" w:cs="Helvetica"/>
          <w:color w:val="404040"/>
          <w:sz w:val="24"/>
          <w:szCs w:val="24"/>
          <w:lang w:eastAsia="es-EC"/>
        </w:rPr>
        <w:t> Los procesos de los proyectos y de la organización están orientados a la mejora de las actividades, que mediante métricas son identificadas, evaluadas y puestas en práctica.</w:t>
      </w:r>
    </w:p>
    <w:p w:rsidR="008E7B3D" w:rsidRPr="008E7B3D" w:rsidRDefault="008E7B3D" w:rsidP="008E7B3D">
      <w:pPr>
        <w:shd w:val="clear" w:color="auto" w:fill="FFFFFF"/>
        <w:spacing w:before="300" w:after="150" w:line="240" w:lineRule="auto"/>
        <w:outlineLvl w:val="0"/>
        <w:rPr>
          <w:rFonts w:ascii="Helvetica" w:eastAsia="Times New Roman" w:hAnsi="Helvetica" w:cs="Helvetica"/>
          <w:color w:val="404040"/>
          <w:kern w:val="36"/>
          <w:sz w:val="54"/>
          <w:szCs w:val="54"/>
          <w:lang w:eastAsia="es-EC"/>
        </w:rPr>
      </w:pPr>
      <w:r w:rsidRPr="008E7B3D">
        <w:rPr>
          <w:rFonts w:ascii="Helvetica" w:eastAsia="Times New Roman" w:hAnsi="Helvetica" w:cs="Helvetica"/>
          <w:color w:val="404040"/>
          <w:kern w:val="36"/>
          <w:sz w:val="24"/>
          <w:szCs w:val="24"/>
          <w:lang w:eastAsia="es-EC"/>
        </w:rPr>
        <w:t>IEEE (</w:t>
      </w:r>
      <w:proofErr w:type="spellStart"/>
      <w:r w:rsidRPr="008E7B3D">
        <w:rPr>
          <w:rFonts w:ascii="Helvetica" w:eastAsia="Times New Roman" w:hAnsi="Helvetica" w:cs="Helvetica"/>
          <w:color w:val="404040"/>
          <w:kern w:val="36"/>
          <w:sz w:val="24"/>
          <w:szCs w:val="24"/>
          <w:lang w:eastAsia="es-EC"/>
        </w:rPr>
        <w:t>Institute</w:t>
      </w:r>
      <w:proofErr w:type="spellEnd"/>
      <w:r w:rsidRPr="008E7B3D">
        <w:rPr>
          <w:rFonts w:ascii="Helvetica" w:eastAsia="Times New Roman" w:hAnsi="Helvetica" w:cs="Helvetica"/>
          <w:color w:val="404040"/>
          <w:kern w:val="36"/>
          <w:sz w:val="24"/>
          <w:szCs w:val="24"/>
          <w:lang w:eastAsia="es-EC"/>
        </w:rPr>
        <w:t xml:space="preserve"> </w:t>
      </w:r>
      <w:proofErr w:type="spellStart"/>
      <w:r w:rsidRPr="008E7B3D">
        <w:rPr>
          <w:rFonts w:ascii="Helvetica" w:eastAsia="Times New Roman" w:hAnsi="Helvetica" w:cs="Helvetica"/>
          <w:color w:val="404040"/>
          <w:kern w:val="36"/>
          <w:sz w:val="24"/>
          <w:szCs w:val="24"/>
          <w:lang w:eastAsia="es-EC"/>
        </w:rPr>
        <w:t>of</w:t>
      </w:r>
      <w:proofErr w:type="spellEnd"/>
      <w:r w:rsidRPr="008E7B3D">
        <w:rPr>
          <w:rFonts w:ascii="Helvetica" w:eastAsia="Times New Roman" w:hAnsi="Helvetica" w:cs="Helvetica"/>
          <w:color w:val="404040"/>
          <w:kern w:val="36"/>
          <w:sz w:val="24"/>
          <w:szCs w:val="24"/>
          <w:lang w:eastAsia="es-EC"/>
        </w:rPr>
        <w:t xml:space="preserve"> </w:t>
      </w:r>
      <w:proofErr w:type="spellStart"/>
      <w:r w:rsidRPr="008E7B3D">
        <w:rPr>
          <w:rFonts w:ascii="Helvetica" w:eastAsia="Times New Roman" w:hAnsi="Helvetica" w:cs="Helvetica"/>
          <w:color w:val="404040"/>
          <w:kern w:val="36"/>
          <w:sz w:val="24"/>
          <w:szCs w:val="24"/>
          <w:lang w:eastAsia="es-EC"/>
        </w:rPr>
        <w:t>Electrical</w:t>
      </w:r>
      <w:proofErr w:type="spellEnd"/>
      <w:r w:rsidRPr="008E7B3D">
        <w:rPr>
          <w:rFonts w:ascii="Helvetica" w:eastAsia="Times New Roman" w:hAnsi="Helvetica" w:cs="Helvetica"/>
          <w:color w:val="404040"/>
          <w:kern w:val="36"/>
          <w:sz w:val="24"/>
          <w:szCs w:val="24"/>
          <w:lang w:eastAsia="es-EC"/>
        </w:rPr>
        <w:t xml:space="preserve"> and </w:t>
      </w:r>
      <w:proofErr w:type="spellStart"/>
      <w:r w:rsidRPr="008E7B3D">
        <w:rPr>
          <w:rFonts w:ascii="Helvetica" w:eastAsia="Times New Roman" w:hAnsi="Helvetica" w:cs="Helvetica"/>
          <w:color w:val="404040"/>
          <w:kern w:val="36"/>
          <w:sz w:val="24"/>
          <w:szCs w:val="24"/>
          <w:lang w:eastAsia="es-EC"/>
        </w:rPr>
        <w:t>Electronics</w:t>
      </w:r>
      <w:proofErr w:type="spellEnd"/>
      <w:r w:rsidRPr="008E7B3D">
        <w:rPr>
          <w:rFonts w:ascii="Helvetica" w:eastAsia="Times New Roman" w:hAnsi="Helvetica" w:cs="Helvetica"/>
          <w:color w:val="404040"/>
          <w:kern w:val="36"/>
          <w:sz w:val="24"/>
          <w:szCs w:val="24"/>
          <w:lang w:eastAsia="es-EC"/>
        </w:rPr>
        <w:t xml:space="preserve"> </w:t>
      </w:r>
      <w:proofErr w:type="spellStart"/>
      <w:r w:rsidRPr="008E7B3D">
        <w:rPr>
          <w:rFonts w:ascii="Helvetica" w:eastAsia="Times New Roman" w:hAnsi="Helvetica" w:cs="Helvetica"/>
          <w:color w:val="404040"/>
          <w:kern w:val="36"/>
          <w:sz w:val="24"/>
          <w:szCs w:val="24"/>
          <w:lang w:eastAsia="es-EC"/>
        </w:rPr>
        <w:t>Engineers</w:t>
      </w:r>
      <w:proofErr w:type="spellEnd"/>
      <w:r w:rsidRPr="008E7B3D">
        <w:rPr>
          <w:rFonts w:ascii="Helvetica" w:eastAsia="Times New Roman" w:hAnsi="Helvetica" w:cs="Helvetica"/>
          <w:color w:val="404040"/>
          <w:kern w:val="36"/>
          <w:sz w:val="24"/>
          <w:szCs w:val="24"/>
          <w:lang w:eastAsia="es-EC"/>
        </w:rPr>
        <w:t>)</w:t>
      </w:r>
      <w:r w:rsidRPr="008E7B3D">
        <w:rPr>
          <w:rFonts w:ascii="Helvetica" w:eastAsia="Times New Roman" w:hAnsi="Helvetica" w:cs="Helvetica"/>
          <w:color w:val="404040"/>
          <w:kern w:val="36"/>
          <w:sz w:val="24"/>
          <w:szCs w:val="24"/>
          <w:lang w:eastAsia="es-EC"/>
        </w:rPr>
        <w:br/>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 xml:space="preserve">Es un método de establecimiento y mejora del trabajo en equipo para procesos software, una asociación técnico-profesional mundial dedicada a la estandarización, entre otras cosas. Su creación se remonta al año 1884, contando entre sus fundadores a personalidades de la talla de Thomas Alva Edison, Alexander </w:t>
      </w:r>
      <w:proofErr w:type="spellStart"/>
      <w:r w:rsidRPr="008E7B3D">
        <w:rPr>
          <w:rFonts w:ascii="Helvetica" w:eastAsia="Times New Roman" w:hAnsi="Helvetica" w:cs="Helvetica"/>
          <w:color w:val="404040"/>
          <w:sz w:val="24"/>
          <w:szCs w:val="24"/>
          <w:lang w:eastAsia="es-EC"/>
        </w:rPr>
        <w:t>GrahamBell</w:t>
      </w:r>
      <w:proofErr w:type="spellEnd"/>
      <w:r w:rsidRPr="008E7B3D">
        <w:rPr>
          <w:rFonts w:ascii="Helvetica" w:eastAsia="Times New Roman" w:hAnsi="Helvetica" w:cs="Helvetica"/>
          <w:color w:val="404040"/>
          <w:sz w:val="24"/>
          <w:szCs w:val="24"/>
          <w:lang w:eastAsia="es-EC"/>
        </w:rPr>
        <w:t xml:space="preserve"> y Franklin Leonard Pope. En 1963 adoptó el nombre de IEEE al fusionarse asociaciones como el AIEE (American </w:t>
      </w:r>
      <w:proofErr w:type="spellStart"/>
      <w:r w:rsidRPr="008E7B3D">
        <w:rPr>
          <w:rFonts w:ascii="Helvetica" w:eastAsia="Times New Roman" w:hAnsi="Helvetica" w:cs="Helvetica"/>
          <w:color w:val="404040"/>
          <w:sz w:val="24"/>
          <w:szCs w:val="24"/>
          <w:lang w:eastAsia="es-EC"/>
        </w:rPr>
        <w:t>Institute</w:t>
      </w:r>
      <w:proofErr w:type="spellEnd"/>
      <w:r w:rsidRPr="008E7B3D">
        <w:rPr>
          <w:rFonts w:ascii="Helvetica" w:eastAsia="Times New Roman" w:hAnsi="Helvetica" w:cs="Helvetica"/>
          <w:color w:val="404040"/>
          <w:sz w:val="24"/>
          <w:szCs w:val="24"/>
          <w:lang w:eastAsia="es-EC"/>
        </w:rPr>
        <w:t xml:space="preserve"> </w:t>
      </w:r>
      <w:proofErr w:type="spellStart"/>
      <w:r w:rsidRPr="008E7B3D">
        <w:rPr>
          <w:rFonts w:ascii="Helvetica" w:eastAsia="Times New Roman" w:hAnsi="Helvetica" w:cs="Helvetica"/>
          <w:color w:val="404040"/>
          <w:sz w:val="24"/>
          <w:szCs w:val="24"/>
          <w:lang w:eastAsia="es-EC"/>
        </w:rPr>
        <w:t>of</w:t>
      </w:r>
      <w:proofErr w:type="spellEnd"/>
      <w:r w:rsidRPr="008E7B3D">
        <w:rPr>
          <w:rFonts w:ascii="Helvetica" w:eastAsia="Times New Roman" w:hAnsi="Helvetica" w:cs="Helvetica"/>
          <w:color w:val="404040"/>
          <w:sz w:val="24"/>
          <w:szCs w:val="24"/>
          <w:lang w:eastAsia="es-EC"/>
        </w:rPr>
        <w:t xml:space="preserve"> </w:t>
      </w:r>
      <w:proofErr w:type="spellStart"/>
      <w:r w:rsidRPr="008E7B3D">
        <w:rPr>
          <w:rFonts w:ascii="Helvetica" w:eastAsia="Times New Roman" w:hAnsi="Helvetica" w:cs="Helvetica"/>
          <w:color w:val="404040"/>
          <w:sz w:val="24"/>
          <w:szCs w:val="24"/>
          <w:lang w:eastAsia="es-EC"/>
        </w:rPr>
        <w:t>ElectricalEngineers</w:t>
      </w:r>
      <w:proofErr w:type="spellEnd"/>
      <w:r w:rsidRPr="008E7B3D">
        <w:rPr>
          <w:rFonts w:ascii="Helvetica" w:eastAsia="Times New Roman" w:hAnsi="Helvetica" w:cs="Helvetica"/>
          <w:color w:val="404040"/>
          <w:sz w:val="24"/>
          <w:szCs w:val="24"/>
          <w:lang w:eastAsia="es-EC"/>
        </w:rPr>
        <w:t>) y el IRE (</w:t>
      </w:r>
      <w:proofErr w:type="spellStart"/>
      <w:r w:rsidRPr="008E7B3D">
        <w:rPr>
          <w:rFonts w:ascii="Helvetica" w:eastAsia="Times New Roman" w:hAnsi="Helvetica" w:cs="Helvetica"/>
          <w:color w:val="404040"/>
          <w:sz w:val="24"/>
          <w:szCs w:val="24"/>
          <w:lang w:eastAsia="es-EC"/>
        </w:rPr>
        <w:t>Institute</w:t>
      </w:r>
      <w:proofErr w:type="spellEnd"/>
      <w:r w:rsidRPr="008E7B3D">
        <w:rPr>
          <w:rFonts w:ascii="Helvetica" w:eastAsia="Times New Roman" w:hAnsi="Helvetica" w:cs="Helvetica"/>
          <w:color w:val="404040"/>
          <w:sz w:val="24"/>
          <w:szCs w:val="24"/>
          <w:lang w:eastAsia="es-EC"/>
        </w:rPr>
        <w:t xml:space="preserve"> </w:t>
      </w:r>
      <w:proofErr w:type="spellStart"/>
      <w:r w:rsidRPr="008E7B3D">
        <w:rPr>
          <w:rFonts w:ascii="Helvetica" w:eastAsia="Times New Roman" w:hAnsi="Helvetica" w:cs="Helvetica"/>
          <w:color w:val="404040"/>
          <w:sz w:val="24"/>
          <w:szCs w:val="24"/>
          <w:lang w:eastAsia="es-EC"/>
        </w:rPr>
        <w:t>of</w:t>
      </w:r>
      <w:proofErr w:type="spellEnd"/>
      <w:r w:rsidRPr="008E7B3D">
        <w:rPr>
          <w:rFonts w:ascii="Helvetica" w:eastAsia="Times New Roman" w:hAnsi="Helvetica" w:cs="Helvetica"/>
          <w:color w:val="404040"/>
          <w:sz w:val="24"/>
          <w:szCs w:val="24"/>
          <w:lang w:eastAsia="es-EC"/>
        </w:rPr>
        <w:t xml:space="preserve"> Radio </w:t>
      </w:r>
      <w:proofErr w:type="spellStart"/>
      <w:r w:rsidRPr="008E7B3D">
        <w:rPr>
          <w:rFonts w:ascii="Helvetica" w:eastAsia="Times New Roman" w:hAnsi="Helvetica" w:cs="Helvetica"/>
          <w:color w:val="404040"/>
          <w:sz w:val="24"/>
          <w:szCs w:val="24"/>
          <w:lang w:eastAsia="es-EC"/>
        </w:rPr>
        <w:t>Engineers</w:t>
      </w:r>
      <w:proofErr w:type="spellEnd"/>
      <w:r w:rsidRPr="008E7B3D">
        <w:rPr>
          <w:rFonts w:ascii="Helvetica" w:eastAsia="Times New Roman" w:hAnsi="Helvetica" w:cs="Helvetica"/>
          <w:color w:val="404040"/>
          <w:sz w:val="24"/>
          <w:szCs w:val="24"/>
          <w:lang w:eastAsia="es-EC"/>
        </w:rPr>
        <w:t>).</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Según el mismo IEEE, su trabajo es promover la creatividad, el desarrollo y la integración, compartir y aplicar los avances en las tecnologías de la información, electrónica y ciencias en general para beneficio de la humanidad y de los mismos profesionales. Algunos de sus estándares son:</w:t>
      </w:r>
    </w:p>
    <w:p w:rsidR="008E7B3D" w:rsidRPr="008E7B3D" w:rsidRDefault="008E7B3D" w:rsidP="008E7B3D">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VHDL</w:t>
      </w:r>
    </w:p>
    <w:p w:rsidR="008E7B3D" w:rsidRPr="008E7B3D" w:rsidRDefault="008E7B3D" w:rsidP="008E7B3D">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POSIX</w:t>
      </w:r>
    </w:p>
    <w:p w:rsidR="008E7B3D" w:rsidRPr="008E7B3D" w:rsidRDefault="008E7B3D" w:rsidP="008E7B3D">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IEEE 1394</w:t>
      </w:r>
    </w:p>
    <w:p w:rsidR="008E7B3D" w:rsidRPr="008E7B3D" w:rsidRDefault="008E7B3D" w:rsidP="008E7B3D">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IEEE 488</w:t>
      </w:r>
    </w:p>
    <w:p w:rsidR="008E7B3D" w:rsidRPr="008E7B3D" w:rsidRDefault="008E7B3D" w:rsidP="008E7B3D">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IEEE 802</w:t>
      </w:r>
    </w:p>
    <w:p w:rsidR="008E7B3D" w:rsidRPr="008E7B3D" w:rsidRDefault="008E7B3D" w:rsidP="008E7B3D">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IEEE 802.11</w:t>
      </w:r>
    </w:p>
    <w:p w:rsidR="008E7B3D" w:rsidRPr="008E7B3D" w:rsidRDefault="008E7B3D" w:rsidP="008E7B3D">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IEEE 754</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Mediante sus actividades de publicación técnica, conferencias y estándares basados en consenso, el IEEE produce más del 30% de la literatura publicada en el mundo sobre ingeniería eléctrica, en computación, telecomunicaciones y tecnología de control, organiza más de 1000 conferencias al año en todo el mundo, y posee cerca de 900 estándares activos, con otros 700 más bajo desarrollo.</w:t>
      </w:r>
    </w:p>
    <w:p w:rsidR="008E7B3D" w:rsidRPr="008E7B3D" w:rsidRDefault="008E7B3D" w:rsidP="008E7B3D">
      <w:pPr>
        <w:shd w:val="clear" w:color="auto" w:fill="FFFFFF"/>
        <w:spacing w:before="300" w:after="150" w:line="240" w:lineRule="auto"/>
        <w:outlineLvl w:val="0"/>
        <w:rPr>
          <w:rFonts w:ascii="Helvetica" w:eastAsia="Times New Roman" w:hAnsi="Helvetica" w:cs="Helvetica"/>
          <w:color w:val="404040"/>
          <w:kern w:val="36"/>
          <w:sz w:val="54"/>
          <w:szCs w:val="54"/>
          <w:lang w:eastAsia="es-EC"/>
        </w:rPr>
      </w:pPr>
      <w:r w:rsidRPr="008E7B3D">
        <w:rPr>
          <w:rFonts w:ascii="Helvetica" w:eastAsia="Times New Roman" w:hAnsi="Helvetica" w:cs="Helvetica"/>
          <w:color w:val="404040"/>
          <w:kern w:val="36"/>
          <w:sz w:val="54"/>
          <w:szCs w:val="54"/>
          <w:lang w:eastAsia="es-EC"/>
        </w:rPr>
        <w:lastRenderedPageBreak/>
        <w:t>PSP</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El proceso personal del software es un método de autoconocimiento, que permite estimar cuánto se tarda un individuo en realizar una aplicación de software, para así calcular el presupuesto y asegurar la operatividad de los desarrollos. PSP se concentra en las prácticas de trabajo de los ingenieros en una forma individual.</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El PSP se caracteriza porque es de uso personal y se aplica a programas pequeños de menos de 10.000 líneas de código. El PSP sirve para producir software de calidad, donde cada ingeniero debe trabajar en la necesidad de realizar trabajo de calidad.</w:t>
      </w:r>
    </w:p>
    <w:p w:rsidR="008E7B3D" w:rsidRPr="008E7B3D" w:rsidRDefault="008E7B3D" w:rsidP="008E7B3D">
      <w:pPr>
        <w:shd w:val="clear" w:color="auto" w:fill="FFFFFF"/>
        <w:spacing w:before="300" w:after="150" w:line="240" w:lineRule="auto"/>
        <w:outlineLvl w:val="0"/>
        <w:rPr>
          <w:rFonts w:ascii="Helvetica" w:eastAsia="Times New Roman" w:hAnsi="Helvetica" w:cs="Helvetica"/>
          <w:color w:val="404040"/>
          <w:kern w:val="36"/>
          <w:sz w:val="54"/>
          <w:szCs w:val="54"/>
          <w:lang w:eastAsia="es-EC"/>
        </w:rPr>
      </w:pPr>
      <w:r w:rsidRPr="008E7B3D">
        <w:rPr>
          <w:rFonts w:ascii="Helvetica" w:eastAsia="Times New Roman" w:hAnsi="Helvetica" w:cs="Helvetica"/>
          <w:color w:val="404040"/>
          <w:kern w:val="36"/>
          <w:sz w:val="54"/>
          <w:szCs w:val="54"/>
          <w:lang w:eastAsia="es-EC"/>
        </w:rPr>
        <w:t>TSP</w:t>
      </w:r>
    </w:p>
    <w:p w:rsidR="008E7B3D" w:rsidRP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proofErr w:type="spellStart"/>
      <w:r w:rsidRPr="008E7B3D">
        <w:rPr>
          <w:rFonts w:ascii="Helvetica" w:eastAsia="Times New Roman" w:hAnsi="Helvetica" w:cs="Helvetica"/>
          <w:color w:val="404040"/>
          <w:sz w:val="24"/>
          <w:szCs w:val="24"/>
          <w:lang w:eastAsia="es-EC"/>
        </w:rPr>
        <w:t>Team</w:t>
      </w:r>
      <w:proofErr w:type="spellEnd"/>
      <w:r w:rsidRPr="008E7B3D">
        <w:rPr>
          <w:rFonts w:ascii="Helvetica" w:eastAsia="Times New Roman" w:hAnsi="Helvetica" w:cs="Helvetica"/>
          <w:color w:val="404040"/>
          <w:sz w:val="24"/>
          <w:szCs w:val="24"/>
          <w:lang w:eastAsia="es-EC"/>
        </w:rPr>
        <w:t xml:space="preserve"> Software </w:t>
      </w:r>
      <w:proofErr w:type="spellStart"/>
      <w:r w:rsidRPr="008E7B3D">
        <w:rPr>
          <w:rFonts w:ascii="Helvetica" w:eastAsia="Times New Roman" w:hAnsi="Helvetica" w:cs="Helvetica"/>
          <w:color w:val="404040"/>
          <w:sz w:val="24"/>
          <w:szCs w:val="24"/>
          <w:lang w:eastAsia="es-EC"/>
        </w:rPr>
        <w:t>Process</w:t>
      </w:r>
      <w:proofErr w:type="spellEnd"/>
      <w:r w:rsidRPr="008E7B3D">
        <w:rPr>
          <w:rFonts w:ascii="Helvetica" w:eastAsia="Times New Roman" w:hAnsi="Helvetica" w:cs="Helvetica"/>
          <w:color w:val="404040"/>
          <w:sz w:val="24"/>
          <w:szCs w:val="24"/>
          <w:lang w:eastAsia="es-EC"/>
        </w:rPr>
        <w:t xml:space="preserve"> es un método de establecimiento y mejora del trabajo en equipo para procesos de software. Es un proceso para equipos de software, a través del cual se contribuye equipos de alto rendimiento, capaces de comprometerse con el plan y administración del desarrollo de software, así como de producir productos de calidad y a bajo costo, logrando el mejor desempeño posible.</w:t>
      </w:r>
    </w:p>
    <w:p w:rsidR="008E7B3D" w:rsidRPr="008E7B3D" w:rsidRDefault="008E7B3D" w:rsidP="008E7B3D">
      <w:pPr>
        <w:shd w:val="clear" w:color="auto" w:fill="FFFFFF"/>
        <w:spacing w:before="300" w:after="150" w:line="240" w:lineRule="auto"/>
        <w:outlineLvl w:val="0"/>
        <w:rPr>
          <w:rFonts w:ascii="Helvetica" w:eastAsia="Times New Roman" w:hAnsi="Helvetica" w:cs="Helvetica"/>
          <w:color w:val="404040"/>
          <w:kern w:val="36"/>
          <w:sz w:val="54"/>
          <w:szCs w:val="54"/>
          <w:lang w:eastAsia="es-EC"/>
        </w:rPr>
      </w:pPr>
      <w:r w:rsidRPr="008E7B3D">
        <w:rPr>
          <w:rFonts w:ascii="Helvetica" w:eastAsia="Times New Roman" w:hAnsi="Helvetica" w:cs="Helvetica"/>
          <w:color w:val="404040"/>
          <w:kern w:val="36"/>
          <w:sz w:val="54"/>
          <w:szCs w:val="54"/>
          <w:lang w:eastAsia="es-EC"/>
        </w:rPr>
        <w:t>Moprosoft</w:t>
      </w:r>
    </w:p>
    <w:p w:rsidR="008E7B3D" w:rsidRDefault="008E7B3D" w:rsidP="008E7B3D">
      <w:pPr>
        <w:shd w:val="clear" w:color="auto" w:fill="FFFFFF"/>
        <w:spacing w:after="150" w:line="240" w:lineRule="auto"/>
        <w:jc w:val="both"/>
        <w:rPr>
          <w:rFonts w:ascii="Helvetica" w:eastAsia="Times New Roman" w:hAnsi="Helvetica" w:cs="Helvetica"/>
          <w:color w:val="404040"/>
          <w:sz w:val="24"/>
          <w:szCs w:val="24"/>
          <w:lang w:eastAsia="es-EC"/>
        </w:rPr>
      </w:pPr>
      <w:r w:rsidRPr="008E7B3D">
        <w:rPr>
          <w:rFonts w:ascii="Helvetica" w:eastAsia="Times New Roman" w:hAnsi="Helvetica" w:cs="Helvetica"/>
          <w:color w:val="404040"/>
          <w:sz w:val="24"/>
          <w:szCs w:val="24"/>
          <w:lang w:eastAsia="es-EC"/>
        </w:rPr>
        <w:t>Es una norma mexicana, basada en procesos para las industrias de software, la cual sirve para estandarizar operaciones y prácticas en gestión de ingeniería de software, para así elevar la capacidad de las organizaciones de ofrecer servicios con calidad y alcanzar niveles internacionales de competitividad. Está enfocado a las Pymes de la Industria de Software en México. Está dirigido a las empresas o áreas internas dedicadas al desarrollo y/o mantenimiento de software.</w:t>
      </w:r>
    </w:p>
    <w:p w:rsidR="00934C18" w:rsidRDefault="00934C18" w:rsidP="008E7B3D">
      <w:pPr>
        <w:shd w:val="clear" w:color="auto" w:fill="FFFFFF"/>
        <w:spacing w:after="150" w:line="240" w:lineRule="auto"/>
        <w:jc w:val="both"/>
        <w:rPr>
          <w:rFonts w:ascii="Helvetica" w:eastAsia="Times New Roman" w:hAnsi="Helvetica" w:cs="Helvetica"/>
          <w:color w:val="404040"/>
          <w:sz w:val="24"/>
          <w:szCs w:val="24"/>
          <w:lang w:eastAsia="es-EC"/>
        </w:rPr>
      </w:pPr>
    </w:p>
    <w:p w:rsidR="00934C18" w:rsidRPr="008E7B3D" w:rsidRDefault="00934C18" w:rsidP="00934C18">
      <w:pPr>
        <w:shd w:val="clear" w:color="auto" w:fill="FFFFFF"/>
        <w:spacing w:after="150" w:line="240" w:lineRule="auto"/>
        <w:jc w:val="center"/>
        <w:rPr>
          <w:rFonts w:ascii="Helvetica" w:eastAsia="Times New Roman" w:hAnsi="Helvetica" w:cs="Helvetica"/>
          <w:color w:val="404040"/>
          <w:sz w:val="24"/>
          <w:szCs w:val="24"/>
          <w:lang w:eastAsia="es-EC"/>
        </w:rPr>
      </w:pPr>
      <w:r>
        <w:rPr>
          <w:noProof/>
        </w:rPr>
        <w:lastRenderedPageBreak/>
        <w:drawing>
          <wp:inline distT="0" distB="0" distL="0" distR="0" wp14:anchorId="22F6C127" wp14:editId="7EF30195">
            <wp:extent cx="5732683" cy="58293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398" t="25727" r="40204" b="17486"/>
                    <a:stretch/>
                  </pic:blipFill>
                  <pic:spPr bwMode="auto">
                    <a:xfrm>
                      <a:off x="0" y="0"/>
                      <a:ext cx="5750483" cy="58474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226AD" w:rsidRPr="004226AD" w:rsidRDefault="004226AD">
      <w:pPr>
        <w:rPr>
          <w:lang w:val="es-ES"/>
        </w:rPr>
      </w:pPr>
    </w:p>
    <w:sectPr w:rsidR="004226AD" w:rsidRPr="004226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134A2"/>
    <w:multiLevelType w:val="multilevel"/>
    <w:tmpl w:val="C716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53D70"/>
    <w:multiLevelType w:val="multilevel"/>
    <w:tmpl w:val="79D4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A4955"/>
    <w:multiLevelType w:val="multilevel"/>
    <w:tmpl w:val="2E0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C1D13"/>
    <w:multiLevelType w:val="multilevel"/>
    <w:tmpl w:val="2766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A24CC"/>
    <w:multiLevelType w:val="multilevel"/>
    <w:tmpl w:val="C8E4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4003E"/>
    <w:multiLevelType w:val="multilevel"/>
    <w:tmpl w:val="DAB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A1152"/>
    <w:multiLevelType w:val="multilevel"/>
    <w:tmpl w:val="5952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CD"/>
    <w:rsid w:val="00144158"/>
    <w:rsid w:val="003763A1"/>
    <w:rsid w:val="003E4831"/>
    <w:rsid w:val="004226AD"/>
    <w:rsid w:val="008E7B3D"/>
    <w:rsid w:val="00934C18"/>
    <w:rsid w:val="00DF7D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3462"/>
  <w15:chartTrackingRefBased/>
  <w15:docId w15:val="{70D0D02B-21B2-47D2-959C-CFE0118A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E7B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8E7B3D"/>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226A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8E7B3D"/>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8E7B3D"/>
    <w:rPr>
      <w:rFonts w:ascii="Times New Roman" w:eastAsia="Times New Roman" w:hAnsi="Times New Roman" w:cs="Times New Roman"/>
      <w:b/>
      <w:bCs/>
      <w:sz w:val="36"/>
      <w:szCs w:val="36"/>
      <w:lang w:eastAsia="es-EC"/>
    </w:rPr>
  </w:style>
  <w:style w:type="character" w:styleId="Hipervnculo">
    <w:name w:val="Hyperlink"/>
    <w:basedOn w:val="Fuentedeprrafopredeter"/>
    <w:uiPriority w:val="99"/>
    <w:semiHidden/>
    <w:unhideWhenUsed/>
    <w:rsid w:val="008E7B3D"/>
    <w:rPr>
      <w:color w:val="0000FF"/>
      <w:u w:val="single"/>
    </w:rPr>
  </w:style>
  <w:style w:type="character" w:styleId="Textoennegrita">
    <w:name w:val="Strong"/>
    <w:basedOn w:val="Fuentedeprrafopredeter"/>
    <w:uiPriority w:val="22"/>
    <w:qFormat/>
    <w:rsid w:val="008E7B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39517">
      <w:bodyDiv w:val="1"/>
      <w:marLeft w:val="0"/>
      <w:marRight w:val="0"/>
      <w:marTop w:val="0"/>
      <w:marBottom w:val="0"/>
      <w:divBdr>
        <w:top w:val="none" w:sz="0" w:space="0" w:color="auto"/>
        <w:left w:val="none" w:sz="0" w:space="0" w:color="auto"/>
        <w:bottom w:val="none" w:sz="0" w:space="0" w:color="auto"/>
        <w:right w:val="none" w:sz="0" w:space="0" w:color="auto"/>
      </w:divBdr>
    </w:div>
    <w:div w:id="1235624263">
      <w:bodyDiv w:val="1"/>
      <w:marLeft w:val="0"/>
      <w:marRight w:val="0"/>
      <w:marTop w:val="0"/>
      <w:marBottom w:val="0"/>
      <w:divBdr>
        <w:top w:val="none" w:sz="0" w:space="0" w:color="auto"/>
        <w:left w:val="none" w:sz="0" w:space="0" w:color="auto"/>
        <w:bottom w:val="none" w:sz="0" w:space="0" w:color="auto"/>
        <w:right w:val="none" w:sz="0" w:space="0" w:color="auto"/>
      </w:divBdr>
      <w:divsChild>
        <w:div w:id="1545630743">
          <w:marLeft w:val="100"/>
          <w:marRight w:val="0"/>
          <w:marTop w:val="0"/>
          <w:marBottom w:val="0"/>
          <w:divBdr>
            <w:top w:val="none" w:sz="0" w:space="0" w:color="auto"/>
            <w:left w:val="none" w:sz="0" w:space="0" w:color="auto"/>
            <w:bottom w:val="none" w:sz="0" w:space="0" w:color="auto"/>
            <w:right w:val="none" w:sz="0" w:space="0" w:color="auto"/>
          </w:divBdr>
        </w:div>
      </w:divsChild>
    </w:div>
    <w:div w:id="162419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gger.com/blogger.g?blogID=6627624266577841858" TargetMode="External"/><Relationship Id="rId3" Type="http://schemas.openxmlformats.org/officeDocument/2006/relationships/settings" Target="settings.xml"/><Relationship Id="rId7" Type="http://schemas.openxmlformats.org/officeDocument/2006/relationships/hyperlink" Target="http://www.blogger.com/blogger.g?blogID=66276242665778418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1833</Words>
  <Characters>10082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PC-19</dc:creator>
  <cp:keywords/>
  <dc:description/>
  <cp:lastModifiedBy>PC-19</cp:lastModifiedBy>
  <cp:revision>7</cp:revision>
  <dcterms:created xsi:type="dcterms:W3CDTF">2019-07-06T14:18:00Z</dcterms:created>
  <dcterms:modified xsi:type="dcterms:W3CDTF">2019-07-06T14:40:00Z</dcterms:modified>
</cp:coreProperties>
</file>