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desarrollo de software</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Funciones principales: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Hacerse cargo del equipo de Desarrollo de Software, teniendo como reportes directos a los team leaders por tecnología (PHP, Ruby, FrontEnd, Android y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Gestionar el proceso de Investigación y Desarrollo y las buenas prácticas de gestión del conocimiento, para asegurar el uso de tecnología de vanguardia en la empresa.</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Elaborar el plan de trabajo del área de Desarrollo, con un enfoque en gestión (KPI's).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la calidad de las estimaciones técnicas, a través del trabajo con su equipo a cargo.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Proponer buenas prácticas en el proceso de desarrollo.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Asegurar el cumplimiento de los procesos y del flujo de tareas con el área de proyectos.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Velar por la correcta asignación de personas por proyecto.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Definir con el área de Mejora Continua los procedimientos y políticas que faciliten el despliegue de los proyectos realizados.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Requisitos académicos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bookmarkStart w:id="0" w:name="_GoBack"/>
      <w:bookmarkEnd w:id="0"/>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Egresado de la carrera de Ingeniería Informática, de Software o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Ingles Avanzado.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Experiencia</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Mínimo 4 años trabajando en proyectos de desarrollo web y móvil como programador (PHP, Rails,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- 1 o 2 años gestionando un equipo de trabajo (programadores) en puestos similares.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- 3 años trabajando con metodologías ágiles.</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 </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r>
        <w:rPr>
          <w:rFonts w:ascii="Arial" w:hAnsi="Arial" w:cs="Arial"/>
          <w:b/>
          <w:bCs/>
          <w:color w:val="0D0D0D" w:themeColor="text1" w:themeTint="F2"/>
          <w:sz w:val="21"/>
          <w:szCs w:val="21"/>
          <w14:textFill>
            <w14:solidFill>
              <w14:schemeClr w14:val="tx1">
                <w14:lumMod w14:val="95000"/>
                <w14:lumOff w14:val="5000"/>
              </w14:schemeClr>
            </w14:solidFill>
          </w14:textFill>
        </w:rPr>
        <w:t>Conocimiento técnico</w:t>
      </w:r>
    </w:p>
    <w:p>
      <w:pPr>
        <w:pStyle w:val="2"/>
        <w:shd w:val="clear" w:color="auto" w:fill="FFFFFF"/>
        <w:spacing w:before="0" w:beforeAutospacing="0" w:after="0" w:afterAutospacing="0"/>
        <w:rPr>
          <w:rFonts w:ascii="Arial" w:hAnsi="Arial" w:cs="Arial"/>
          <w:b/>
          <w:bCs/>
          <w:color w:val="0D0D0D" w:themeColor="text1" w:themeTint="F2"/>
          <w:sz w:val="21"/>
          <w:szCs w:val="21"/>
          <w14:textFill>
            <w14:solidFill>
              <w14:schemeClr w14:val="tx1">
                <w14:lumMod w14:val="95000"/>
                <w14:lumOff w14:val="5000"/>
              </w14:schemeClr>
            </w14:solidFill>
          </w14:textFill>
        </w:rPr>
      </w:pP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Arquitectura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Metodologías de desarrollo ágil.</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Desarrollo de patrones de diseño.</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Tener un conocimiento intermedio-avanzado en mínimo tres de los siguientes lenguajes de programación: PHP, Java, Android, iOS.</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r>
        <w:rPr>
          <w:rFonts w:ascii="Arial" w:hAnsi="Arial" w:cs="Arial"/>
          <w:color w:val="0D0D0D" w:themeColor="text1" w:themeTint="F2"/>
          <w:sz w:val="21"/>
          <w:szCs w:val="21"/>
          <w14:textFill>
            <w14:solidFill>
              <w14:schemeClr w14:val="tx1">
                <w14:lumMod w14:val="95000"/>
                <w14:lumOff w14:val="5000"/>
              </w14:schemeClr>
            </w14:solidFill>
          </w14:textFill>
        </w:rPr>
        <w:t>- Gestión de equipos y procesos por indicadores.</w:t>
      </w:r>
    </w:p>
    <w:p>
      <w:pPr>
        <w:rPr>
          <w:rFonts w:ascii="Arial" w:hAnsi="Arial" w:cs="Arial"/>
          <w:color w:val="0D0D0D" w:themeColor="text1" w:themeTint="F2"/>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jc w:val="cente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JEFE DE MANTENIMIENTO</w:t>
      </w: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p>
    <w:p>
      <w:pPr>
        <w:rPr>
          <w:rFonts w:ascii="Arial" w:hAnsi="Arial" w:cs="Arial"/>
          <w:b/>
          <w:bCs/>
          <w:color w:val="0D0D0D" w:themeColor="text1" w:themeTint="F2"/>
          <w:sz w:val="32"/>
          <w:szCs w:val="32"/>
          <w:lang w:val="es-ES"/>
          <w14:textFill>
            <w14:solidFill>
              <w14:schemeClr w14:val="tx1">
                <w14:lumMod w14:val="95000"/>
                <w14:lumOff w14:val="5000"/>
              </w14:schemeClr>
            </w14:solidFill>
          </w14:textFill>
        </w:rPr>
      </w:pPr>
      <w:r>
        <w:rPr>
          <w:rFonts w:ascii="Arial" w:hAnsi="Arial" w:cs="Arial"/>
          <w:b/>
          <w:bCs/>
          <w:color w:val="0D0D0D" w:themeColor="text1" w:themeTint="F2"/>
          <w:sz w:val="32"/>
          <w:szCs w:val="32"/>
          <w:lang w:val="es-ES"/>
          <w14:textFill>
            <w14:solidFill>
              <w14:schemeClr w14:val="tx1">
                <w14:lumMod w14:val="95000"/>
                <w14:lumOff w14:val="5000"/>
              </w14:schemeClr>
            </w14:solidFill>
          </w14:textFill>
        </w:rPr>
        <w:t xml:space="preserve">REQUISITOS </w:t>
      </w:r>
    </w:p>
    <w:p>
      <w:pPr>
        <w:rPr>
          <w:rFonts w:ascii="Arial" w:hAnsi="Arial" w:cs="Arial"/>
          <w:b/>
          <w:bCs/>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Aptitud moral y psico-física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Comprobar aptitud moral, y tener aptitud psico-física, certificada por la División Universitaria de la Salud.</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Formación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Egresado de Bachillerato Tecnológico en Informática formación equivalente, o Bachillerato completo y cursos de mantenimiento de PC y redes en Instituciones públicas privadas reconocidas por el MEC, o formación equivalente.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Experiencia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Se valorará, la experiencia en cargos similares ya sea en el ámbito público como en el privado.</w:t>
      </w: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r>
        <w:rPr>
          <w:rFonts w:ascii="Arial" w:hAnsi="Arial" w:eastAsia="SimSun" w:cs="Arial"/>
          <w:b/>
          <w:bCs/>
          <w:color w:val="0D0D0D" w:themeColor="text1" w:themeTint="F2"/>
          <w:sz w:val="24"/>
          <w:szCs w:val="24"/>
          <w14:textFill>
            <w14:solidFill>
              <w14:schemeClr w14:val="tx1">
                <w14:lumMod w14:val="95000"/>
                <w14:lumOff w14:val="5000"/>
              </w14:schemeClr>
            </w14:solidFill>
          </w14:textFill>
        </w:rPr>
        <w:t xml:space="preserve">COMPETENCIAS GENERALES </w:t>
      </w:r>
    </w:p>
    <w:p>
      <w:pPr>
        <w:rPr>
          <w:rFonts w:ascii="Arial" w:hAnsi="Arial" w:eastAsia="SimSun" w:cs="Arial"/>
          <w:b/>
          <w:bCs/>
          <w:color w:val="0D0D0D" w:themeColor="text1" w:themeTint="F2"/>
          <w:sz w:val="24"/>
          <w:szCs w:val="24"/>
          <w14:textFill>
            <w14:solidFill>
              <w14:schemeClr w14:val="tx1">
                <w14:lumMod w14:val="95000"/>
                <w14:lumOff w14:val="5000"/>
              </w14:schemeClr>
            </w14:solidFill>
          </w14:textFill>
        </w:rPr>
      </w:pP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Trabajar y relacionarse efectivamente con otras personas.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Contribuir a la realización de los fines institucionales, planes estratégicos y valores de la institución.</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 Cumplir con las normas y programas de seguridad y la salud en el trabajo establecidos para su área de competencia. </w:t>
      </w:r>
    </w:p>
    <w:p>
      <w:pPr>
        <w:rPr>
          <w:rFonts w:ascii="Arial" w:hAnsi="Arial" w:eastAsia="SimSun" w:cs="Arial"/>
          <w:color w:val="0D0D0D" w:themeColor="text1" w:themeTint="F2"/>
          <w:sz w:val="24"/>
          <w:szCs w:val="24"/>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xml:space="preserve">• Contribuir con los procesos de mejora continua y el servicio orientado al usuario. </w:t>
      </w:r>
    </w:p>
    <w:p>
      <w:pPr>
        <w:rPr>
          <w:rFonts w:ascii="Arial" w:hAnsi="Arial" w:cs="Arial"/>
          <w:color w:val="0D0D0D" w:themeColor="text1" w:themeTint="F2"/>
          <w:lang w:val="es-ES"/>
          <w14:textFill>
            <w14:solidFill>
              <w14:schemeClr w14:val="tx1">
                <w14:lumMod w14:val="95000"/>
                <w14:lumOff w14:val="5000"/>
              </w14:schemeClr>
            </w14:solidFill>
          </w14:textFill>
        </w:rPr>
      </w:pPr>
      <w:r>
        <w:rPr>
          <w:rFonts w:ascii="Arial" w:hAnsi="Arial" w:eastAsia="SimSun" w:cs="Arial"/>
          <w:color w:val="0D0D0D" w:themeColor="text1" w:themeTint="F2"/>
          <w:sz w:val="24"/>
          <w:szCs w:val="24"/>
          <w14:textFill>
            <w14:solidFill>
              <w14:schemeClr w14:val="tx1">
                <w14:lumMod w14:val="95000"/>
                <w14:lumOff w14:val="5000"/>
              </w14:schemeClr>
            </w14:solidFill>
          </w14:textFill>
        </w:rPr>
        <w:t>• Actuar con profesionalismo y demostrar interés por la formación continua.</w:t>
      </w:r>
    </w:p>
    <w:p>
      <w:pPr>
        <w:rPr>
          <w:rFonts w:ascii="Arial" w:hAnsi="Arial" w:cs="Arial"/>
          <w:color w:val="0D0D0D" w:themeColor="text1" w:themeTint="F2"/>
          <w14:textFill>
            <w14:solidFill>
              <w14:schemeClr w14:val="tx1">
                <w14:lumMod w14:val="95000"/>
                <w14:lumOff w14:val="5000"/>
              </w14:schemeClr>
            </w14:solidFill>
          </w14:textFill>
        </w:rPr>
      </w:pPr>
    </w:p>
    <w:p>
      <w:pPr>
        <w:pStyle w:val="2"/>
        <w:shd w:val="clear" w:color="auto" w:fill="FFFFFF"/>
        <w:spacing w:before="0" w:beforeAutospacing="0" w:after="0" w:afterAutospacing="0"/>
        <w:jc w:val="center"/>
        <w:rPr>
          <w:rFonts w:ascii="Arial" w:hAnsi="Arial" w:cs="Arial"/>
          <w:b/>
          <w:bCs/>
          <w:color w:val="0D0D0D" w:themeColor="text1" w:themeTint="F2"/>
          <w:sz w:val="36"/>
          <w:szCs w:val="36"/>
          <w14:textFill>
            <w14:solidFill>
              <w14:schemeClr w14:val="tx1">
                <w14:lumMod w14:val="95000"/>
                <w14:lumOff w14:val="5000"/>
              </w14:schemeClr>
            </w14:solidFill>
          </w14:textFill>
        </w:rPr>
      </w:pPr>
      <w:r>
        <w:rPr>
          <w:rFonts w:ascii="Arial" w:hAnsi="Arial" w:cs="Arial"/>
          <w:b/>
          <w:bCs/>
          <w:color w:val="0D0D0D" w:themeColor="text1" w:themeTint="F2"/>
          <w:sz w:val="36"/>
          <w:szCs w:val="36"/>
          <w14:textFill>
            <w14:solidFill>
              <w14:schemeClr w14:val="tx1">
                <w14:lumMod w14:val="95000"/>
                <w14:lumOff w14:val="5000"/>
              </w14:schemeClr>
            </w14:solidFill>
          </w14:textFill>
        </w:rPr>
        <w:t>Estándares de desarrollo de software</w:t>
      </w:r>
    </w:p>
    <w:p>
      <w:pPr>
        <w:pStyle w:val="2"/>
        <w:shd w:val="clear" w:color="auto" w:fill="FFFFFF"/>
        <w:spacing w:before="0" w:beforeAutospacing="0" w:after="0" w:afterAutospacing="0"/>
        <w:rPr>
          <w:rFonts w:ascii="Arial" w:hAnsi="Arial" w:cs="Arial"/>
          <w:color w:val="0D0D0D" w:themeColor="text1" w:themeTint="F2"/>
          <w:sz w:val="21"/>
          <w:szCs w:val="21"/>
          <w14:textFill>
            <w14:solidFill>
              <w14:schemeClr w14:val="tx1">
                <w14:lumMod w14:val="95000"/>
                <w14:lumOff w14:val="5000"/>
              </w14:schemeClr>
            </w14:solidFill>
          </w14:textFill>
        </w:rPr>
      </w:pPr>
    </w:p>
    <w:p>
      <w:pPr>
        <w:shd w:val="clear" w:color="auto" w:fill="FFFFFF"/>
        <w:spacing w:before="300" w:after="150" w:line="240" w:lineRule="auto"/>
        <w:outlineLvl w:val="0"/>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NORMAS ISO/IEC</w:t>
      </w:r>
    </w:p>
    <w:p>
      <w:pPr>
        <w:shd w:val="clear" w:color="auto" w:fill="FFFFFF"/>
        <w:spacing w:before="300" w:after="150" w:line="240" w:lineRule="auto"/>
        <w:outlineLvl w:val="0"/>
        <w:rPr>
          <w:rFonts w:ascii="Arial" w:hAnsi="Arial" w:eastAsia="Times New Roman" w:cs="Arial"/>
          <w:color w:val="0D0D0D" w:themeColor="text1" w:themeTint="F2"/>
          <w:kern w:val="36"/>
          <w:sz w:val="54"/>
          <w:szCs w:val="5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t>ISO 12207 – Modelos de Ciclos de Vida del Software.</w:t>
      </w:r>
      <w:r>
        <w:rPr>
          <w:rFonts w:ascii="Arial" w:hAnsi="Arial" w:eastAsia="Times New Roman" w:cs="Arial"/>
          <w:color w:val="0D0D0D" w:themeColor="text1" w:themeTint="F2"/>
          <w:kern w:val="36"/>
          <w:lang w:eastAsia="es-EC"/>
          <w14:textFill>
            <w14:solidFill>
              <w14:schemeClr w14:val="tx1">
                <w14:lumMod w14:val="95000"/>
                <w14:lumOff w14:val="5000"/>
              </w14:schemeClr>
            </w14:solidFill>
          </w14:textFill>
        </w:rPr>
        <w:br w:type="textWrapping"/>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Estándar para los procesos de ciclo de vida del software de la organización, Este estándar se concibió para aquellos interesados en adquisición de software, así como desarrolladores y proveedores. El estándar indica una serie de procesos desde la recopilación de requisitos hasta la culminación del software.</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El estándar comprende 17 procesos lo cuales son agrupados en tres categorías: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Principales</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apoyo</w:t>
      </w:r>
    </w:p>
    <w:p>
      <w:pPr>
        <w:numPr>
          <w:ilvl w:val="0"/>
          <w:numId w:val="1"/>
        </w:numPr>
        <w:shd w:val="clear" w:color="auto" w:fill="FFFFFF"/>
        <w:spacing w:before="100" w:beforeAutospacing="1" w:after="100" w:afterAutospacing="1"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De organización</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Este estándar agrupa las actividades que se pueden llevar a cabo durante el ciclo de vida del software en cinco procesos principales, ocho procesos de apoyo </w:t>
      </w:r>
      <w:r>
        <w:rPr>
          <w:rFonts w:ascii="Arial" w:hAnsi="Arial" w:eastAsia="Times New Roman" w:cs="Arial"/>
          <w:b/>
          <w:bCs/>
          <w:color w:val="0D0D0D" w:themeColor="text1" w:themeTint="F2"/>
          <w:sz w:val="36"/>
          <w:szCs w:val="36"/>
          <w:lang w:eastAsia="es-EC"/>
          <w14:textFill>
            <w14:solidFill>
              <w14:schemeClr w14:val="tx1">
                <w14:lumMod w14:val="95000"/>
                <w14:lumOff w14:val="5000"/>
              </w14:schemeClr>
            </w14:solidFill>
          </w14:textFill>
        </w:rPr>
        <w:drawing>
          <wp:anchor distT="0" distB="0" distL="0" distR="0" simplePos="0" relativeHeight="251659264" behindDoc="0" locked="0" layoutInCell="1" allowOverlap="0">
            <wp:simplePos x="0" y="0"/>
            <wp:positionH relativeFrom="margin">
              <wp:align>left</wp:align>
            </wp:positionH>
            <wp:positionV relativeFrom="line">
              <wp:posOffset>266700</wp:posOffset>
            </wp:positionV>
            <wp:extent cx="5362575" cy="3686175"/>
            <wp:effectExtent l="0" t="0" r="9525" b="9525"/>
            <wp:wrapSquare wrapText="bothSides"/>
            <wp:docPr id="2" name="Imagen 2" descr="http://fernandoarciniega.com/wp-content/uploads/052317_0147_NormasyEs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fernandoarciniega.com/wp-content/uploads/052317_0147_NormasyEst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62575" cy="3686175"/>
                    </a:xfrm>
                    <a:prstGeom prst="rect">
                      <a:avLst/>
                    </a:prstGeom>
                    <a:noFill/>
                    <a:ln>
                      <a:noFill/>
                    </a:ln>
                  </pic:spPr>
                </pic:pic>
              </a:graphicData>
            </a:graphic>
          </wp:anchor>
        </w:drawing>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y cuatro procesos organizativos</w:t>
      </w:r>
    </w:p>
    <w:p>
      <w:pPr>
        <w:shd w:val="clear" w:color="auto" w:fill="FFFFFF"/>
        <w:spacing w:before="300" w:after="150" w:line="240" w:lineRule="auto"/>
        <w:outlineLvl w:val="1"/>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Norma ISO/IEC 9126</w:t>
      </w: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br w:type="textWrapping"/>
      </w:r>
    </w:p>
    <w:p>
      <w:pPr>
        <w:shd w:val="clear" w:color="auto" w:fill="FFFFFF"/>
        <w:spacing w:before="300" w:after="150" w:line="240" w:lineRule="auto"/>
        <w:outlineLvl w:val="1"/>
        <w:rPr>
          <w:rFonts w:ascii="Arial" w:hAnsi="Arial" w:eastAsia="Times New Roman" w:cs="Arial"/>
          <w:color w:val="0D0D0D" w:themeColor="text1" w:themeTint="F2"/>
          <w:sz w:val="45"/>
          <w:szCs w:val="45"/>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La norma ISO/IEC 9126 de 1991, es la norma para evaluar los productos de software, esta norma nos indica las características de la calidad y los lineamientos para su uso, las características de calidad y sus métricas asociadas, pueden ser útiles tanto como para evaluar el producto como para definir los requerimientos de la calidad y otros usos. Esta norma definida por un marco conceptual basado en los factores tales como Calidad del Proceso, Calidad del Producto del Software y Calidad en Uso; según el marco conceptual, la calidad del producto, a su vez, contribuye a mejorar la calidad en uso.</w:t>
      </w:r>
    </w:p>
    <w:p>
      <w:pPr>
        <w:shd w:val="clear" w:color="auto" w:fill="FFFFFF"/>
        <w:spacing w:after="150" w:line="240" w:lineRule="auto"/>
        <w:jc w:val="both"/>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t xml:space="preserve">La norma ISO/IEC 9126 define la calidad en uso como la perspectiva del usuario de la calidad del producto software cuando éste es usado en un ambiente específico y un contexto de uso específico. Éste mide la extensión para la cual los usuarios pueden conseguir sus metas en un ambiente particular, en vez de medir las propiedades del software en sí mismo. </w:t>
      </w:r>
    </w:p>
    <w:p>
      <w:pPr>
        <w:shd w:val="clear" w:color="auto" w:fill="FFFFFF"/>
        <w:spacing w:after="150" w:line="240" w:lineRule="auto"/>
        <w:jc w:val="center"/>
        <w:rPr>
          <w:rFonts w:ascii="Arial" w:hAnsi="Arial" w:eastAsia="Times New Roman" w:cs="Arial"/>
          <w:color w:val="0D0D0D" w:themeColor="text1" w:themeTint="F2"/>
          <w:sz w:val="24"/>
          <w:szCs w:val="24"/>
          <w:lang w:eastAsia="es-EC"/>
          <w14:textFill>
            <w14:solidFill>
              <w14:schemeClr w14:val="tx1">
                <w14:lumMod w14:val="95000"/>
                <w14:lumOff w14:val="5000"/>
              </w14:schemeClr>
            </w14:solidFill>
          </w14:textFill>
        </w:rPr>
      </w:pPr>
    </w:p>
    <w:p>
      <w:pPr>
        <w:rPr>
          <w:rFonts w:ascii="Arial" w:hAnsi="Arial" w:cs="Arial"/>
          <w:color w:val="0D0D0D" w:themeColor="text1" w:themeTint="F2"/>
          <w:lang w:val="es-ES"/>
          <w14:textFill>
            <w14:solidFill>
              <w14:schemeClr w14:val="tx1">
                <w14:lumMod w14:val="95000"/>
                <w14:lumOff w14:val="5000"/>
              </w14:schemeClr>
            </w14:solidFill>
          </w14:textFill>
        </w:rPr>
      </w:pPr>
    </w:p>
    <w:p>
      <w:pPr>
        <w:jc w:val="center"/>
        <w:rPr>
          <w:rFonts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pPr>
      <w:r>
        <w:rPr>
          <w:rFonts w:ascii="Arial" w:hAnsi="Arial" w:eastAsia="SimSun" w:cs="Arial"/>
          <w:b/>
          <w:bCs/>
          <w:color w:val="0D0D0D" w:themeColor="text1" w:themeTint="F2"/>
          <w:sz w:val="40"/>
          <w:szCs w:val="40"/>
          <w:lang w:val="es-ES"/>
          <w14:textFill>
            <w14:solidFill>
              <w14:schemeClr w14:val="tx1">
                <w14:lumMod w14:val="95000"/>
                <w14:lumOff w14:val="5000"/>
              </w14:schemeClr>
            </w14:solidFill>
          </w14:textFill>
        </w:rPr>
        <w:t>Estándares de seguridad</w:t>
      </w:r>
    </w:p>
    <w:p>
      <w:pPr>
        <w:rPr>
          <w:rFonts w:ascii="Arial" w:hAnsi="Arial" w:eastAsia="SimSun" w:cs="Arial"/>
          <w:b/>
          <w:bCs/>
          <w:color w:val="0D0D0D" w:themeColor="text1" w:themeTint="F2"/>
          <w:sz w:val="28"/>
          <w:szCs w:val="28"/>
          <w:lang w:val="es-ES"/>
          <w14:textFill>
            <w14:solidFill>
              <w14:schemeClr w14:val="tx1">
                <w14:lumMod w14:val="95000"/>
                <w14:lumOff w14:val="5000"/>
              </w14:schemeClr>
            </w14:solidFill>
          </w14:textFill>
        </w:rPr>
      </w:pP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rPr>
          <w:rFonts w:ascii="Arial" w:hAnsi="Arial" w:cs="Arial"/>
          <w:b/>
          <w:bCs/>
          <w:color w:val="0D0D0D" w:themeColor="text1" w:themeTint="F2"/>
          <w:sz w:val="28"/>
          <w:szCs w:val="28"/>
          <w14:textFill>
            <w14:solidFill>
              <w14:schemeClr w14:val="tx1">
                <w14:lumMod w14:val="95000"/>
                <w14:lumOff w14:val="5000"/>
              </w14:schemeClr>
            </w14:solidFill>
          </w14:textFill>
        </w:rPr>
      </w:pPr>
      <w:r>
        <w:rPr>
          <w:rFonts w:ascii="Arial" w:hAnsi="Arial" w:cs="Arial"/>
          <w:b/>
          <w:bCs/>
          <w:color w:val="0D0D0D" w:themeColor="text1" w:themeTint="F2"/>
          <w:sz w:val="28"/>
          <w:szCs w:val="28"/>
          <w14:textFill>
            <w14:solidFill>
              <w14:schemeClr w14:val="tx1">
                <w14:lumMod w14:val="95000"/>
                <w14:lumOff w14:val="5000"/>
              </w14:schemeClr>
            </w14:solidFill>
          </w14:textFill>
        </w:rPr>
        <w:t>Seguridad Física y Del Medio Ambiente</w:t>
      </w:r>
    </w:p>
    <w:p>
      <w:pPr>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cs="Arial"/>
          <w:color w:val="0D0D0D" w:themeColor="text1" w:themeTint="F2"/>
          <w:sz w:val="28"/>
          <w:szCs w:val="28"/>
          <w14:textFill>
            <w14:solidFill>
              <w14:schemeClr w14:val="tx1">
                <w14:lumMod w14:val="95000"/>
                <w14:lumOff w14:val="5000"/>
              </w14:schemeClr>
            </w14:solidFill>
          </w14:textFill>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Lógica </w:t>
      </w:r>
    </w:p>
    <w:p>
      <w:pPr>
        <w:rPr>
          <w:rFonts w:ascii="Arial" w:hAnsi="Arial"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pPr>
        <w:rPr>
          <w:rFonts w:ascii="Arial" w:hAnsi="Arial"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b/>
          <w:bCs/>
          <w:color w:val="0D0D0D" w:themeColor="text1" w:themeTint="F2"/>
          <w:sz w:val="28"/>
          <w:szCs w:val="28"/>
          <w14:textFill>
            <w14:solidFill>
              <w14:schemeClr w14:val="tx1">
                <w14:lumMod w14:val="95000"/>
                <w14:lumOff w14:val="5000"/>
              </w14:schemeClr>
            </w14:solidFill>
          </w14:textFill>
        </w:rPr>
      </w:pPr>
      <w:r>
        <w:rPr>
          <w:rFonts w:ascii="Arial" w:hAnsi="Arial" w:eastAsia="SimSun" w:cs="Arial"/>
          <w:b/>
          <w:bCs/>
          <w:color w:val="0D0D0D" w:themeColor="text1" w:themeTint="F2"/>
          <w:sz w:val="28"/>
          <w:szCs w:val="28"/>
          <w14:textFill>
            <w14:solidFill>
              <w14:schemeClr w14:val="tx1">
                <w14:lumMod w14:val="95000"/>
                <w14:lumOff w14:val="5000"/>
              </w14:schemeClr>
            </w14:solidFill>
          </w14:textFill>
        </w:rPr>
        <w:t xml:space="preserve">Seguridad Manejo y Control Centro de Cómputo </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p>
    <w:p>
      <w:pPr>
        <w:rPr>
          <w:rFonts w:ascii="Arial" w:hAnsi="Arial" w:eastAsia="SimSun" w:cs="Arial"/>
          <w:color w:val="0D0D0D" w:themeColor="text1" w:themeTint="F2"/>
          <w:sz w:val="28"/>
          <w:szCs w:val="28"/>
          <w14:textFill>
            <w14:solidFill>
              <w14:schemeClr w14:val="tx1">
                <w14:lumMod w14:val="95000"/>
                <w14:lumOff w14:val="5000"/>
              </w14:schemeClr>
            </w14:solidFill>
          </w14:textFill>
        </w:rPr>
      </w:pPr>
      <w:r>
        <w:rPr>
          <w:rFonts w:ascii="Arial" w:hAnsi="Arial" w:eastAsia="SimSun" w:cs="Arial"/>
          <w:color w:val="0D0D0D" w:themeColor="text1" w:themeTint="F2"/>
          <w:sz w:val="28"/>
          <w:szCs w:val="28"/>
          <w14:textFill>
            <w14:solidFill>
              <w14:schemeClr w14:val="tx1">
                <w14:lumMod w14:val="95000"/>
                <w14:lumOff w14:val="5000"/>
              </w14:schemeClr>
            </w14:solidFill>
          </w14:textFill>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p>
      <w:pPr>
        <w:rPr>
          <w:rFonts w:ascii="Arial" w:hAnsi="Arial" w:cs="Arial"/>
          <w:color w:val="0D0D0D" w:themeColor="text1" w:themeTint="F2"/>
          <w14:textFill>
            <w14:solidFill>
              <w14:schemeClr w14:val="tx1">
                <w14:lumMod w14:val="95000"/>
                <w14:lumOff w14:val="5000"/>
              </w14:schemeClr>
            </w14:solidFill>
          </w14:textFill>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53D70"/>
    <w:multiLevelType w:val="multilevel"/>
    <w:tmpl w:val="2B353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8E"/>
    <w:rsid w:val="003763A1"/>
    <w:rsid w:val="003E4831"/>
    <w:rsid w:val="00441DF0"/>
    <w:rsid w:val="00486E8E"/>
    <w:rsid w:val="00FD4B35"/>
    <w:rsid w:val="063A02B5"/>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C"/>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1006</Words>
  <Characters>5535</Characters>
  <Lines>46</Lines>
  <Paragraphs>13</Paragraphs>
  <TotalTime>5</TotalTime>
  <ScaleCrop>false</ScaleCrop>
  <LinksUpToDate>false</LinksUpToDate>
  <CharactersWithSpaces>6528</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2019-07-06T14:52:00Z</dcterms:created>
  <dc:creator>PC-19</dc:creator>
  <cp:lastModifiedBy>PC-18</cp:lastModifiedBy>
  <dcterms:modified xsi:type="dcterms:W3CDTF">2019-07-06T14:59:00Z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