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03E6A" w14:textId="5133F919" w:rsidR="008F40A8" w:rsidRPr="00907C17" w:rsidRDefault="008F40A8" w:rsidP="00E7024A">
      <w:pPr>
        <w:spacing w:line="276" w:lineRule="auto"/>
        <w:ind w:left="0" w:firstLine="0"/>
        <w:jc w:val="both"/>
        <w:rPr>
          <w:rFonts w:ascii="Arial" w:hAnsi="Arial" w:cs="Arial"/>
          <w:b/>
          <w:bCs/>
          <w:sz w:val="28"/>
          <w:szCs w:val="28"/>
        </w:rPr>
      </w:pPr>
      <w:r w:rsidRPr="00907C17">
        <w:rPr>
          <w:rFonts w:ascii="Segoe UI Emoji" w:hAnsi="Segoe UI Emoji" w:cs="Segoe UI Emoji"/>
          <w:b/>
          <w:bCs/>
          <w:sz w:val="28"/>
          <w:szCs w:val="28"/>
        </w:rPr>
        <w:t>📊</w:t>
      </w:r>
      <w:r w:rsidR="00907C17">
        <w:rPr>
          <w:rFonts w:ascii="Arial" w:hAnsi="Arial" w:cs="Arial"/>
          <w:b/>
          <w:bCs/>
          <w:sz w:val="28"/>
          <w:szCs w:val="28"/>
        </w:rPr>
        <w:t xml:space="preserve"> </w:t>
      </w:r>
      <w:r w:rsidRPr="00907C17">
        <w:rPr>
          <w:rFonts w:ascii="Arial" w:hAnsi="Arial" w:cs="Arial"/>
          <w:b/>
          <w:bCs/>
          <w:sz w:val="28"/>
          <w:szCs w:val="28"/>
        </w:rPr>
        <w:t>Analysis: Barriers to Skilled Worker Visa Transition for International Graduates</w:t>
      </w:r>
    </w:p>
    <w:p w14:paraId="4C37274C" w14:textId="77777777" w:rsidR="008F40A8" w:rsidRPr="00E7024A" w:rsidRDefault="008F40A8" w:rsidP="00E7024A">
      <w:pPr>
        <w:spacing w:line="276" w:lineRule="auto"/>
        <w:ind w:left="0" w:firstLine="0"/>
        <w:jc w:val="both"/>
        <w:rPr>
          <w:rFonts w:ascii="Arial" w:hAnsi="Arial" w:cs="Arial"/>
        </w:rPr>
      </w:pPr>
    </w:p>
    <w:p w14:paraId="7AEB70B0" w14:textId="77777777" w:rsidR="00A04717" w:rsidRPr="00E7024A" w:rsidRDefault="00A04717" w:rsidP="00E7024A">
      <w:pPr>
        <w:spacing w:line="276" w:lineRule="auto"/>
        <w:ind w:left="0" w:firstLine="0"/>
        <w:jc w:val="both"/>
        <w:rPr>
          <w:rFonts w:ascii="Arial" w:hAnsi="Arial" w:cs="Arial"/>
        </w:rPr>
      </w:pPr>
    </w:p>
    <w:p w14:paraId="354F0739" w14:textId="16ADAF2A" w:rsidR="00CD12B9" w:rsidRPr="00907C17" w:rsidRDefault="00BB0EE9" w:rsidP="00E7024A">
      <w:pPr>
        <w:pStyle w:val="ListParagraph"/>
        <w:numPr>
          <w:ilvl w:val="0"/>
          <w:numId w:val="2"/>
        </w:numPr>
        <w:spacing w:line="276" w:lineRule="auto"/>
        <w:jc w:val="both"/>
        <w:rPr>
          <w:rFonts w:ascii="Arial" w:hAnsi="Arial" w:cs="Arial"/>
          <w:b/>
          <w:bCs/>
          <w:sz w:val="24"/>
          <w:szCs w:val="24"/>
          <w:u w:val="single"/>
        </w:rPr>
      </w:pPr>
      <w:r w:rsidRPr="00907C17">
        <w:rPr>
          <w:rFonts w:ascii="Arial" w:hAnsi="Arial" w:cs="Arial"/>
          <w:b/>
          <w:bCs/>
          <w:sz w:val="24"/>
          <w:szCs w:val="24"/>
          <w:u w:val="single"/>
        </w:rPr>
        <w:t>Project Overview</w:t>
      </w:r>
    </w:p>
    <w:p w14:paraId="33D4F624" w14:textId="77777777" w:rsidR="00A04717" w:rsidRPr="00E7024A" w:rsidRDefault="00A04717" w:rsidP="00E7024A">
      <w:pPr>
        <w:spacing w:line="276" w:lineRule="auto"/>
        <w:ind w:left="0" w:firstLine="0"/>
        <w:jc w:val="both"/>
        <w:rPr>
          <w:rFonts w:ascii="Arial" w:hAnsi="Arial" w:cs="Arial"/>
          <w:b/>
          <w:bCs/>
          <w:u w:val="single"/>
        </w:rPr>
      </w:pPr>
    </w:p>
    <w:p w14:paraId="0BF39427" w14:textId="77777777" w:rsidR="00A04717" w:rsidRPr="00E7024A" w:rsidRDefault="00A04717" w:rsidP="00E7024A">
      <w:pPr>
        <w:spacing w:line="276" w:lineRule="auto"/>
        <w:ind w:left="0" w:firstLine="0"/>
        <w:jc w:val="both"/>
        <w:rPr>
          <w:rFonts w:ascii="Arial" w:hAnsi="Arial" w:cs="Arial"/>
        </w:rPr>
      </w:pPr>
      <w:r w:rsidRPr="00E7024A">
        <w:rPr>
          <w:rFonts w:ascii="Arial" w:hAnsi="Arial" w:cs="Arial"/>
        </w:rPr>
        <w:t>Many international graduates in the United Kingdom successfully secure employment after completing their studies. However, a significant proportion are unable to transition from the Graduate Route visa to the Skilled Worker visa, often resulting in their departure from the UK labour market.</w:t>
      </w:r>
    </w:p>
    <w:p w14:paraId="1A87642D" w14:textId="77777777" w:rsidR="00A04717" w:rsidRPr="00E7024A" w:rsidRDefault="00A04717" w:rsidP="00E7024A">
      <w:pPr>
        <w:spacing w:line="276" w:lineRule="auto"/>
        <w:ind w:left="0" w:firstLine="0"/>
        <w:jc w:val="both"/>
        <w:rPr>
          <w:rFonts w:ascii="Arial" w:hAnsi="Arial" w:cs="Arial"/>
        </w:rPr>
      </w:pPr>
    </w:p>
    <w:p w14:paraId="571ADB2D" w14:textId="49F8D173" w:rsidR="00A04717" w:rsidRPr="00E7024A" w:rsidRDefault="00A04717" w:rsidP="00E7024A">
      <w:pPr>
        <w:spacing w:line="276" w:lineRule="auto"/>
        <w:ind w:left="0" w:firstLine="0"/>
        <w:jc w:val="both"/>
        <w:rPr>
          <w:rFonts w:ascii="Arial" w:hAnsi="Arial" w:cs="Arial"/>
        </w:rPr>
      </w:pPr>
      <w:r w:rsidRPr="00E7024A">
        <w:rPr>
          <w:rFonts w:ascii="Arial" w:hAnsi="Arial" w:cs="Arial"/>
        </w:rPr>
        <w:t xml:space="preserve">This issue has become </w:t>
      </w:r>
      <w:r w:rsidR="00F92D45" w:rsidRPr="00E7024A">
        <w:rPr>
          <w:rFonts w:ascii="Arial" w:hAnsi="Arial" w:cs="Arial"/>
        </w:rPr>
        <w:t>more prominent</w:t>
      </w:r>
      <w:r w:rsidRPr="00E7024A">
        <w:rPr>
          <w:rFonts w:ascii="Arial" w:hAnsi="Arial" w:cs="Arial"/>
        </w:rPr>
        <w:t xml:space="preserve"> following major immigration policy changes introduced in 2024, including higher salary thresholds and revised occupational eligibility criteria. These changes have raised concerns about whether current visa requirements align with the realities of graduate-level employment.</w:t>
      </w:r>
    </w:p>
    <w:p w14:paraId="3C573C78" w14:textId="77777777" w:rsidR="00A04717" w:rsidRPr="00E7024A" w:rsidRDefault="00A04717" w:rsidP="00E7024A">
      <w:pPr>
        <w:spacing w:line="276" w:lineRule="auto"/>
        <w:ind w:left="0" w:firstLine="0"/>
        <w:jc w:val="both"/>
        <w:rPr>
          <w:rFonts w:ascii="Arial" w:hAnsi="Arial" w:cs="Arial"/>
        </w:rPr>
      </w:pPr>
    </w:p>
    <w:p w14:paraId="79B78961" w14:textId="730ED143" w:rsidR="00A04717" w:rsidRPr="00E7024A" w:rsidRDefault="00526964" w:rsidP="00E7024A">
      <w:pPr>
        <w:spacing w:line="276" w:lineRule="auto"/>
        <w:ind w:left="0" w:firstLine="0"/>
        <w:jc w:val="both"/>
        <w:rPr>
          <w:rFonts w:ascii="Arial" w:hAnsi="Arial" w:cs="Arial"/>
        </w:rPr>
      </w:pPr>
      <w:r w:rsidRPr="00E7024A">
        <w:rPr>
          <w:rFonts w:ascii="Arial" w:hAnsi="Arial" w:cs="Arial"/>
        </w:rPr>
        <w:t xml:space="preserve">This </w:t>
      </w:r>
      <w:r w:rsidR="00122DD1" w:rsidRPr="00E7024A">
        <w:rPr>
          <w:rFonts w:ascii="Arial" w:hAnsi="Arial" w:cs="Arial"/>
        </w:rPr>
        <w:t>project</w:t>
      </w:r>
      <w:r w:rsidRPr="00E7024A">
        <w:rPr>
          <w:rFonts w:ascii="Arial" w:hAnsi="Arial" w:cs="Arial"/>
        </w:rPr>
        <w:t xml:space="preserve"> analyses</w:t>
      </w:r>
      <w:r w:rsidRPr="00E7024A">
        <w:rPr>
          <w:rFonts w:ascii="Arial" w:hAnsi="Arial" w:cs="Arial"/>
        </w:rPr>
        <w:t xml:space="preserve"> </w:t>
      </w:r>
      <w:r w:rsidR="00A04717" w:rsidRPr="00E7024A">
        <w:rPr>
          <w:rFonts w:ascii="Arial" w:hAnsi="Arial" w:cs="Arial"/>
        </w:rPr>
        <w:t xml:space="preserve">the structural factors that limit the ability of international graduates to transition to Skilled Worker sponsorship. Specifically, it focuses on the interaction between salary thresholds, occupational eligibility, </w:t>
      </w:r>
      <w:r w:rsidR="00A31A64" w:rsidRPr="00E7024A">
        <w:rPr>
          <w:rFonts w:ascii="Arial" w:hAnsi="Arial" w:cs="Arial"/>
        </w:rPr>
        <w:t xml:space="preserve">and </w:t>
      </w:r>
      <w:r w:rsidR="00A04717" w:rsidRPr="00E7024A">
        <w:rPr>
          <w:rFonts w:ascii="Arial" w:hAnsi="Arial" w:cs="Arial"/>
        </w:rPr>
        <w:t xml:space="preserve">sectoral employment patterns. The analysis is based on datasets </w:t>
      </w:r>
      <w:r w:rsidR="00F92D45" w:rsidRPr="00E7024A">
        <w:rPr>
          <w:rFonts w:ascii="Arial" w:hAnsi="Arial" w:cs="Arial"/>
        </w:rPr>
        <w:t>covering the period from 2024 to 2025</w:t>
      </w:r>
      <w:r w:rsidR="00A04717" w:rsidRPr="00E7024A">
        <w:rPr>
          <w:rFonts w:ascii="Arial" w:hAnsi="Arial" w:cs="Arial"/>
        </w:rPr>
        <w:t>, allowing for an assessment of the impact of recent policy changes.</w:t>
      </w:r>
    </w:p>
    <w:p w14:paraId="111E3A83" w14:textId="77777777" w:rsidR="007A62F4" w:rsidRPr="00E7024A" w:rsidRDefault="007A62F4" w:rsidP="00E7024A">
      <w:pPr>
        <w:spacing w:line="276" w:lineRule="auto"/>
        <w:ind w:left="0" w:firstLine="0"/>
        <w:jc w:val="both"/>
        <w:rPr>
          <w:rFonts w:ascii="Arial" w:hAnsi="Arial" w:cs="Arial"/>
        </w:rPr>
      </w:pPr>
    </w:p>
    <w:p w14:paraId="4FB77933" w14:textId="77777777" w:rsidR="007A62F4" w:rsidRPr="00E7024A" w:rsidRDefault="007A62F4" w:rsidP="00E7024A">
      <w:pPr>
        <w:spacing w:line="276" w:lineRule="auto"/>
        <w:ind w:left="0" w:firstLine="0"/>
        <w:jc w:val="both"/>
        <w:rPr>
          <w:rFonts w:ascii="Arial" w:hAnsi="Arial" w:cs="Arial"/>
        </w:rPr>
      </w:pPr>
    </w:p>
    <w:p w14:paraId="4CB1698D" w14:textId="150F6EBB" w:rsidR="00C747F6" w:rsidRPr="00907C17" w:rsidRDefault="00BB0EE9" w:rsidP="00E7024A">
      <w:pPr>
        <w:pStyle w:val="ListParagraph"/>
        <w:numPr>
          <w:ilvl w:val="0"/>
          <w:numId w:val="2"/>
        </w:numPr>
        <w:spacing w:line="276" w:lineRule="auto"/>
        <w:jc w:val="both"/>
        <w:rPr>
          <w:rFonts w:ascii="Arial" w:hAnsi="Arial" w:cs="Arial"/>
          <w:b/>
          <w:bCs/>
          <w:sz w:val="24"/>
          <w:szCs w:val="24"/>
          <w:u w:val="single"/>
        </w:rPr>
      </w:pPr>
      <w:r w:rsidRPr="00907C17">
        <w:rPr>
          <w:rFonts w:ascii="Arial" w:hAnsi="Arial" w:cs="Arial"/>
          <w:b/>
          <w:bCs/>
          <w:sz w:val="24"/>
          <w:szCs w:val="24"/>
          <w:u w:val="single"/>
        </w:rPr>
        <w:t>Objective</w:t>
      </w:r>
    </w:p>
    <w:p w14:paraId="4D2B1FC3" w14:textId="77777777" w:rsidR="00C747F6" w:rsidRPr="00E7024A" w:rsidRDefault="00C747F6" w:rsidP="00E7024A">
      <w:pPr>
        <w:spacing w:line="276" w:lineRule="auto"/>
        <w:ind w:left="0" w:firstLine="0"/>
        <w:jc w:val="both"/>
        <w:rPr>
          <w:rFonts w:ascii="Arial" w:hAnsi="Arial" w:cs="Arial"/>
          <w:b/>
          <w:bCs/>
          <w:u w:val="single"/>
        </w:rPr>
      </w:pPr>
    </w:p>
    <w:p w14:paraId="7418F2F1" w14:textId="77777777" w:rsidR="00EC4F54" w:rsidRPr="00E7024A" w:rsidRDefault="00EC4F54" w:rsidP="00E7024A">
      <w:pPr>
        <w:spacing w:line="276" w:lineRule="auto"/>
        <w:ind w:left="0" w:firstLine="0"/>
        <w:jc w:val="both"/>
        <w:rPr>
          <w:rFonts w:ascii="Arial" w:hAnsi="Arial" w:cs="Arial"/>
        </w:rPr>
      </w:pPr>
      <w:r w:rsidRPr="00E7024A">
        <w:rPr>
          <w:rFonts w:ascii="Arial" w:hAnsi="Arial" w:cs="Arial"/>
        </w:rPr>
        <w:t>This project aims to identify the key structural barriers preventing international graduates from transitioning from the Graduate Route to Skilled Worker sponsorship in the UK.</w:t>
      </w:r>
    </w:p>
    <w:p w14:paraId="7C2D055A" w14:textId="77777777" w:rsidR="00EC4F54" w:rsidRPr="00E7024A" w:rsidRDefault="00EC4F54" w:rsidP="00E7024A">
      <w:pPr>
        <w:spacing w:line="276" w:lineRule="auto"/>
        <w:ind w:left="0" w:firstLine="0"/>
        <w:jc w:val="both"/>
        <w:rPr>
          <w:rFonts w:ascii="Arial" w:hAnsi="Arial" w:cs="Arial"/>
        </w:rPr>
      </w:pPr>
    </w:p>
    <w:p w14:paraId="69EC8E48" w14:textId="66334CFF" w:rsidR="00C747F6" w:rsidRPr="00E7024A" w:rsidRDefault="00EC4F54" w:rsidP="00E7024A">
      <w:pPr>
        <w:spacing w:line="276" w:lineRule="auto"/>
        <w:ind w:left="0" w:firstLine="0"/>
        <w:jc w:val="both"/>
        <w:rPr>
          <w:rFonts w:ascii="Arial" w:hAnsi="Arial" w:cs="Arial"/>
        </w:rPr>
      </w:pPr>
      <w:r w:rsidRPr="00E7024A">
        <w:rPr>
          <w:rFonts w:ascii="Arial" w:hAnsi="Arial" w:cs="Arial"/>
        </w:rPr>
        <w:t>It addresses the following questions:</w:t>
      </w:r>
    </w:p>
    <w:p w14:paraId="0962A1BB" w14:textId="77777777" w:rsidR="000C2526" w:rsidRPr="00E7024A" w:rsidRDefault="000C2526" w:rsidP="00E7024A">
      <w:pPr>
        <w:spacing w:line="276" w:lineRule="auto"/>
        <w:ind w:left="0" w:firstLine="0"/>
        <w:jc w:val="both"/>
        <w:rPr>
          <w:rFonts w:ascii="Arial" w:hAnsi="Arial" w:cs="Arial"/>
        </w:rPr>
      </w:pPr>
    </w:p>
    <w:p w14:paraId="331B5831" w14:textId="77777777" w:rsidR="00C747F6" w:rsidRPr="00E7024A" w:rsidRDefault="00C747F6" w:rsidP="00E7024A">
      <w:pPr>
        <w:pStyle w:val="ListParagraph"/>
        <w:numPr>
          <w:ilvl w:val="0"/>
          <w:numId w:val="5"/>
        </w:numPr>
        <w:spacing w:line="276" w:lineRule="auto"/>
        <w:jc w:val="both"/>
        <w:rPr>
          <w:rFonts w:ascii="Arial" w:hAnsi="Arial" w:cs="Arial"/>
        </w:rPr>
      </w:pPr>
      <w:r w:rsidRPr="00E7024A">
        <w:rPr>
          <w:rFonts w:ascii="Arial" w:hAnsi="Arial" w:cs="Arial"/>
        </w:rPr>
        <w:t xml:space="preserve">Do UK graduate salaries meet Skilled Worker visa salary thresholds? </w:t>
      </w:r>
    </w:p>
    <w:p w14:paraId="3B132931" w14:textId="77777777" w:rsidR="00C747F6" w:rsidRPr="00E7024A" w:rsidRDefault="00C747F6" w:rsidP="00E7024A">
      <w:pPr>
        <w:pStyle w:val="ListParagraph"/>
        <w:numPr>
          <w:ilvl w:val="0"/>
          <w:numId w:val="5"/>
        </w:numPr>
        <w:spacing w:line="276" w:lineRule="auto"/>
        <w:jc w:val="both"/>
        <w:rPr>
          <w:rFonts w:ascii="Arial" w:hAnsi="Arial" w:cs="Arial"/>
        </w:rPr>
      </w:pPr>
      <w:r w:rsidRPr="00E7024A">
        <w:rPr>
          <w:rFonts w:ascii="Arial" w:hAnsi="Arial" w:cs="Arial"/>
        </w:rPr>
        <w:t xml:space="preserve">Which sectors and occupations account for the majority of Skilled Worker visa sponsorship? </w:t>
      </w:r>
    </w:p>
    <w:p w14:paraId="69200B06" w14:textId="77777777" w:rsidR="00C747F6" w:rsidRPr="00E7024A" w:rsidRDefault="00C747F6" w:rsidP="00E7024A">
      <w:pPr>
        <w:pStyle w:val="ListParagraph"/>
        <w:numPr>
          <w:ilvl w:val="0"/>
          <w:numId w:val="5"/>
        </w:numPr>
        <w:spacing w:line="276" w:lineRule="auto"/>
        <w:jc w:val="both"/>
        <w:rPr>
          <w:rFonts w:ascii="Arial" w:hAnsi="Arial" w:cs="Arial"/>
        </w:rPr>
      </w:pPr>
      <w:r w:rsidRPr="00E7024A">
        <w:rPr>
          <w:rFonts w:ascii="Arial" w:hAnsi="Arial" w:cs="Arial"/>
        </w:rPr>
        <w:t xml:space="preserve">How has the distribution of visa sponsorship changed following the 2024 policy reforms? </w:t>
      </w:r>
    </w:p>
    <w:p w14:paraId="0D53D74D" w14:textId="77777777" w:rsidR="00C747F6" w:rsidRPr="00E7024A" w:rsidRDefault="00C747F6" w:rsidP="00E7024A">
      <w:pPr>
        <w:pStyle w:val="ListParagraph"/>
        <w:numPr>
          <w:ilvl w:val="0"/>
          <w:numId w:val="5"/>
        </w:numPr>
        <w:spacing w:line="276" w:lineRule="auto"/>
        <w:jc w:val="both"/>
        <w:rPr>
          <w:rFonts w:ascii="Arial" w:hAnsi="Arial" w:cs="Arial"/>
        </w:rPr>
      </w:pPr>
      <w:r w:rsidRPr="00E7024A">
        <w:rPr>
          <w:rFonts w:ascii="Arial" w:hAnsi="Arial" w:cs="Arial"/>
        </w:rPr>
        <w:t>To what extent do structural and institutional factors limit access to sponsorship opportunities for graduates?</w:t>
      </w:r>
    </w:p>
    <w:p w14:paraId="64774A96" w14:textId="77777777" w:rsidR="0082482B" w:rsidRPr="00E7024A" w:rsidRDefault="0082482B" w:rsidP="00E7024A">
      <w:pPr>
        <w:spacing w:line="276" w:lineRule="auto"/>
        <w:ind w:left="0" w:firstLine="0"/>
        <w:jc w:val="both"/>
        <w:rPr>
          <w:rFonts w:ascii="Arial" w:hAnsi="Arial" w:cs="Arial"/>
        </w:rPr>
      </w:pPr>
    </w:p>
    <w:p w14:paraId="4F753D60" w14:textId="489DF113" w:rsidR="00801152" w:rsidRPr="00E7024A" w:rsidRDefault="00EC4F54" w:rsidP="00E7024A">
      <w:pPr>
        <w:spacing w:line="276" w:lineRule="auto"/>
        <w:ind w:left="0" w:firstLine="0"/>
        <w:jc w:val="both"/>
        <w:rPr>
          <w:rFonts w:ascii="Arial" w:hAnsi="Arial" w:cs="Arial"/>
        </w:rPr>
      </w:pPr>
      <w:r w:rsidRPr="00E7024A">
        <w:rPr>
          <w:rFonts w:ascii="Arial" w:hAnsi="Arial" w:cs="Arial"/>
        </w:rPr>
        <w:t>The hypothesis is that structural constraints within both the labour market and immigration system significantly reduce the likelihood of international graduates transitioning to Skilled Worker visas</w:t>
      </w:r>
      <w:r w:rsidR="00C747F6" w:rsidRPr="00E7024A">
        <w:rPr>
          <w:rFonts w:ascii="Arial" w:hAnsi="Arial" w:cs="Arial"/>
        </w:rPr>
        <w:t>.</w:t>
      </w:r>
    </w:p>
    <w:p w14:paraId="5FC06064" w14:textId="77777777" w:rsidR="008F40A8" w:rsidRPr="00E7024A" w:rsidRDefault="008F40A8" w:rsidP="00E7024A">
      <w:pPr>
        <w:spacing w:line="276" w:lineRule="auto"/>
        <w:ind w:left="0" w:firstLine="0"/>
        <w:jc w:val="both"/>
        <w:rPr>
          <w:rFonts w:ascii="Arial" w:hAnsi="Arial" w:cs="Arial"/>
          <w:b/>
          <w:bCs/>
        </w:rPr>
      </w:pPr>
    </w:p>
    <w:p w14:paraId="723ED855" w14:textId="77777777" w:rsidR="0082482B" w:rsidRPr="00E7024A" w:rsidRDefault="0082482B" w:rsidP="00E7024A">
      <w:pPr>
        <w:spacing w:line="276" w:lineRule="auto"/>
        <w:ind w:left="0" w:firstLine="0"/>
        <w:jc w:val="both"/>
        <w:rPr>
          <w:rFonts w:ascii="Arial" w:hAnsi="Arial" w:cs="Arial"/>
          <w:b/>
          <w:bCs/>
          <w:u w:val="single"/>
        </w:rPr>
      </w:pPr>
    </w:p>
    <w:p w14:paraId="6FFE2651" w14:textId="0B500C3D" w:rsidR="0082482B" w:rsidRPr="00907C17" w:rsidRDefault="00BB0EE9" w:rsidP="00E7024A">
      <w:pPr>
        <w:pStyle w:val="ListParagraph"/>
        <w:numPr>
          <w:ilvl w:val="0"/>
          <w:numId w:val="2"/>
        </w:numPr>
        <w:spacing w:line="276" w:lineRule="auto"/>
        <w:jc w:val="both"/>
        <w:rPr>
          <w:rFonts w:ascii="Arial" w:hAnsi="Arial" w:cs="Arial"/>
          <w:b/>
          <w:bCs/>
          <w:sz w:val="24"/>
          <w:szCs w:val="24"/>
          <w:u w:val="single"/>
        </w:rPr>
      </w:pPr>
      <w:r w:rsidRPr="00907C17">
        <w:rPr>
          <w:rFonts w:ascii="Arial" w:hAnsi="Arial" w:cs="Arial"/>
          <w:b/>
          <w:bCs/>
          <w:sz w:val="24"/>
          <w:szCs w:val="24"/>
          <w:u w:val="single"/>
        </w:rPr>
        <w:t>Data Sources &amp; Preparation</w:t>
      </w:r>
    </w:p>
    <w:p w14:paraId="191DFEB8" w14:textId="77777777" w:rsidR="0082482B" w:rsidRPr="00E7024A" w:rsidRDefault="0082482B" w:rsidP="00E7024A">
      <w:pPr>
        <w:spacing w:line="276" w:lineRule="auto"/>
        <w:ind w:left="0" w:firstLine="0"/>
        <w:jc w:val="both"/>
        <w:rPr>
          <w:rFonts w:ascii="Arial" w:hAnsi="Arial" w:cs="Arial"/>
          <w:b/>
          <w:bCs/>
          <w:u w:val="single"/>
        </w:rPr>
      </w:pPr>
    </w:p>
    <w:p w14:paraId="5AB87AE4" w14:textId="77777777" w:rsidR="008758EC" w:rsidRPr="00E7024A" w:rsidRDefault="002F43AF" w:rsidP="00E7024A">
      <w:pPr>
        <w:spacing w:line="276" w:lineRule="auto"/>
        <w:ind w:left="0" w:firstLine="0"/>
        <w:jc w:val="both"/>
        <w:rPr>
          <w:rFonts w:ascii="Arial" w:hAnsi="Arial" w:cs="Arial"/>
        </w:rPr>
      </w:pPr>
      <w:r w:rsidRPr="00E7024A">
        <w:rPr>
          <w:rFonts w:ascii="Arial" w:hAnsi="Arial" w:cs="Arial"/>
        </w:rPr>
        <w:lastRenderedPageBreak/>
        <w:t xml:space="preserve">This analysis draws on secondary data from the </w:t>
      </w:r>
      <w:hyperlink r:id="rId5" w:history="1">
        <w:r w:rsidRPr="00E7024A">
          <w:rPr>
            <w:rStyle w:val="Hyperlink"/>
            <w:rFonts w:ascii="Arial" w:hAnsi="Arial" w:cs="Arial"/>
          </w:rPr>
          <w:t>UK Home Office</w:t>
        </w:r>
      </w:hyperlink>
      <w:r w:rsidRPr="00E7024A">
        <w:rPr>
          <w:rFonts w:ascii="Arial" w:hAnsi="Arial" w:cs="Arial"/>
        </w:rPr>
        <w:t xml:space="preserve"> and the </w:t>
      </w:r>
      <w:hyperlink r:id="rId6" w:history="1">
        <w:r w:rsidRPr="00E7024A">
          <w:rPr>
            <w:rStyle w:val="Hyperlink"/>
            <w:rFonts w:ascii="Arial" w:hAnsi="Arial" w:cs="Arial"/>
          </w:rPr>
          <w:t>Office for National Statistics</w:t>
        </w:r>
      </w:hyperlink>
      <w:r w:rsidRPr="00E7024A">
        <w:rPr>
          <w:rFonts w:ascii="Arial" w:hAnsi="Arial" w:cs="Arial"/>
        </w:rPr>
        <w:t xml:space="preserve"> to examine the structural barriers affecting international graduates’ transition from the Graduate Route to the Skilled Worker visa. </w:t>
      </w:r>
      <w:r w:rsidR="008758EC" w:rsidRPr="00E7024A">
        <w:rPr>
          <w:rFonts w:ascii="Arial" w:hAnsi="Arial" w:cs="Arial"/>
        </w:rPr>
        <w:t>The primary datasets include:</w:t>
      </w:r>
    </w:p>
    <w:p w14:paraId="48A33F26" w14:textId="4DED37DB" w:rsidR="004F1CBD" w:rsidRPr="00E7024A" w:rsidRDefault="004F1CBD" w:rsidP="00E7024A">
      <w:pPr>
        <w:numPr>
          <w:ilvl w:val="0"/>
          <w:numId w:val="6"/>
        </w:numPr>
        <w:spacing w:line="276" w:lineRule="auto"/>
        <w:jc w:val="both"/>
        <w:rPr>
          <w:rFonts w:ascii="Arial" w:hAnsi="Arial" w:cs="Arial"/>
          <w:b/>
          <w:bCs/>
        </w:rPr>
      </w:pPr>
      <w:r w:rsidRPr="00E7024A">
        <w:rPr>
          <w:rFonts w:ascii="Arial" w:hAnsi="Arial" w:cs="Arial"/>
          <w:b/>
          <w:bCs/>
        </w:rPr>
        <w:t xml:space="preserve">Graduate Labour Market Statistics (ONS, 2024): </w:t>
      </w:r>
      <w:r w:rsidRPr="00E7024A">
        <w:rPr>
          <w:rFonts w:ascii="Arial" w:hAnsi="Arial" w:cs="Arial"/>
        </w:rPr>
        <w:t>Utilized to establish median salary benchmarks for graduates aged 21–30. This data provides the baseline for comparing actual market earnings against immigration requirements.</w:t>
      </w:r>
    </w:p>
    <w:p w14:paraId="39BA7A7C" w14:textId="7645D5D4" w:rsidR="004F1CBD" w:rsidRPr="00E7024A" w:rsidRDefault="004F1CBD" w:rsidP="00E7024A">
      <w:pPr>
        <w:numPr>
          <w:ilvl w:val="0"/>
          <w:numId w:val="6"/>
        </w:numPr>
        <w:spacing w:line="276" w:lineRule="auto"/>
        <w:jc w:val="both"/>
        <w:rPr>
          <w:rFonts w:ascii="Arial" w:hAnsi="Arial" w:cs="Arial"/>
          <w:b/>
          <w:bCs/>
        </w:rPr>
      </w:pPr>
      <w:r w:rsidRPr="00E7024A">
        <w:rPr>
          <w:rFonts w:ascii="Arial" w:hAnsi="Arial" w:cs="Arial"/>
          <w:b/>
          <w:bCs/>
        </w:rPr>
        <w:t xml:space="preserve">Immigration System Statistics (Home Office, 2025): </w:t>
      </w:r>
      <w:r w:rsidRPr="00E7024A">
        <w:rPr>
          <w:rFonts w:ascii="Arial" w:hAnsi="Arial" w:cs="Arial"/>
        </w:rPr>
        <w:t>Used to identify the volume of Skilled Worker visa grants, segmented by industrial sector and occupational group.</w:t>
      </w:r>
    </w:p>
    <w:p w14:paraId="41F9AD2E" w14:textId="12BCFA09" w:rsidR="004F1CBD" w:rsidRPr="00E7024A" w:rsidRDefault="004F1CBD" w:rsidP="00E7024A">
      <w:pPr>
        <w:numPr>
          <w:ilvl w:val="0"/>
          <w:numId w:val="6"/>
        </w:numPr>
        <w:spacing w:line="276" w:lineRule="auto"/>
        <w:jc w:val="both"/>
        <w:rPr>
          <w:rFonts w:ascii="Arial" w:hAnsi="Arial" w:cs="Arial"/>
          <w:b/>
          <w:bCs/>
        </w:rPr>
      </w:pPr>
      <w:r w:rsidRPr="00E7024A">
        <w:rPr>
          <w:rFonts w:ascii="Arial" w:hAnsi="Arial" w:cs="Arial"/>
          <w:b/>
          <w:bCs/>
        </w:rPr>
        <w:t xml:space="preserve">Standard Occupational Classification (ONS, SOC 2020): </w:t>
      </w:r>
      <w:r w:rsidRPr="00E7024A">
        <w:rPr>
          <w:rFonts w:ascii="Arial" w:hAnsi="Arial" w:cs="Arial"/>
        </w:rPr>
        <w:t>The framework used to classify job roles and determine their corresponding skill levels under the Regulated Qualifications Framework (RQF).</w:t>
      </w:r>
    </w:p>
    <w:p w14:paraId="4CDF66DE" w14:textId="4F7B08ED" w:rsidR="004F1CBD" w:rsidRPr="00E7024A" w:rsidRDefault="004F1CBD" w:rsidP="00E7024A">
      <w:pPr>
        <w:numPr>
          <w:ilvl w:val="0"/>
          <w:numId w:val="6"/>
        </w:numPr>
        <w:spacing w:line="276" w:lineRule="auto"/>
        <w:jc w:val="both"/>
        <w:rPr>
          <w:rFonts w:ascii="Arial" w:hAnsi="Arial" w:cs="Arial"/>
        </w:rPr>
      </w:pPr>
      <w:r w:rsidRPr="00E7024A">
        <w:rPr>
          <w:rFonts w:ascii="Arial" w:hAnsi="Arial" w:cs="Arial"/>
          <w:b/>
          <w:bCs/>
        </w:rPr>
        <w:t xml:space="preserve">UKVI Policy Guidance (Home Office, May 2026): </w:t>
      </w:r>
      <w:r w:rsidRPr="00E7024A">
        <w:rPr>
          <w:rFonts w:ascii="Arial" w:hAnsi="Arial" w:cs="Arial"/>
        </w:rPr>
        <w:t>The official framework defining the current mandatory salary thresholds (£41,700 standard / £33,400 new entrant) and the Immigration Salary List (ISL), which replaced the Shortage Occupation List.</w:t>
      </w:r>
    </w:p>
    <w:p w14:paraId="21B884FB" w14:textId="16AB45CA" w:rsidR="002F43AF" w:rsidRPr="00E7024A" w:rsidRDefault="002F43AF" w:rsidP="00E7024A">
      <w:pPr>
        <w:spacing w:line="276" w:lineRule="auto"/>
        <w:ind w:left="0" w:firstLine="0"/>
        <w:jc w:val="both"/>
        <w:rPr>
          <w:rFonts w:ascii="Arial" w:hAnsi="Arial" w:cs="Arial"/>
        </w:rPr>
      </w:pPr>
    </w:p>
    <w:p w14:paraId="59B66FC9" w14:textId="1C31D89A" w:rsidR="00AB52FC" w:rsidRDefault="00AB52FC" w:rsidP="00CA788F">
      <w:pPr>
        <w:pStyle w:val="ListParagraph"/>
        <w:numPr>
          <w:ilvl w:val="1"/>
          <w:numId w:val="2"/>
        </w:numPr>
        <w:spacing w:line="276" w:lineRule="auto"/>
        <w:jc w:val="both"/>
        <w:rPr>
          <w:rFonts w:ascii="Arial" w:hAnsi="Arial" w:cs="Arial"/>
          <w:b/>
          <w:bCs/>
        </w:rPr>
      </w:pPr>
      <w:r w:rsidRPr="00CA788F">
        <w:rPr>
          <w:rFonts w:ascii="Arial" w:hAnsi="Arial" w:cs="Arial"/>
          <w:b/>
          <w:bCs/>
        </w:rPr>
        <w:t>Data Preprocessing</w:t>
      </w:r>
    </w:p>
    <w:p w14:paraId="6EA48D2E" w14:textId="77777777" w:rsidR="00CA788F" w:rsidRPr="00CA788F" w:rsidRDefault="00CA788F" w:rsidP="00CA788F">
      <w:pPr>
        <w:pStyle w:val="ListParagraph"/>
        <w:spacing w:line="276" w:lineRule="auto"/>
        <w:ind w:left="1080" w:firstLine="0"/>
        <w:jc w:val="both"/>
        <w:rPr>
          <w:rFonts w:ascii="Arial" w:hAnsi="Arial" w:cs="Arial"/>
          <w:b/>
          <w:bCs/>
        </w:rPr>
      </w:pPr>
    </w:p>
    <w:p w14:paraId="5AAE9C58" w14:textId="4392F73A" w:rsidR="00E7024A" w:rsidRDefault="00AB52FC" w:rsidP="00E7024A">
      <w:pPr>
        <w:spacing w:line="276" w:lineRule="auto"/>
        <w:ind w:left="0" w:firstLine="0"/>
        <w:jc w:val="both"/>
        <w:rPr>
          <w:rFonts w:ascii="Arial" w:hAnsi="Arial" w:cs="Arial"/>
        </w:rPr>
      </w:pPr>
      <w:r w:rsidRPr="00E7024A">
        <w:rPr>
          <w:rFonts w:ascii="Arial" w:hAnsi="Arial" w:cs="Arial"/>
        </w:rPr>
        <w:t>As these datasets utilize different reporting structures, significant preprocessing was required to ensure compatibility. This involved:</w:t>
      </w:r>
    </w:p>
    <w:p w14:paraId="7C41F416" w14:textId="77777777" w:rsidR="00172E26" w:rsidRPr="00E7024A" w:rsidRDefault="00172E26" w:rsidP="00E7024A">
      <w:pPr>
        <w:spacing w:line="276" w:lineRule="auto"/>
        <w:ind w:left="0" w:firstLine="0"/>
        <w:jc w:val="both"/>
        <w:rPr>
          <w:rFonts w:ascii="Arial" w:hAnsi="Arial" w:cs="Arial"/>
        </w:rPr>
      </w:pPr>
    </w:p>
    <w:p w14:paraId="59BABCC1" w14:textId="77777777" w:rsidR="00172E26" w:rsidRPr="00172E26" w:rsidRDefault="00172E26" w:rsidP="00172E26">
      <w:pPr>
        <w:numPr>
          <w:ilvl w:val="0"/>
          <w:numId w:val="7"/>
        </w:numPr>
        <w:spacing w:line="276" w:lineRule="auto"/>
        <w:jc w:val="both"/>
        <w:rPr>
          <w:rFonts w:ascii="Arial" w:hAnsi="Arial" w:cs="Arial"/>
        </w:rPr>
      </w:pPr>
      <w:r w:rsidRPr="00172E26">
        <w:rPr>
          <w:rFonts w:ascii="Arial" w:hAnsi="Arial" w:cs="Arial"/>
          <w:b/>
          <w:bCs/>
        </w:rPr>
        <w:t>Relational Data Integration:</w:t>
      </w:r>
      <w:r w:rsidRPr="00172E26">
        <w:rPr>
          <w:rFonts w:ascii="Arial" w:hAnsi="Arial" w:cs="Arial"/>
        </w:rPr>
        <w:t xml:space="preserve"> Key-based joins were used to merge visa grant datasets with occupational and industrial classification tables, enabling a multi-dimensional analysis linking visa outcomes with labour market characteristics.</w:t>
      </w:r>
    </w:p>
    <w:p w14:paraId="6BE8261B" w14:textId="77777777" w:rsidR="00172E26" w:rsidRPr="00172E26" w:rsidRDefault="00172E26" w:rsidP="00172E26">
      <w:pPr>
        <w:numPr>
          <w:ilvl w:val="0"/>
          <w:numId w:val="7"/>
        </w:numPr>
        <w:spacing w:line="276" w:lineRule="auto"/>
        <w:jc w:val="both"/>
        <w:rPr>
          <w:rFonts w:ascii="Arial" w:hAnsi="Arial" w:cs="Arial"/>
        </w:rPr>
      </w:pPr>
      <w:r w:rsidRPr="00172E26">
        <w:rPr>
          <w:rFonts w:ascii="Arial" w:hAnsi="Arial" w:cs="Arial"/>
          <w:b/>
          <w:bCs/>
        </w:rPr>
        <w:t>Data Harmonisation:</w:t>
      </w:r>
      <w:r w:rsidRPr="00172E26">
        <w:rPr>
          <w:rFonts w:ascii="Arial" w:hAnsi="Arial" w:cs="Arial"/>
        </w:rPr>
        <w:t xml:space="preserve"> Industrial classifications (SIC codes) were standardised and aligned with the SOC 2020 framework to ensure accurate mapping of occupations to their corresponding RQF skill levels.</w:t>
      </w:r>
    </w:p>
    <w:p w14:paraId="440ACC86" w14:textId="77777777" w:rsidR="00172E26" w:rsidRPr="00172E26" w:rsidRDefault="00172E26" w:rsidP="00172E26">
      <w:pPr>
        <w:numPr>
          <w:ilvl w:val="0"/>
          <w:numId w:val="7"/>
        </w:numPr>
        <w:spacing w:line="276" w:lineRule="auto"/>
        <w:jc w:val="both"/>
        <w:rPr>
          <w:rFonts w:ascii="Arial" w:hAnsi="Arial" w:cs="Arial"/>
        </w:rPr>
      </w:pPr>
      <w:r w:rsidRPr="00172E26">
        <w:rPr>
          <w:rFonts w:ascii="Arial" w:hAnsi="Arial" w:cs="Arial"/>
          <w:b/>
          <w:bCs/>
        </w:rPr>
        <w:t>Multivariate Filtering:</w:t>
      </w:r>
      <w:r w:rsidRPr="00172E26">
        <w:rPr>
          <w:rFonts w:ascii="Arial" w:hAnsi="Arial" w:cs="Arial"/>
        </w:rPr>
        <w:t xml:space="preserve"> Conditional filters were applied to isolate the “New Entrant” category and early-career SOC codes, ensuring the dataset focused specifically on the international graduate population.</w:t>
      </w:r>
    </w:p>
    <w:p w14:paraId="6D550E1D" w14:textId="77777777" w:rsidR="00172E26" w:rsidRPr="00172E26" w:rsidRDefault="00172E26" w:rsidP="00172E26">
      <w:pPr>
        <w:numPr>
          <w:ilvl w:val="0"/>
          <w:numId w:val="7"/>
        </w:numPr>
        <w:spacing w:line="276" w:lineRule="auto"/>
        <w:jc w:val="both"/>
        <w:rPr>
          <w:rFonts w:ascii="Arial" w:hAnsi="Arial" w:cs="Arial"/>
        </w:rPr>
      </w:pPr>
      <w:r w:rsidRPr="00172E26">
        <w:rPr>
          <w:rFonts w:ascii="Arial" w:hAnsi="Arial" w:cs="Arial"/>
          <w:b/>
          <w:bCs/>
        </w:rPr>
        <w:t>Categorical Aggregation:</w:t>
      </w:r>
      <w:r w:rsidRPr="00172E26">
        <w:rPr>
          <w:rFonts w:ascii="Arial" w:hAnsi="Arial" w:cs="Arial"/>
        </w:rPr>
        <w:t xml:space="preserve"> Granular occupational data were grouped into broader industrial sectors to enable macro-level trend analysis and facilitate meaningful sectoral comparisons.</w:t>
      </w:r>
    </w:p>
    <w:p w14:paraId="21FFB60E" w14:textId="730B5BC7" w:rsidR="00172E26" w:rsidRPr="00172E26" w:rsidRDefault="00172E26" w:rsidP="00172E26">
      <w:pPr>
        <w:numPr>
          <w:ilvl w:val="0"/>
          <w:numId w:val="7"/>
        </w:numPr>
        <w:spacing w:line="276" w:lineRule="auto"/>
        <w:jc w:val="both"/>
        <w:rPr>
          <w:rFonts w:ascii="Arial" w:hAnsi="Arial" w:cs="Arial"/>
        </w:rPr>
      </w:pPr>
      <w:r w:rsidRPr="00172E26">
        <w:rPr>
          <w:rFonts w:ascii="Arial" w:hAnsi="Arial" w:cs="Arial"/>
          <w:b/>
          <w:bCs/>
        </w:rPr>
        <w:t>Longitudinal Alignment:</w:t>
      </w:r>
      <w:r w:rsidRPr="00172E26">
        <w:rPr>
          <w:rFonts w:ascii="Arial" w:hAnsi="Arial" w:cs="Arial"/>
        </w:rPr>
        <w:t xml:space="preserve"> Annual datasets from 2021–2025 were normalised and re-indexed to account for the transition from SOC 2010 to SOC 2020 in April 2024, ensuring consistency in time-series comparisons.</w:t>
      </w:r>
    </w:p>
    <w:p w14:paraId="60243345" w14:textId="77777777" w:rsidR="00B52D69" w:rsidRPr="00E7024A" w:rsidRDefault="00B52D69" w:rsidP="00E7024A">
      <w:pPr>
        <w:spacing w:line="276" w:lineRule="auto"/>
        <w:ind w:left="0" w:firstLine="0"/>
        <w:jc w:val="both"/>
        <w:rPr>
          <w:rFonts w:ascii="Arial" w:hAnsi="Arial" w:cs="Arial"/>
        </w:rPr>
      </w:pPr>
    </w:p>
    <w:p w14:paraId="650BD376" w14:textId="77777777" w:rsidR="00CA788F" w:rsidRDefault="00CA788F" w:rsidP="005D7CC2">
      <w:pPr>
        <w:spacing w:line="276" w:lineRule="auto"/>
        <w:ind w:left="0" w:firstLine="0"/>
        <w:jc w:val="both"/>
        <w:rPr>
          <w:rFonts w:ascii="Arial" w:hAnsi="Arial" w:cs="Arial"/>
        </w:rPr>
      </w:pPr>
    </w:p>
    <w:p w14:paraId="2BC0BBF7" w14:textId="6638F1EE" w:rsidR="005D7CC2" w:rsidRPr="00CA788F" w:rsidRDefault="005D7CC2" w:rsidP="00CA788F">
      <w:pPr>
        <w:pStyle w:val="ListParagraph"/>
        <w:numPr>
          <w:ilvl w:val="1"/>
          <w:numId w:val="2"/>
        </w:numPr>
        <w:spacing w:line="276" w:lineRule="auto"/>
        <w:jc w:val="both"/>
        <w:rPr>
          <w:rFonts w:ascii="Arial" w:hAnsi="Arial" w:cs="Arial"/>
          <w:b/>
          <w:bCs/>
        </w:rPr>
      </w:pPr>
      <w:r w:rsidRPr="00CA788F">
        <w:rPr>
          <w:rFonts w:ascii="Arial" w:hAnsi="Arial" w:cs="Arial"/>
          <w:b/>
          <w:bCs/>
        </w:rPr>
        <w:t>Methodological Framework</w:t>
      </w:r>
    </w:p>
    <w:p w14:paraId="7BF37EEA" w14:textId="77777777" w:rsidR="005D7CC2" w:rsidRPr="005D7CC2" w:rsidRDefault="005D7CC2" w:rsidP="005D7CC2">
      <w:pPr>
        <w:spacing w:line="276" w:lineRule="auto"/>
        <w:ind w:left="0" w:firstLine="0"/>
        <w:jc w:val="both"/>
        <w:rPr>
          <w:rFonts w:ascii="Arial" w:hAnsi="Arial" w:cs="Arial"/>
          <w:b/>
          <w:bCs/>
        </w:rPr>
      </w:pPr>
    </w:p>
    <w:p w14:paraId="1BF7BF9C" w14:textId="77777777" w:rsidR="005D7CC2" w:rsidRPr="005D7CC2" w:rsidRDefault="005D7CC2" w:rsidP="005D7CC2">
      <w:pPr>
        <w:spacing w:line="276" w:lineRule="auto"/>
        <w:ind w:left="0" w:firstLine="0"/>
        <w:jc w:val="both"/>
        <w:rPr>
          <w:rFonts w:ascii="Arial" w:hAnsi="Arial" w:cs="Arial"/>
        </w:rPr>
      </w:pPr>
      <w:r w:rsidRPr="005D7CC2">
        <w:rPr>
          <w:rFonts w:ascii="Arial" w:hAnsi="Arial" w:cs="Arial"/>
        </w:rPr>
        <w:t>The analysis adopts a quantitative and comparative approach to identify structural constraints within the UK immigration system. The framework is built on three pillars:</w:t>
      </w:r>
    </w:p>
    <w:p w14:paraId="0A7E8516" w14:textId="77777777" w:rsidR="005D7CC2" w:rsidRPr="005D7CC2" w:rsidRDefault="005D7CC2" w:rsidP="005D7CC2">
      <w:pPr>
        <w:numPr>
          <w:ilvl w:val="0"/>
          <w:numId w:val="7"/>
        </w:numPr>
        <w:spacing w:line="276" w:lineRule="auto"/>
        <w:jc w:val="both"/>
        <w:rPr>
          <w:rFonts w:ascii="Arial" w:hAnsi="Arial" w:cs="Arial"/>
        </w:rPr>
      </w:pPr>
      <w:r w:rsidRPr="005D7CC2">
        <w:rPr>
          <w:rFonts w:ascii="Arial" w:hAnsi="Arial" w:cs="Arial"/>
          <w:b/>
          <w:bCs/>
        </w:rPr>
        <w:t xml:space="preserve">Salary Benchmarking: </w:t>
      </w:r>
      <w:r w:rsidRPr="005D7CC2">
        <w:rPr>
          <w:rFonts w:ascii="Arial" w:hAnsi="Arial" w:cs="Arial"/>
        </w:rPr>
        <w:t>Graduate earnings are evaluated against the New Entrant threshold (£33,400) to measure the "salary gap" across different industries.</w:t>
      </w:r>
    </w:p>
    <w:p w14:paraId="32C4666C" w14:textId="51040576" w:rsidR="005D7CC2" w:rsidRPr="005D7CC2" w:rsidRDefault="005D7CC2" w:rsidP="005D7CC2">
      <w:pPr>
        <w:numPr>
          <w:ilvl w:val="0"/>
          <w:numId w:val="7"/>
        </w:numPr>
        <w:spacing w:line="276" w:lineRule="auto"/>
        <w:jc w:val="both"/>
        <w:rPr>
          <w:rFonts w:ascii="Arial" w:hAnsi="Arial" w:cs="Arial"/>
        </w:rPr>
      </w:pPr>
      <w:r w:rsidRPr="005D7CC2">
        <w:rPr>
          <w:rFonts w:ascii="Arial" w:hAnsi="Arial" w:cs="Arial"/>
          <w:b/>
          <w:bCs/>
        </w:rPr>
        <w:t>Skill-Level Categorization:</w:t>
      </w:r>
      <w:r>
        <w:rPr>
          <w:rFonts w:ascii="Arial" w:hAnsi="Arial" w:cs="Arial"/>
          <w:b/>
          <w:bCs/>
        </w:rPr>
        <w:t xml:space="preserve"> </w:t>
      </w:r>
      <w:r w:rsidRPr="005D7CC2">
        <w:rPr>
          <w:rFonts w:ascii="Arial" w:hAnsi="Arial" w:cs="Arial"/>
        </w:rPr>
        <w:t>Using the SOC 2020 framework, occupations are grouped by RQF levels (Higher-skilled 6+, Medium-skilled 3–5, and Low-skilled &lt;3) to assess how skill requirements intersect with entry-level roles.</w:t>
      </w:r>
    </w:p>
    <w:p w14:paraId="339A1760" w14:textId="77777777" w:rsidR="005D7CC2" w:rsidRDefault="005D7CC2" w:rsidP="005D7CC2">
      <w:pPr>
        <w:numPr>
          <w:ilvl w:val="0"/>
          <w:numId w:val="7"/>
        </w:numPr>
        <w:spacing w:line="276" w:lineRule="auto"/>
        <w:jc w:val="both"/>
        <w:rPr>
          <w:rFonts w:ascii="Arial" w:hAnsi="Arial" w:cs="Arial"/>
        </w:rPr>
      </w:pPr>
      <w:r w:rsidRPr="005D7CC2">
        <w:rPr>
          <w:rFonts w:ascii="Arial" w:hAnsi="Arial" w:cs="Arial"/>
          <w:b/>
          <w:bCs/>
        </w:rPr>
        <w:lastRenderedPageBreak/>
        <w:t xml:space="preserve">Sectoral Mapping: </w:t>
      </w:r>
      <w:r w:rsidRPr="005D7CC2">
        <w:rPr>
          <w:rFonts w:ascii="Arial" w:hAnsi="Arial" w:cs="Arial"/>
        </w:rPr>
        <w:t>The distribution of visa grants is compared against graduate employment density to identify areas of alignment or mismatch between labour market reality and policy requirements.</w:t>
      </w:r>
    </w:p>
    <w:p w14:paraId="4EA6CB23" w14:textId="77777777" w:rsidR="005D7CC2" w:rsidRPr="005D7CC2" w:rsidRDefault="005D7CC2" w:rsidP="005D7CC2">
      <w:pPr>
        <w:spacing w:line="276" w:lineRule="auto"/>
        <w:jc w:val="both"/>
        <w:rPr>
          <w:rFonts w:ascii="Arial" w:hAnsi="Arial" w:cs="Arial"/>
        </w:rPr>
      </w:pPr>
    </w:p>
    <w:p w14:paraId="397F850F" w14:textId="77777777" w:rsidR="005D7CC2" w:rsidRPr="005D7CC2" w:rsidRDefault="005D7CC2" w:rsidP="005D7CC2">
      <w:pPr>
        <w:spacing w:line="276" w:lineRule="auto"/>
        <w:ind w:left="0" w:firstLine="0"/>
        <w:jc w:val="both"/>
        <w:rPr>
          <w:rFonts w:ascii="Arial" w:hAnsi="Arial" w:cs="Arial"/>
        </w:rPr>
      </w:pPr>
      <w:r w:rsidRPr="005D7CC2">
        <w:rPr>
          <w:rFonts w:ascii="Arial" w:hAnsi="Arial" w:cs="Arial"/>
        </w:rPr>
        <w:t>By integrating these dimensions, the analysis moves beyond isolated data points to highlight the broader systemic barriers shaping access to sponsorship.</w:t>
      </w:r>
    </w:p>
    <w:p w14:paraId="29DD7C79" w14:textId="77777777" w:rsidR="002F43AF" w:rsidRPr="00E7024A" w:rsidRDefault="002F43AF" w:rsidP="00E7024A">
      <w:pPr>
        <w:spacing w:line="276" w:lineRule="auto"/>
        <w:ind w:left="0" w:firstLine="0"/>
        <w:jc w:val="both"/>
        <w:rPr>
          <w:rFonts w:ascii="Arial" w:hAnsi="Arial" w:cs="Arial"/>
        </w:rPr>
      </w:pPr>
    </w:p>
    <w:p w14:paraId="7AD7F69C" w14:textId="1C53CA4B" w:rsidR="00060039" w:rsidRPr="00E7024A" w:rsidRDefault="00060039" w:rsidP="00E7024A">
      <w:pPr>
        <w:pStyle w:val="ListParagraph"/>
        <w:numPr>
          <w:ilvl w:val="1"/>
          <w:numId w:val="2"/>
        </w:numPr>
        <w:spacing w:line="276" w:lineRule="auto"/>
        <w:jc w:val="both"/>
        <w:rPr>
          <w:rFonts w:ascii="Arial" w:hAnsi="Arial" w:cs="Arial"/>
          <w:b/>
          <w:bCs/>
        </w:rPr>
      </w:pPr>
      <w:r w:rsidRPr="00E7024A">
        <w:rPr>
          <w:rFonts w:ascii="Arial" w:hAnsi="Arial" w:cs="Arial"/>
          <w:b/>
          <w:bCs/>
        </w:rPr>
        <w:t>Limitations</w:t>
      </w:r>
    </w:p>
    <w:p w14:paraId="497D8405" w14:textId="77777777" w:rsidR="00060039" w:rsidRPr="00E7024A" w:rsidRDefault="00060039" w:rsidP="00E7024A">
      <w:pPr>
        <w:spacing w:line="276" w:lineRule="auto"/>
        <w:ind w:left="0" w:firstLine="0"/>
        <w:jc w:val="both"/>
        <w:rPr>
          <w:rFonts w:ascii="Arial" w:hAnsi="Arial" w:cs="Arial"/>
        </w:rPr>
      </w:pPr>
    </w:p>
    <w:p w14:paraId="06A56E73" w14:textId="4A1CAF4A" w:rsidR="0069302E" w:rsidRPr="00E7024A" w:rsidRDefault="00060039" w:rsidP="00E7024A">
      <w:pPr>
        <w:spacing w:line="276" w:lineRule="auto"/>
        <w:ind w:left="0" w:firstLine="0"/>
        <w:jc w:val="both"/>
        <w:rPr>
          <w:rFonts w:ascii="Arial" w:hAnsi="Arial" w:cs="Arial"/>
        </w:rPr>
      </w:pPr>
      <w:r w:rsidRPr="00E7024A">
        <w:rPr>
          <w:rFonts w:ascii="Arial" w:hAnsi="Arial" w:cs="Arial"/>
        </w:rPr>
        <w:t>The analysis relies on aggregate administrative data, which does not capture individual nuances or regional pay variations (e.g., London vs. regional UK). Furthermore, the study focuses on sponsored work routes and does not account for graduates utilizing non-sponsored alternatives, such as the High Potential Individual (HPI) or Global Talent visas.</w:t>
      </w:r>
    </w:p>
    <w:p w14:paraId="56726672" w14:textId="77777777" w:rsidR="0082482B" w:rsidRDefault="0082482B" w:rsidP="00E7024A">
      <w:pPr>
        <w:spacing w:line="276" w:lineRule="auto"/>
        <w:ind w:left="0" w:firstLine="0"/>
        <w:jc w:val="both"/>
        <w:rPr>
          <w:rFonts w:ascii="Arial" w:hAnsi="Arial" w:cs="Arial"/>
          <w:b/>
          <w:bCs/>
          <w:u w:val="single"/>
        </w:rPr>
      </w:pPr>
    </w:p>
    <w:p w14:paraId="29D7633D" w14:textId="77777777" w:rsidR="00CA788F" w:rsidRPr="00E7024A" w:rsidRDefault="00CA788F" w:rsidP="00E7024A">
      <w:pPr>
        <w:spacing w:line="276" w:lineRule="auto"/>
        <w:ind w:left="0" w:firstLine="0"/>
        <w:jc w:val="both"/>
        <w:rPr>
          <w:rFonts w:ascii="Arial" w:hAnsi="Arial" w:cs="Arial"/>
          <w:b/>
          <w:bCs/>
          <w:u w:val="single"/>
        </w:rPr>
      </w:pPr>
    </w:p>
    <w:p w14:paraId="7DD107D1" w14:textId="3CFCF0C5" w:rsidR="0082482B" w:rsidRPr="00907C17" w:rsidRDefault="0069302E" w:rsidP="00CA788F">
      <w:pPr>
        <w:pStyle w:val="ListParagraph"/>
        <w:numPr>
          <w:ilvl w:val="0"/>
          <w:numId w:val="2"/>
        </w:numPr>
        <w:spacing w:line="276" w:lineRule="auto"/>
        <w:jc w:val="both"/>
        <w:rPr>
          <w:rFonts w:ascii="Arial" w:hAnsi="Arial" w:cs="Arial"/>
          <w:b/>
          <w:bCs/>
          <w:sz w:val="24"/>
          <w:szCs w:val="24"/>
          <w:u w:val="single"/>
        </w:rPr>
      </w:pPr>
      <w:r w:rsidRPr="00907C17">
        <w:rPr>
          <w:rFonts w:ascii="Arial" w:hAnsi="Arial" w:cs="Arial"/>
          <w:b/>
          <w:bCs/>
          <w:sz w:val="24"/>
          <w:szCs w:val="24"/>
          <w:u w:val="single"/>
        </w:rPr>
        <w:t>Analysis</w:t>
      </w:r>
    </w:p>
    <w:p w14:paraId="5725C60D" w14:textId="77777777" w:rsidR="00A540B2" w:rsidRPr="00E7024A" w:rsidRDefault="00A540B2" w:rsidP="00E7024A">
      <w:pPr>
        <w:spacing w:line="276" w:lineRule="auto"/>
        <w:ind w:left="0" w:firstLine="0"/>
        <w:jc w:val="both"/>
        <w:rPr>
          <w:rFonts w:ascii="Arial" w:hAnsi="Arial" w:cs="Arial"/>
          <w:b/>
          <w:bCs/>
        </w:rPr>
      </w:pPr>
    </w:p>
    <w:p w14:paraId="5F2BB491" w14:textId="79C4BE95" w:rsidR="00A540B2" w:rsidRPr="00E7024A" w:rsidRDefault="00A540B2" w:rsidP="00E7024A">
      <w:pPr>
        <w:pStyle w:val="ListParagraph"/>
        <w:numPr>
          <w:ilvl w:val="1"/>
          <w:numId w:val="2"/>
        </w:numPr>
        <w:spacing w:line="276" w:lineRule="auto"/>
        <w:jc w:val="both"/>
        <w:rPr>
          <w:rFonts w:ascii="Arial" w:hAnsi="Arial" w:cs="Arial"/>
          <w:b/>
          <w:bCs/>
        </w:rPr>
      </w:pPr>
      <w:r w:rsidRPr="00E7024A">
        <w:rPr>
          <w:rFonts w:ascii="Arial" w:hAnsi="Arial" w:cs="Arial"/>
          <w:b/>
          <w:bCs/>
        </w:rPr>
        <w:t>Salary Threshold Constraints</w:t>
      </w:r>
    </w:p>
    <w:p w14:paraId="2ABB0255" w14:textId="77777777" w:rsidR="00A540B2" w:rsidRPr="00E7024A" w:rsidRDefault="00A540B2" w:rsidP="00E7024A">
      <w:pPr>
        <w:spacing w:line="276" w:lineRule="auto"/>
        <w:ind w:left="0" w:firstLine="0"/>
        <w:jc w:val="both"/>
        <w:rPr>
          <w:rFonts w:ascii="Arial" w:hAnsi="Arial" w:cs="Arial"/>
        </w:rPr>
      </w:pPr>
    </w:p>
    <w:p w14:paraId="635540AE" w14:textId="689CA313" w:rsidR="003D00E3" w:rsidRPr="00E7024A" w:rsidRDefault="00A540B2" w:rsidP="00E7024A">
      <w:pPr>
        <w:spacing w:line="276" w:lineRule="auto"/>
        <w:ind w:left="0" w:firstLine="0"/>
        <w:jc w:val="both"/>
        <w:rPr>
          <w:rFonts w:ascii="Arial" w:hAnsi="Arial" w:cs="Arial"/>
        </w:rPr>
      </w:pPr>
      <w:r w:rsidRPr="00E7024A">
        <w:rPr>
          <w:rFonts w:ascii="Arial" w:hAnsi="Arial" w:cs="Arial"/>
        </w:rPr>
        <w:t xml:space="preserve">Analysis of graduate salaries across industries </w:t>
      </w:r>
      <w:r w:rsidR="00137BD1" w:rsidRPr="00E7024A">
        <w:rPr>
          <w:rFonts w:ascii="Arial" w:hAnsi="Arial" w:cs="Arial"/>
        </w:rPr>
        <w:t xml:space="preserve">(Source: </w:t>
      </w:r>
      <w:hyperlink r:id="rId7" w:history="1">
        <w:r w:rsidR="00137BD1" w:rsidRPr="00E7024A">
          <w:rPr>
            <w:rStyle w:val="Hyperlink"/>
            <w:rFonts w:ascii="Arial" w:hAnsi="Arial" w:cs="Arial"/>
          </w:rPr>
          <w:t>Graduate labour market statistics</w:t>
        </w:r>
        <w:r w:rsidR="00F14136" w:rsidRPr="00E7024A">
          <w:rPr>
            <w:rStyle w:val="Hyperlink"/>
            <w:rFonts w:ascii="Arial" w:hAnsi="Arial" w:cs="Arial"/>
          </w:rPr>
          <w:t>, 2024</w:t>
        </w:r>
      </w:hyperlink>
      <w:r w:rsidR="00137BD1" w:rsidRPr="00E7024A">
        <w:rPr>
          <w:rFonts w:ascii="Arial" w:hAnsi="Arial" w:cs="Arial"/>
        </w:rPr>
        <w:t xml:space="preserve">) </w:t>
      </w:r>
      <w:r w:rsidRPr="00E7024A">
        <w:rPr>
          <w:rFonts w:ascii="Arial" w:hAnsi="Arial" w:cs="Arial"/>
        </w:rPr>
        <w:t>shows that five out of nine sectors have median salaries above the New Entrant Skilled Worker visa threshold of £33,400</w:t>
      </w:r>
      <w:r w:rsidR="009A771C" w:rsidRPr="00E7024A">
        <w:rPr>
          <w:rFonts w:ascii="Arial" w:hAnsi="Arial" w:cs="Arial"/>
        </w:rPr>
        <w:t xml:space="preserve"> (see </w:t>
      </w:r>
      <w:r w:rsidR="009A771C" w:rsidRPr="00E7024A">
        <w:rPr>
          <w:rFonts w:ascii="Arial" w:hAnsi="Arial" w:cs="Arial"/>
          <w:b/>
          <w:bCs/>
        </w:rPr>
        <w:t>Figure 1</w:t>
      </w:r>
      <w:r w:rsidR="009A771C" w:rsidRPr="00E7024A">
        <w:rPr>
          <w:rFonts w:ascii="Arial" w:hAnsi="Arial" w:cs="Arial"/>
        </w:rPr>
        <w:t>)</w:t>
      </w:r>
      <w:r w:rsidRPr="00E7024A">
        <w:rPr>
          <w:rFonts w:ascii="Arial" w:hAnsi="Arial" w:cs="Arial"/>
        </w:rPr>
        <w:t xml:space="preserve">. However, in </w:t>
      </w:r>
      <w:r w:rsidR="003D6B5E" w:rsidRPr="00E7024A">
        <w:rPr>
          <w:rFonts w:ascii="Arial" w:hAnsi="Arial" w:cs="Arial"/>
        </w:rPr>
        <w:t>those five</w:t>
      </w:r>
      <w:r w:rsidRPr="00E7024A">
        <w:rPr>
          <w:rFonts w:ascii="Arial" w:hAnsi="Arial" w:cs="Arial"/>
        </w:rPr>
        <w:t xml:space="preserve"> sectors, salaries exceed the threshold only marginally—typically by £1,600 to £2,600—indicating that many entry-level roles operate close to the minimum eligibility requirement.</w:t>
      </w:r>
      <w:r w:rsidR="00693BB9" w:rsidRPr="00E7024A">
        <w:rPr>
          <w:rFonts w:ascii="Arial" w:hAnsi="Arial" w:cs="Arial"/>
        </w:rPr>
        <w:t xml:space="preserve"> </w:t>
      </w:r>
      <w:r w:rsidR="007C6FFA" w:rsidRPr="00E7024A">
        <w:rPr>
          <w:rFonts w:ascii="Arial" w:hAnsi="Arial" w:cs="Arial"/>
        </w:rPr>
        <w:t>As a result, a substantial proportion of graduates are likely to fall below the threshold despite the median exceeding it. This creates a “cliff-edge” effect, where small variations in pay can determine visa eligibility, making access to sponsorship highly uncertain even within sectors whose median salaries formally meet the requirement.</w:t>
      </w:r>
    </w:p>
    <w:p w14:paraId="6AC42377" w14:textId="77777777" w:rsidR="00693BB9" w:rsidRPr="00E7024A" w:rsidRDefault="00693BB9" w:rsidP="00E7024A">
      <w:pPr>
        <w:spacing w:line="276" w:lineRule="auto"/>
        <w:ind w:left="0" w:firstLine="0"/>
        <w:jc w:val="both"/>
        <w:rPr>
          <w:rFonts w:ascii="Arial" w:hAnsi="Arial" w:cs="Arial"/>
        </w:rPr>
      </w:pPr>
    </w:p>
    <w:p w14:paraId="589F5031" w14:textId="77777777" w:rsidR="003D00E3" w:rsidRPr="00E7024A" w:rsidRDefault="00AD4FCB" w:rsidP="00E7024A">
      <w:pPr>
        <w:spacing w:line="276" w:lineRule="auto"/>
        <w:ind w:left="0" w:firstLine="0"/>
        <w:jc w:val="both"/>
        <w:rPr>
          <w:rFonts w:ascii="Arial" w:hAnsi="Arial" w:cs="Arial"/>
        </w:rPr>
      </w:pPr>
      <w:r w:rsidRPr="00E7024A">
        <w:rPr>
          <w:rFonts w:ascii="Arial" w:hAnsi="Arial" w:cs="Arial"/>
        </w:rPr>
        <w:drawing>
          <wp:inline distT="0" distB="0" distL="0" distR="0" wp14:anchorId="315912FA" wp14:editId="1B0853D2">
            <wp:extent cx="5729176" cy="3081866"/>
            <wp:effectExtent l="0" t="0" r="5080" b="4445"/>
            <wp:docPr id="1740768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768641" name=""/>
                    <pic:cNvPicPr/>
                  </pic:nvPicPr>
                  <pic:blipFill rotWithShape="1">
                    <a:blip r:embed="rId8"/>
                    <a:srcRect l="2384" t="6833"/>
                    <a:stretch>
                      <a:fillRect/>
                    </a:stretch>
                  </pic:blipFill>
                  <pic:spPr bwMode="auto">
                    <a:xfrm>
                      <a:off x="0" y="0"/>
                      <a:ext cx="5741476" cy="3088482"/>
                    </a:xfrm>
                    <a:prstGeom prst="rect">
                      <a:avLst/>
                    </a:prstGeom>
                    <a:ln>
                      <a:noFill/>
                    </a:ln>
                    <a:extLst>
                      <a:ext uri="{53640926-AAD7-44D8-BBD7-CCE9431645EC}">
                        <a14:shadowObscured xmlns:a14="http://schemas.microsoft.com/office/drawing/2010/main"/>
                      </a:ext>
                    </a:extLst>
                  </pic:spPr>
                </pic:pic>
              </a:graphicData>
            </a:graphic>
          </wp:inline>
        </w:drawing>
      </w:r>
    </w:p>
    <w:p w14:paraId="72D440BD" w14:textId="77777777" w:rsidR="00AD4FCB" w:rsidRPr="00E7024A" w:rsidRDefault="00AD4FCB" w:rsidP="00E7024A">
      <w:pPr>
        <w:spacing w:line="276" w:lineRule="auto"/>
        <w:ind w:left="0" w:firstLine="0"/>
        <w:jc w:val="both"/>
        <w:rPr>
          <w:rFonts w:ascii="Arial" w:hAnsi="Arial" w:cs="Arial"/>
          <w:sz w:val="16"/>
          <w:szCs w:val="16"/>
        </w:rPr>
      </w:pPr>
      <w:r w:rsidRPr="00E7024A">
        <w:rPr>
          <w:rFonts w:ascii="Arial" w:hAnsi="Arial" w:cs="Arial"/>
          <w:sz w:val="16"/>
          <w:szCs w:val="16"/>
        </w:rPr>
        <w:t>Fig. 1. Median Graduate Salaries (Ages 21–30) by Industry Compared to Sponsorship Threshold (2024)</w:t>
      </w:r>
    </w:p>
    <w:p w14:paraId="53C483CD" w14:textId="77777777" w:rsidR="00AD4FCB" w:rsidRPr="00E7024A" w:rsidRDefault="00AD4FCB" w:rsidP="00E7024A">
      <w:pPr>
        <w:spacing w:line="276" w:lineRule="auto"/>
        <w:ind w:left="0" w:firstLine="0"/>
        <w:jc w:val="both"/>
        <w:rPr>
          <w:rFonts w:ascii="Arial" w:hAnsi="Arial" w:cs="Arial"/>
          <w:sz w:val="16"/>
          <w:szCs w:val="16"/>
        </w:rPr>
      </w:pPr>
    </w:p>
    <w:p w14:paraId="3501341A" w14:textId="77777777" w:rsidR="00AD4FCB" w:rsidRPr="00E7024A" w:rsidRDefault="00AD4FCB" w:rsidP="00E7024A">
      <w:pPr>
        <w:spacing w:line="276" w:lineRule="auto"/>
        <w:ind w:left="0" w:firstLine="0"/>
        <w:jc w:val="both"/>
        <w:rPr>
          <w:rFonts w:ascii="Arial" w:hAnsi="Arial" w:cs="Arial"/>
        </w:rPr>
      </w:pPr>
    </w:p>
    <w:p w14:paraId="0A38A11D" w14:textId="77777777" w:rsidR="003D00E3" w:rsidRPr="00E7024A" w:rsidRDefault="003D00E3" w:rsidP="00E7024A">
      <w:pPr>
        <w:spacing w:line="276" w:lineRule="auto"/>
        <w:ind w:left="0" w:firstLine="0"/>
        <w:jc w:val="both"/>
        <w:rPr>
          <w:rFonts w:ascii="Arial" w:hAnsi="Arial" w:cs="Arial"/>
        </w:rPr>
      </w:pPr>
      <w:r w:rsidRPr="00E7024A">
        <w:rPr>
          <w:rFonts w:ascii="Arial" w:hAnsi="Arial" w:cs="Arial"/>
        </w:rPr>
        <w:t>In contrast, four out of nine sectors fall below the threshold, meaning that approximately 45% of the most common industries employing graduates do not meet the minimum salary requirement for visa eligibility. This suggests that a substantial proportion of graduates are concentrated in sectors where sponsorship is structurally difficult to achieve based on salary criteria alone.</w:t>
      </w:r>
    </w:p>
    <w:p w14:paraId="39899CF1" w14:textId="77777777" w:rsidR="003D00E3" w:rsidRPr="00E7024A" w:rsidRDefault="003D00E3" w:rsidP="00E7024A">
      <w:pPr>
        <w:spacing w:line="276" w:lineRule="auto"/>
        <w:ind w:left="0" w:firstLine="0"/>
        <w:jc w:val="both"/>
        <w:rPr>
          <w:rFonts w:ascii="Arial" w:hAnsi="Arial" w:cs="Arial"/>
        </w:rPr>
      </w:pPr>
    </w:p>
    <w:p w14:paraId="6F56A75C" w14:textId="77777777" w:rsidR="00A540B2" w:rsidRPr="00E7024A" w:rsidRDefault="003D00E3" w:rsidP="00E7024A">
      <w:pPr>
        <w:spacing w:line="276" w:lineRule="auto"/>
        <w:ind w:left="0" w:firstLine="0"/>
        <w:jc w:val="both"/>
        <w:rPr>
          <w:rFonts w:ascii="Arial" w:hAnsi="Arial" w:cs="Arial"/>
        </w:rPr>
      </w:pPr>
      <w:r w:rsidRPr="00E7024A">
        <w:rPr>
          <w:rFonts w:ascii="Arial" w:hAnsi="Arial" w:cs="Arial"/>
        </w:rPr>
        <w:t>At the aggregate level, the overall median salary for graduates aged 21–30 is £33,250, which falls slightly below the threshold. This reinforces the finding that graduate-level pay is closely aligned with entry-level labour market conditions rather than immigration policy requirements, leaving many graduates just below the level required for Skilled Worker sponsorship.</w:t>
      </w:r>
    </w:p>
    <w:p w14:paraId="6A5F5E25" w14:textId="77777777" w:rsidR="00A540B2" w:rsidRPr="00E7024A" w:rsidRDefault="00A540B2" w:rsidP="00E7024A">
      <w:pPr>
        <w:spacing w:line="276" w:lineRule="auto"/>
        <w:ind w:left="0" w:firstLine="0"/>
        <w:jc w:val="both"/>
        <w:rPr>
          <w:rFonts w:ascii="Arial" w:hAnsi="Arial" w:cs="Arial"/>
          <w:sz w:val="24"/>
          <w:szCs w:val="24"/>
        </w:rPr>
      </w:pPr>
    </w:p>
    <w:p w14:paraId="67AB96AB" w14:textId="77777777" w:rsidR="00801152" w:rsidRPr="00E7024A" w:rsidRDefault="00801152" w:rsidP="00E7024A">
      <w:pPr>
        <w:spacing w:line="276" w:lineRule="auto"/>
        <w:ind w:left="0" w:firstLine="0"/>
        <w:jc w:val="both"/>
        <w:rPr>
          <w:rFonts w:ascii="Arial" w:hAnsi="Arial" w:cs="Arial"/>
          <w:sz w:val="24"/>
          <w:szCs w:val="24"/>
        </w:rPr>
      </w:pPr>
    </w:p>
    <w:p w14:paraId="3CC0072C" w14:textId="5F00CDD0" w:rsidR="00A540B2" w:rsidRPr="00E7024A" w:rsidRDefault="00A540B2" w:rsidP="00E7024A">
      <w:pPr>
        <w:pStyle w:val="ListParagraph"/>
        <w:numPr>
          <w:ilvl w:val="1"/>
          <w:numId w:val="2"/>
        </w:numPr>
        <w:spacing w:line="276" w:lineRule="auto"/>
        <w:jc w:val="both"/>
        <w:rPr>
          <w:rFonts w:ascii="Arial" w:hAnsi="Arial" w:cs="Arial"/>
          <w:b/>
          <w:bCs/>
        </w:rPr>
      </w:pPr>
      <w:r w:rsidRPr="00E7024A">
        <w:rPr>
          <w:rFonts w:ascii="Arial" w:hAnsi="Arial" w:cs="Arial"/>
          <w:b/>
          <w:bCs/>
        </w:rPr>
        <w:t>Sectoral Distribution of Employment</w:t>
      </w:r>
    </w:p>
    <w:p w14:paraId="2DDFEFCA" w14:textId="77777777" w:rsidR="00A540B2" w:rsidRPr="00E7024A" w:rsidRDefault="00A540B2" w:rsidP="00E7024A">
      <w:pPr>
        <w:spacing w:line="276" w:lineRule="auto"/>
        <w:ind w:left="0" w:firstLine="0"/>
        <w:jc w:val="both"/>
        <w:rPr>
          <w:rFonts w:ascii="Arial" w:hAnsi="Arial" w:cs="Arial"/>
        </w:rPr>
      </w:pPr>
    </w:p>
    <w:p w14:paraId="02FED2D5" w14:textId="77777777" w:rsidR="0036670D" w:rsidRPr="00E7024A" w:rsidRDefault="00D67072" w:rsidP="00E7024A">
      <w:pPr>
        <w:spacing w:line="276" w:lineRule="auto"/>
        <w:ind w:left="0" w:firstLine="0"/>
        <w:jc w:val="both"/>
        <w:rPr>
          <w:rFonts w:ascii="Arial" w:hAnsi="Arial" w:cs="Arial"/>
        </w:rPr>
      </w:pPr>
      <w:r w:rsidRPr="00E7024A">
        <w:rPr>
          <w:rFonts w:ascii="Arial" w:hAnsi="Arial" w:cs="Arial"/>
        </w:rPr>
        <w:t>The constraints imposed by salary thresholds are further reinforced by the distribution of visa grants across industries</w:t>
      </w:r>
      <w:r w:rsidR="00D94E35" w:rsidRPr="00E7024A">
        <w:rPr>
          <w:rFonts w:ascii="Arial" w:hAnsi="Arial" w:cs="Arial"/>
        </w:rPr>
        <w:t xml:space="preserve"> (Source: </w:t>
      </w:r>
      <w:hyperlink r:id="rId9" w:history="1">
        <w:r w:rsidR="00D94E35" w:rsidRPr="00E7024A">
          <w:rPr>
            <w:rStyle w:val="Hyperlink"/>
            <w:rFonts w:ascii="Arial" w:hAnsi="Arial" w:cs="Arial"/>
          </w:rPr>
          <w:t>UK Home Office Immigration system statistics 2025</w:t>
        </w:r>
      </w:hyperlink>
      <w:r w:rsidR="00D94E35" w:rsidRPr="00E7024A">
        <w:rPr>
          <w:rFonts w:ascii="Arial" w:hAnsi="Arial" w:cs="Arial"/>
        </w:rPr>
        <w:t>)</w:t>
      </w:r>
      <w:r w:rsidRPr="00E7024A">
        <w:rPr>
          <w:rFonts w:ascii="Arial" w:hAnsi="Arial" w:cs="Arial"/>
        </w:rPr>
        <w:t xml:space="preserve">. A significant proportion of migrants are concentrated in sectors such as agriculture, public administration, education, health, and other service industries. While these sectors account for a large share of Skilled Worker visa grants, their average salaries for graduates </w:t>
      </w:r>
      <w:r w:rsidR="0036670D" w:rsidRPr="00E7024A">
        <w:rPr>
          <w:rFonts w:ascii="Arial" w:hAnsi="Arial" w:cs="Arial"/>
        </w:rPr>
        <w:t>(</w:t>
      </w:r>
      <w:r w:rsidRPr="00E7024A">
        <w:rPr>
          <w:rFonts w:ascii="Arial" w:hAnsi="Arial" w:cs="Arial"/>
        </w:rPr>
        <w:t>aged 21–30</w:t>
      </w:r>
      <w:r w:rsidR="0036670D" w:rsidRPr="00E7024A">
        <w:rPr>
          <w:rFonts w:ascii="Arial" w:hAnsi="Arial" w:cs="Arial"/>
        </w:rPr>
        <w:t xml:space="preserve">) </w:t>
      </w:r>
      <w:r w:rsidR="008F40A8" w:rsidRPr="00E7024A">
        <w:rPr>
          <w:rFonts w:ascii="Arial" w:hAnsi="Arial" w:cs="Arial"/>
        </w:rPr>
        <w:t xml:space="preserve">as referenced from section 1, </w:t>
      </w:r>
      <w:r w:rsidR="0036670D" w:rsidRPr="00E7024A">
        <w:rPr>
          <w:rFonts w:ascii="Arial" w:hAnsi="Arial" w:cs="Arial"/>
        </w:rPr>
        <w:t>tend to</w:t>
      </w:r>
      <w:r w:rsidRPr="00E7024A">
        <w:rPr>
          <w:rFonts w:ascii="Arial" w:hAnsi="Arial" w:cs="Arial"/>
        </w:rPr>
        <w:t xml:space="preserve"> fall below the New Entrant threshold of £33,400.</w:t>
      </w:r>
    </w:p>
    <w:p w14:paraId="04EADC92" w14:textId="77777777" w:rsidR="0036670D" w:rsidRPr="00E7024A" w:rsidRDefault="0036670D" w:rsidP="00E7024A">
      <w:pPr>
        <w:spacing w:line="276" w:lineRule="auto"/>
        <w:ind w:left="0" w:firstLine="0"/>
        <w:jc w:val="both"/>
        <w:rPr>
          <w:rFonts w:ascii="Arial" w:hAnsi="Arial" w:cs="Arial"/>
        </w:rPr>
      </w:pPr>
    </w:p>
    <w:p w14:paraId="7D7850BF" w14:textId="5A11D040" w:rsidR="00137ABC" w:rsidRPr="00E7024A" w:rsidRDefault="0036670D" w:rsidP="00E7024A">
      <w:pPr>
        <w:spacing w:line="276" w:lineRule="auto"/>
        <w:ind w:left="0" w:firstLine="0"/>
        <w:jc w:val="both"/>
        <w:rPr>
          <w:rFonts w:ascii="Arial" w:hAnsi="Arial" w:cs="Arial"/>
        </w:rPr>
      </w:pPr>
      <w:r w:rsidRPr="00E7024A">
        <w:rPr>
          <w:rFonts w:ascii="Arial" w:hAnsi="Arial" w:cs="Arial"/>
        </w:rPr>
        <w:t>This apparent contradiction can be explained by differences in career stage. Many sponsored roles within these sectors are filled by experienced workers who meet higher salary thresholds or occupation-specific pay requirements. In contrast, graduates entering these industries at entry level are more likely to receive salaries below the required threshold, limiting their ability to access sponsorship despite working in sectors with high levels of migrant employment.</w:t>
      </w:r>
    </w:p>
    <w:p w14:paraId="0BBE9AEA" w14:textId="77777777" w:rsidR="00137ABC" w:rsidRPr="00E7024A" w:rsidRDefault="00137ABC" w:rsidP="00E7024A">
      <w:pPr>
        <w:spacing w:line="276" w:lineRule="auto"/>
        <w:ind w:left="0" w:firstLine="0"/>
        <w:jc w:val="both"/>
        <w:rPr>
          <w:rFonts w:ascii="Arial" w:hAnsi="Arial" w:cs="Arial"/>
        </w:rPr>
      </w:pPr>
    </w:p>
    <w:p w14:paraId="2A49A94C" w14:textId="77777777" w:rsidR="00D67072" w:rsidRPr="00E7024A" w:rsidRDefault="006A167E" w:rsidP="00E7024A">
      <w:pPr>
        <w:spacing w:line="276" w:lineRule="auto"/>
        <w:ind w:left="0" w:firstLine="0"/>
        <w:jc w:val="both"/>
        <w:rPr>
          <w:rFonts w:ascii="Arial" w:hAnsi="Arial" w:cs="Arial"/>
        </w:rPr>
      </w:pPr>
      <w:r w:rsidRPr="00E7024A">
        <w:rPr>
          <w:rFonts w:ascii="Arial" w:hAnsi="Arial" w:cs="Arial"/>
        </w:rPr>
        <w:drawing>
          <wp:inline distT="0" distB="0" distL="0" distR="0" wp14:anchorId="2C14B56F" wp14:editId="0280E367">
            <wp:extent cx="5699431" cy="3234266"/>
            <wp:effectExtent l="0" t="0" r="0" b="4445"/>
            <wp:docPr id="213205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5921" name=""/>
                    <pic:cNvPicPr/>
                  </pic:nvPicPr>
                  <pic:blipFill>
                    <a:blip r:embed="rId10"/>
                    <a:stretch>
                      <a:fillRect/>
                    </a:stretch>
                  </pic:blipFill>
                  <pic:spPr>
                    <a:xfrm>
                      <a:off x="0" y="0"/>
                      <a:ext cx="5709390" cy="3239917"/>
                    </a:xfrm>
                    <a:prstGeom prst="rect">
                      <a:avLst/>
                    </a:prstGeom>
                  </pic:spPr>
                </pic:pic>
              </a:graphicData>
            </a:graphic>
          </wp:inline>
        </w:drawing>
      </w:r>
    </w:p>
    <w:p w14:paraId="66F09B7A" w14:textId="77777777" w:rsidR="00D80B81" w:rsidRPr="00E7024A" w:rsidRDefault="00D80B81" w:rsidP="00E7024A">
      <w:pPr>
        <w:spacing w:line="276" w:lineRule="auto"/>
        <w:ind w:left="0" w:firstLine="0"/>
        <w:jc w:val="both"/>
        <w:rPr>
          <w:rFonts w:ascii="Arial" w:hAnsi="Arial" w:cs="Arial"/>
          <w:sz w:val="16"/>
          <w:szCs w:val="16"/>
        </w:rPr>
      </w:pPr>
      <w:r w:rsidRPr="00E7024A">
        <w:rPr>
          <w:rFonts w:ascii="Arial" w:hAnsi="Arial" w:cs="Arial"/>
          <w:sz w:val="16"/>
          <w:szCs w:val="16"/>
        </w:rPr>
        <w:t xml:space="preserve">Fig. 2. </w:t>
      </w:r>
      <w:r w:rsidR="006A167E" w:rsidRPr="00E7024A">
        <w:rPr>
          <w:rFonts w:ascii="Arial" w:hAnsi="Arial" w:cs="Arial"/>
          <w:sz w:val="16"/>
          <w:szCs w:val="16"/>
        </w:rPr>
        <w:t>Visa Granted</w:t>
      </w:r>
      <w:r w:rsidRPr="00E7024A">
        <w:rPr>
          <w:rFonts w:ascii="Arial" w:hAnsi="Arial" w:cs="Arial"/>
          <w:sz w:val="16"/>
          <w:szCs w:val="16"/>
        </w:rPr>
        <w:t xml:space="preserve"> by Industry </w:t>
      </w:r>
      <w:r w:rsidR="006A167E" w:rsidRPr="00E7024A">
        <w:rPr>
          <w:rFonts w:ascii="Arial" w:hAnsi="Arial" w:cs="Arial"/>
          <w:sz w:val="16"/>
          <w:szCs w:val="16"/>
        </w:rPr>
        <w:t xml:space="preserve">between </w:t>
      </w:r>
      <w:r w:rsidRPr="00E7024A">
        <w:rPr>
          <w:rFonts w:ascii="Arial" w:hAnsi="Arial" w:cs="Arial"/>
          <w:sz w:val="16"/>
          <w:szCs w:val="16"/>
        </w:rPr>
        <w:t>2024</w:t>
      </w:r>
      <w:r w:rsidR="006A167E" w:rsidRPr="00E7024A">
        <w:rPr>
          <w:rFonts w:ascii="Arial" w:hAnsi="Arial" w:cs="Arial"/>
          <w:sz w:val="16"/>
          <w:szCs w:val="16"/>
        </w:rPr>
        <w:t>-2025</w:t>
      </w:r>
    </w:p>
    <w:p w14:paraId="3789937A" w14:textId="77777777" w:rsidR="00D67072" w:rsidRPr="00E7024A" w:rsidRDefault="00D67072" w:rsidP="00E7024A">
      <w:pPr>
        <w:spacing w:line="276" w:lineRule="auto"/>
        <w:ind w:left="0" w:firstLine="0"/>
        <w:jc w:val="both"/>
        <w:rPr>
          <w:rFonts w:ascii="Arial" w:hAnsi="Arial" w:cs="Arial"/>
        </w:rPr>
      </w:pPr>
    </w:p>
    <w:p w14:paraId="33EB8856" w14:textId="34D62B89" w:rsidR="00D67072" w:rsidRPr="00E7024A" w:rsidRDefault="00D67072" w:rsidP="00E7024A">
      <w:pPr>
        <w:spacing w:line="276" w:lineRule="auto"/>
        <w:ind w:left="0" w:firstLine="0"/>
        <w:jc w:val="both"/>
        <w:rPr>
          <w:rFonts w:ascii="Arial" w:hAnsi="Arial" w:cs="Arial"/>
        </w:rPr>
      </w:pPr>
      <w:r w:rsidRPr="00E7024A">
        <w:rPr>
          <w:rFonts w:ascii="Arial" w:hAnsi="Arial" w:cs="Arial"/>
        </w:rPr>
        <w:lastRenderedPageBreak/>
        <w:t>In comparison, industries that consistently meet or exceed the salary threshold—such as banking and finance, construction, manufacturing, energy</w:t>
      </w:r>
      <w:r w:rsidR="005642E9" w:rsidRPr="00E7024A">
        <w:rPr>
          <w:rFonts w:ascii="Arial" w:hAnsi="Arial" w:cs="Arial"/>
        </w:rPr>
        <w:t xml:space="preserve"> and water</w:t>
      </w:r>
      <w:r w:rsidRPr="00E7024A">
        <w:rPr>
          <w:rFonts w:ascii="Arial" w:hAnsi="Arial" w:cs="Arial"/>
        </w:rPr>
        <w:t>, and transport</w:t>
      </w:r>
      <w:r w:rsidR="00807EB6" w:rsidRPr="00E7024A">
        <w:rPr>
          <w:rFonts w:ascii="Arial" w:hAnsi="Arial" w:cs="Arial"/>
        </w:rPr>
        <w:t xml:space="preserve"> and communication</w:t>
      </w:r>
      <w:r w:rsidR="00322E37" w:rsidRPr="00E7024A">
        <w:rPr>
          <w:rFonts w:ascii="Arial" w:hAnsi="Arial" w:cs="Arial"/>
        </w:rPr>
        <w:t xml:space="preserve"> – </w:t>
      </w:r>
      <w:r w:rsidRPr="00E7024A">
        <w:rPr>
          <w:rFonts w:ascii="Arial" w:hAnsi="Arial" w:cs="Arial"/>
        </w:rPr>
        <w:t>employ a relatively smaller share of migrants, and therefore an even smaller proportion of recent graduates. Although these sectors offer roles that are technically eligible for sponsorship, access to such opportunities remains limited.</w:t>
      </w:r>
      <w:r w:rsidR="00BE2F81" w:rsidRPr="00E7024A">
        <w:rPr>
          <w:rFonts w:ascii="Arial" w:hAnsi="Arial" w:cs="Arial"/>
        </w:rPr>
        <w:t xml:space="preserve"> This reveals a segmentation of the labour market in which sponsorship opportunities are structurally concentrated in roles that are not aligned with graduate entry points.</w:t>
      </w:r>
    </w:p>
    <w:p w14:paraId="6DDA1CFD" w14:textId="77777777" w:rsidR="00D67072" w:rsidRPr="00E7024A" w:rsidRDefault="00D67072" w:rsidP="00E7024A">
      <w:pPr>
        <w:spacing w:line="276" w:lineRule="auto"/>
        <w:ind w:left="0" w:firstLine="0"/>
        <w:jc w:val="both"/>
        <w:rPr>
          <w:rFonts w:ascii="Arial" w:hAnsi="Arial" w:cs="Arial"/>
        </w:rPr>
      </w:pPr>
    </w:p>
    <w:p w14:paraId="6396F644" w14:textId="596826FD" w:rsidR="00A540B2" w:rsidRPr="00E7024A" w:rsidRDefault="00C42441" w:rsidP="00E7024A">
      <w:pPr>
        <w:spacing w:line="276" w:lineRule="auto"/>
        <w:ind w:left="0" w:firstLine="0"/>
        <w:jc w:val="both"/>
        <w:rPr>
          <w:rFonts w:ascii="Arial" w:hAnsi="Arial" w:cs="Arial"/>
        </w:rPr>
      </w:pPr>
      <w:r w:rsidRPr="00E7024A">
        <w:rPr>
          <w:rFonts w:ascii="Arial" w:hAnsi="Arial" w:cs="Arial"/>
        </w:rPr>
        <w:t>Taken together, this reveals a segmentation of the labour market in which sponsorship opportunities are structurally concentrated in roles that do not align with typical graduate entry points. Sectors with high levels of migrant employment tend to offer lower-paying roles that fall below visa requirements, while sectors that meet salary thresholds employ relatively fewer graduates. Consequently, access to sponsorable jobs is not evenly distributed but concentrated within a narrow segment of the labour market</w:t>
      </w:r>
      <w:r w:rsidR="00DC5D34" w:rsidRPr="00E7024A">
        <w:rPr>
          <w:rFonts w:ascii="Arial" w:hAnsi="Arial" w:cs="Arial"/>
        </w:rPr>
        <w:tab/>
      </w:r>
      <w:r w:rsidR="009D2C70" w:rsidRPr="00E7024A">
        <w:rPr>
          <w:rFonts w:ascii="Arial" w:hAnsi="Arial" w:cs="Arial"/>
        </w:rPr>
        <w:t>.</w:t>
      </w:r>
      <w:r w:rsidR="006D51CB" w:rsidRPr="00E7024A">
        <w:rPr>
          <w:rFonts w:ascii="Arial" w:hAnsi="Arial" w:cs="Arial"/>
        </w:rPr>
        <w:t xml:space="preserve"> </w:t>
      </w:r>
    </w:p>
    <w:p w14:paraId="31727F52" w14:textId="77777777" w:rsidR="00150EC8" w:rsidRPr="00E7024A" w:rsidRDefault="00150EC8" w:rsidP="00E7024A">
      <w:pPr>
        <w:spacing w:line="276" w:lineRule="auto"/>
        <w:ind w:left="0" w:firstLine="0"/>
        <w:jc w:val="both"/>
        <w:rPr>
          <w:rFonts w:ascii="Arial" w:hAnsi="Arial" w:cs="Arial"/>
        </w:rPr>
      </w:pPr>
    </w:p>
    <w:p w14:paraId="17992652" w14:textId="0ECF6646" w:rsidR="001E0884" w:rsidRPr="00E7024A" w:rsidRDefault="00775D71" w:rsidP="00E7024A">
      <w:pPr>
        <w:spacing w:line="276" w:lineRule="auto"/>
        <w:ind w:left="0" w:firstLine="0"/>
        <w:jc w:val="both"/>
        <w:rPr>
          <w:rFonts w:ascii="Arial" w:hAnsi="Arial" w:cs="Arial"/>
        </w:rPr>
      </w:pPr>
      <w:r w:rsidRPr="00E7024A">
        <w:rPr>
          <w:rFonts w:ascii="Arial" w:hAnsi="Arial" w:cs="Arial"/>
        </w:rPr>
        <w:t xml:space="preserve">To provide broader context, </w:t>
      </w:r>
      <w:r w:rsidRPr="00E7024A">
        <w:rPr>
          <w:rFonts w:ascii="Arial" w:hAnsi="Arial" w:cs="Arial"/>
          <w:b/>
          <w:bCs/>
        </w:rPr>
        <w:t>Figure 3</w:t>
      </w:r>
      <w:r w:rsidRPr="00E7024A">
        <w:rPr>
          <w:rFonts w:ascii="Arial" w:hAnsi="Arial" w:cs="Arial"/>
        </w:rPr>
        <w:t xml:space="preserve"> presents the trend in Skilled Worker visa grants between 2021 and 2025. The data shows a substantial increase in visa grants from 123,306 in 2021 to a peak of 279,501 in 2023, followed by a sharp decline to 154,109 in 2024 and 112,757 in 2025.</w:t>
      </w:r>
    </w:p>
    <w:p w14:paraId="5A15CCA6" w14:textId="11E543FE" w:rsidR="0085073D" w:rsidRPr="00E7024A" w:rsidRDefault="0085073D" w:rsidP="00E7024A">
      <w:pPr>
        <w:spacing w:line="276" w:lineRule="auto"/>
        <w:ind w:left="0" w:firstLine="0"/>
        <w:jc w:val="both"/>
        <w:rPr>
          <w:rFonts w:ascii="Arial" w:hAnsi="Arial" w:cs="Arial"/>
        </w:rPr>
      </w:pPr>
      <w:r w:rsidRPr="00E7024A">
        <w:rPr>
          <w:rFonts w:ascii="Arial" w:hAnsi="Arial" w:cs="Arial"/>
        </w:rPr>
        <w:drawing>
          <wp:inline distT="0" distB="0" distL="0" distR="0" wp14:anchorId="236E20E5" wp14:editId="2EFCB30D">
            <wp:extent cx="5731510" cy="2934970"/>
            <wp:effectExtent l="0" t="0" r="2540" b="0"/>
            <wp:docPr id="738452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452854" name=""/>
                    <pic:cNvPicPr/>
                  </pic:nvPicPr>
                  <pic:blipFill>
                    <a:blip r:embed="rId11"/>
                    <a:stretch>
                      <a:fillRect/>
                    </a:stretch>
                  </pic:blipFill>
                  <pic:spPr>
                    <a:xfrm>
                      <a:off x="0" y="0"/>
                      <a:ext cx="5731510" cy="2934970"/>
                    </a:xfrm>
                    <a:prstGeom prst="rect">
                      <a:avLst/>
                    </a:prstGeom>
                  </pic:spPr>
                </pic:pic>
              </a:graphicData>
            </a:graphic>
          </wp:inline>
        </w:drawing>
      </w:r>
    </w:p>
    <w:p w14:paraId="48461BF5" w14:textId="77777777" w:rsidR="0093400D" w:rsidRPr="00E7024A" w:rsidRDefault="0093400D" w:rsidP="00E7024A">
      <w:pPr>
        <w:spacing w:line="276" w:lineRule="auto"/>
        <w:ind w:left="0" w:firstLine="0"/>
        <w:jc w:val="both"/>
        <w:rPr>
          <w:rFonts w:ascii="Arial" w:hAnsi="Arial" w:cs="Arial"/>
          <w:sz w:val="16"/>
          <w:szCs w:val="16"/>
        </w:rPr>
      </w:pPr>
      <w:r w:rsidRPr="00E7024A">
        <w:rPr>
          <w:rFonts w:ascii="Arial" w:hAnsi="Arial" w:cs="Arial"/>
          <w:sz w:val="16"/>
          <w:szCs w:val="16"/>
        </w:rPr>
        <w:t>Fig. 3. Total Visa Granted by Year</w:t>
      </w:r>
    </w:p>
    <w:p w14:paraId="44AB555A" w14:textId="77777777" w:rsidR="0093400D" w:rsidRPr="00E7024A" w:rsidRDefault="0093400D" w:rsidP="00E7024A">
      <w:pPr>
        <w:spacing w:line="276" w:lineRule="auto"/>
        <w:ind w:left="0" w:firstLine="0"/>
        <w:jc w:val="both"/>
        <w:rPr>
          <w:rFonts w:ascii="Arial" w:hAnsi="Arial" w:cs="Arial"/>
        </w:rPr>
      </w:pPr>
    </w:p>
    <w:p w14:paraId="7BF6453E" w14:textId="77777777" w:rsidR="005D4E0A" w:rsidRPr="00E7024A" w:rsidRDefault="00775D71" w:rsidP="00E7024A">
      <w:pPr>
        <w:spacing w:line="276" w:lineRule="auto"/>
        <w:ind w:left="0" w:firstLine="0"/>
        <w:jc w:val="both"/>
        <w:rPr>
          <w:rFonts w:ascii="Arial" w:hAnsi="Arial" w:cs="Arial"/>
        </w:rPr>
      </w:pPr>
      <w:r w:rsidRPr="00E7024A">
        <w:rPr>
          <w:rFonts w:ascii="Arial" w:hAnsi="Arial" w:cs="Arial"/>
        </w:rPr>
        <w:t>This reversal coincides with major immigration policy changes introduced in 2024, including higher salary thresholds and more restrictive occupational eligibility criteria. While this report does not focus on long-term trends, the observed decline suggests that recent policy changes may have reduced overall access to Skilled Worker visa sponsorship.</w:t>
      </w:r>
    </w:p>
    <w:p w14:paraId="31CB5CC7" w14:textId="77777777" w:rsidR="00B009C3" w:rsidRPr="00E7024A" w:rsidRDefault="00B009C3" w:rsidP="00E7024A">
      <w:pPr>
        <w:spacing w:line="276" w:lineRule="auto"/>
        <w:ind w:left="0" w:firstLine="0"/>
        <w:jc w:val="both"/>
        <w:rPr>
          <w:rFonts w:ascii="Arial" w:hAnsi="Arial" w:cs="Arial"/>
        </w:rPr>
      </w:pPr>
    </w:p>
    <w:p w14:paraId="61B2FE81" w14:textId="0A2787EA" w:rsidR="00A540B2" w:rsidRPr="00E7024A" w:rsidRDefault="00A540B2" w:rsidP="00E7024A">
      <w:pPr>
        <w:pStyle w:val="ListParagraph"/>
        <w:numPr>
          <w:ilvl w:val="1"/>
          <w:numId w:val="2"/>
        </w:numPr>
        <w:spacing w:line="276" w:lineRule="auto"/>
        <w:jc w:val="both"/>
        <w:rPr>
          <w:rFonts w:ascii="Arial" w:hAnsi="Arial" w:cs="Arial"/>
          <w:b/>
          <w:bCs/>
        </w:rPr>
      </w:pPr>
      <w:r w:rsidRPr="00E7024A">
        <w:rPr>
          <w:rFonts w:ascii="Arial" w:hAnsi="Arial" w:cs="Arial"/>
          <w:b/>
          <w:bCs/>
        </w:rPr>
        <w:t>Occupational Skill-Level Constraints</w:t>
      </w:r>
    </w:p>
    <w:p w14:paraId="2ADA8E41" w14:textId="77777777" w:rsidR="007167C9" w:rsidRPr="00E7024A" w:rsidRDefault="007167C9" w:rsidP="00E7024A">
      <w:pPr>
        <w:spacing w:line="276" w:lineRule="auto"/>
        <w:ind w:left="0" w:firstLine="0"/>
        <w:jc w:val="both"/>
        <w:rPr>
          <w:rFonts w:ascii="Arial" w:hAnsi="Arial" w:cs="Arial"/>
        </w:rPr>
      </w:pPr>
    </w:p>
    <w:p w14:paraId="1D9022F7" w14:textId="77777777" w:rsidR="00492A34" w:rsidRPr="00E7024A" w:rsidRDefault="00492A34" w:rsidP="00E7024A">
      <w:pPr>
        <w:spacing w:line="276" w:lineRule="auto"/>
        <w:ind w:left="0" w:firstLine="0"/>
        <w:jc w:val="both"/>
        <w:rPr>
          <w:rFonts w:ascii="Arial" w:hAnsi="Arial" w:cs="Arial"/>
        </w:rPr>
      </w:pPr>
      <w:r w:rsidRPr="00E7024A">
        <w:rPr>
          <w:rFonts w:ascii="Arial" w:hAnsi="Arial" w:cs="Arial"/>
        </w:rPr>
        <w:t xml:space="preserve">Beyond sectoral differences, visa eligibility is also strongly shaped by occupational structure. Occupational structure represents a critical constraint in the transition from the Graduate Route to the Skilled Worker visa. The UK labour market is classified using the Standard </w:t>
      </w:r>
      <w:r w:rsidRPr="00E7024A">
        <w:rPr>
          <w:rFonts w:ascii="Arial" w:hAnsi="Arial" w:cs="Arial"/>
        </w:rPr>
        <w:lastRenderedPageBreak/>
        <w:t>Occupational Classification (SOC) system, developed by the Office for National Statistics and applied by the UK Home Office in determining visa eligibility.</w:t>
      </w:r>
    </w:p>
    <w:p w14:paraId="3D9A1EEB" w14:textId="77777777" w:rsidR="00492A34" w:rsidRPr="00E7024A" w:rsidRDefault="00492A34" w:rsidP="00E7024A">
      <w:pPr>
        <w:spacing w:line="276" w:lineRule="auto"/>
        <w:ind w:left="0" w:firstLine="0"/>
        <w:jc w:val="both"/>
        <w:rPr>
          <w:rFonts w:ascii="Arial" w:hAnsi="Arial" w:cs="Arial"/>
        </w:rPr>
      </w:pPr>
    </w:p>
    <w:p w14:paraId="5CA0F842" w14:textId="77777777" w:rsidR="00492A34" w:rsidRPr="00E7024A" w:rsidRDefault="00492A34" w:rsidP="00E7024A">
      <w:pPr>
        <w:spacing w:line="276" w:lineRule="auto"/>
        <w:ind w:left="0" w:firstLine="0"/>
        <w:jc w:val="both"/>
        <w:rPr>
          <w:rFonts w:ascii="Arial" w:hAnsi="Arial" w:cs="Arial"/>
        </w:rPr>
      </w:pPr>
      <w:r w:rsidRPr="00E7024A">
        <w:rPr>
          <w:rFonts w:ascii="Arial" w:hAnsi="Arial" w:cs="Arial"/>
        </w:rPr>
        <w:t xml:space="preserve">Under </w:t>
      </w:r>
      <w:r w:rsidR="00F468BB" w:rsidRPr="00E7024A">
        <w:rPr>
          <w:rFonts w:ascii="Arial" w:hAnsi="Arial" w:cs="Arial"/>
        </w:rPr>
        <w:t>the policy change implemented on 22 July 2025</w:t>
      </w:r>
      <w:r w:rsidRPr="00E7024A">
        <w:rPr>
          <w:rFonts w:ascii="Arial" w:hAnsi="Arial" w:cs="Arial"/>
        </w:rPr>
        <w:t>, occupations are categorised into “higher-skilled”</w:t>
      </w:r>
      <w:r w:rsidR="006A4B21" w:rsidRPr="00E7024A">
        <w:rPr>
          <w:rFonts w:ascii="Arial" w:hAnsi="Arial" w:cs="Arial"/>
        </w:rPr>
        <w:t xml:space="preserve"> (RQF Level 6+)</w:t>
      </w:r>
      <w:r w:rsidRPr="00E7024A">
        <w:rPr>
          <w:rFonts w:ascii="Arial" w:hAnsi="Arial" w:cs="Arial"/>
        </w:rPr>
        <w:t xml:space="preserve"> and “medium-skilled” </w:t>
      </w:r>
      <w:r w:rsidR="006A4B21" w:rsidRPr="00E7024A">
        <w:rPr>
          <w:rFonts w:ascii="Arial" w:hAnsi="Arial" w:cs="Arial"/>
        </w:rPr>
        <w:t xml:space="preserve">(RQF levels 3-5) </w:t>
      </w:r>
      <w:r w:rsidRPr="00E7024A">
        <w:rPr>
          <w:rFonts w:ascii="Arial" w:hAnsi="Arial" w:cs="Arial"/>
        </w:rPr>
        <w:t xml:space="preserve">roles. Higher-skilled occupations—primarily Managers, Directors and Senior Officials (SOC 1) and Professional Occupations (SOC 2)—are fully eligible for Skilled Worker visa sponsorship. In contrast, medium-skilled occupations, largely corresponding to Associate Professional roles (SOC 3), are no longer universally eligible and can only qualify for sponsorship if they appear on specific shortage-based lists, such as the Immigration Salary List or Temporary Shortage List (Sources: </w:t>
      </w:r>
      <w:hyperlink r:id="rId12" w:history="1">
        <w:r w:rsidRPr="00E7024A">
          <w:rPr>
            <w:rStyle w:val="Hyperlink"/>
            <w:rFonts w:ascii="Arial" w:hAnsi="Arial" w:cs="Arial"/>
          </w:rPr>
          <w:t>UKVI Skilled Worker visa: eligible occupations and codes</w:t>
        </w:r>
      </w:hyperlink>
      <w:r w:rsidRPr="00E7024A">
        <w:rPr>
          <w:rFonts w:ascii="Arial" w:hAnsi="Arial" w:cs="Arial"/>
        </w:rPr>
        <w:t xml:space="preserve">, </w:t>
      </w:r>
      <w:hyperlink r:id="rId13" w:history="1">
        <w:r w:rsidRPr="00E7024A">
          <w:rPr>
            <w:rStyle w:val="Hyperlink"/>
            <w:rFonts w:ascii="Arial" w:hAnsi="Arial" w:cs="Arial"/>
          </w:rPr>
          <w:t>Immigration Salary List or Temporary Shortage List</w:t>
        </w:r>
      </w:hyperlink>
      <w:r w:rsidRPr="00E7024A">
        <w:rPr>
          <w:rFonts w:ascii="Arial" w:hAnsi="Arial" w:cs="Arial"/>
        </w:rPr>
        <w:t>).</w:t>
      </w:r>
    </w:p>
    <w:p w14:paraId="2660E27B" w14:textId="77777777" w:rsidR="00492A34" w:rsidRPr="00E7024A" w:rsidRDefault="00492A34" w:rsidP="00E7024A">
      <w:pPr>
        <w:spacing w:line="276" w:lineRule="auto"/>
        <w:ind w:left="0" w:firstLine="0"/>
        <w:jc w:val="both"/>
        <w:rPr>
          <w:rFonts w:ascii="Arial" w:hAnsi="Arial" w:cs="Arial"/>
        </w:rPr>
      </w:pPr>
    </w:p>
    <w:p w14:paraId="6DDD4EBD" w14:textId="7FE50713" w:rsidR="00492A34" w:rsidRPr="00E7024A" w:rsidRDefault="00EA4010" w:rsidP="00E7024A">
      <w:pPr>
        <w:spacing w:line="276" w:lineRule="auto"/>
        <w:ind w:left="0" w:firstLine="0"/>
        <w:jc w:val="both"/>
        <w:rPr>
          <w:rFonts w:ascii="Arial" w:hAnsi="Arial" w:cs="Arial"/>
        </w:rPr>
      </w:pPr>
      <w:r w:rsidRPr="00E7024A">
        <w:rPr>
          <w:rFonts w:ascii="Arial" w:hAnsi="Arial" w:cs="Arial"/>
        </w:rPr>
        <w:t>A key limitation of higher-skilled occupations is that they are typically associated with experienced workers rather than recent graduates. Roles within SOC 1 and many SOC 2 occupations often require several years of prior experience, specialised expertise, or managerial responsibility. Although these roles meet visa eligibility criteria, they are not generally accessible to individuals at the early stages of their careers</w:t>
      </w:r>
      <w:r w:rsidR="00492A34" w:rsidRPr="00E7024A">
        <w:rPr>
          <w:rFonts w:ascii="Arial" w:hAnsi="Arial" w:cs="Arial"/>
        </w:rPr>
        <w:t>.</w:t>
      </w:r>
    </w:p>
    <w:p w14:paraId="5E22A27E" w14:textId="77777777" w:rsidR="00492A34" w:rsidRPr="00E7024A" w:rsidRDefault="00492A34" w:rsidP="00E7024A">
      <w:pPr>
        <w:spacing w:line="276" w:lineRule="auto"/>
        <w:ind w:left="0" w:firstLine="0"/>
        <w:jc w:val="both"/>
        <w:rPr>
          <w:rFonts w:ascii="Arial" w:hAnsi="Arial" w:cs="Arial"/>
        </w:rPr>
      </w:pPr>
    </w:p>
    <w:p w14:paraId="05630C0B" w14:textId="77777777" w:rsidR="00EA4010" w:rsidRPr="00E7024A" w:rsidRDefault="00EA4010" w:rsidP="00E7024A">
      <w:pPr>
        <w:spacing w:line="276" w:lineRule="auto"/>
        <w:ind w:left="0" w:firstLine="0"/>
        <w:jc w:val="both"/>
        <w:rPr>
          <w:rFonts w:ascii="Arial" w:hAnsi="Arial" w:cs="Arial"/>
        </w:rPr>
      </w:pPr>
      <w:r w:rsidRPr="00E7024A">
        <w:rPr>
          <w:rFonts w:ascii="Arial" w:hAnsi="Arial" w:cs="Arial"/>
        </w:rPr>
        <w:t>This creates a structural mismatch between visa eligibility and graduate labour market entry points. While higher-skilled occupations account for a large share of Skilled Worker visa sponsorship, they do not represent realistic entry-level opportunities for most international graduates. Conversely, roles that are more accessible to graduates—particularly Associate Professional occupations—are subject to greater restrictions in terms of eligibility, salary thresholds, and employer sponsorship. As a result, graduates are effectively positioned outside the primary pathways to visa sponsorship despite active participation in the labour market.</w:t>
      </w:r>
    </w:p>
    <w:p w14:paraId="43D1C163" w14:textId="77777777" w:rsidR="00EA4010" w:rsidRPr="00E7024A" w:rsidRDefault="00EA4010" w:rsidP="00E7024A">
      <w:pPr>
        <w:spacing w:line="276" w:lineRule="auto"/>
        <w:ind w:left="0" w:firstLine="0"/>
        <w:jc w:val="both"/>
        <w:rPr>
          <w:rFonts w:ascii="Arial" w:hAnsi="Arial" w:cs="Arial"/>
        </w:rPr>
      </w:pPr>
    </w:p>
    <w:p w14:paraId="0F24629E" w14:textId="60F4C010" w:rsidR="00492A34" w:rsidRPr="00E7024A" w:rsidRDefault="00EA4010" w:rsidP="00E7024A">
      <w:pPr>
        <w:spacing w:line="276" w:lineRule="auto"/>
        <w:ind w:left="0" w:firstLine="0"/>
        <w:jc w:val="both"/>
        <w:rPr>
          <w:rFonts w:ascii="Arial" w:hAnsi="Arial" w:cs="Arial"/>
        </w:rPr>
      </w:pPr>
      <w:r w:rsidRPr="00E7024A">
        <w:rPr>
          <w:rFonts w:ascii="Arial" w:hAnsi="Arial" w:cs="Arial"/>
        </w:rPr>
        <w:t>Although many medium-skilled roles meet the formal skill threshold, their conditional eligibility significantly narrows access to sponsorship. In practice, this shifts the functional threshold for visa eligibility towards higher-skilled occupations, further limiting opportunities for early-career workers.</w:t>
      </w:r>
    </w:p>
    <w:p w14:paraId="01E7F3E9" w14:textId="77777777" w:rsidR="007270B3" w:rsidRPr="00E7024A" w:rsidRDefault="007270B3" w:rsidP="00E7024A">
      <w:pPr>
        <w:spacing w:line="276" w:lineRule="auto"/>
        <w:ind w:left="0" w:firstLine="0"/>
        <w:jc w:val="both"/>
        <w:rPr>
          <w:rFonts w:ascii="Arial" w:hAnsi="Arial" w:cs="Arial"/>
        </w:rPr>
      </w:pPr>
    </w:p>
    <w:p w14:paraId="1DFDA01C" w14:textId="245E032E" w:rsidR="0069302E" w:rsidRPr="00E7024A" w:rsidRDefault="0058565E" w:rsidP="00E7024A">
      <w:pPr>
        <w:spacing w:line="276" w:lineRule="auto"/>
        <w:ind w:left="0" w:firstLine="0"/>
        <w:jc w:val="both"/>
        <w:rPr>
          <w:rFonts w:ascii="Arial" w:hAnsi="Arial" w:cs="Arial"/>
        </w:rPr>
      </w:pPr>
      <w:r w:rsidRPr="00E7024A">
        <w:rPr>
          <w:rFonts w:ascii="Arial" w:hAnsi="Arial" w:cs="Arial"/>
        </w:rPr>
        <w:lastRenderedPageBreak/>
        <w:drawing>
          <wp:inline distT="0" distB="0" distL="0" distR="0" wp14:anchorId="45ACB1BC" wp14:editId="0F164744">
            <wp:extent cx="5731510" cy="3137535"/>
            <wp:effectExtent l="0" t="0" r="2540" b="5715"/>
            <wp:docPr id="1570773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773383" name=""/>
                    <pic:cNvPicPr/>
                  </pic:nvPicPr>
                  <pic:blipFill>
                    <a:blip r:embed="rId14"/>
                    <a:stretch>
                      <a:fillRect/>
                    </a:stretch>
                  </pic:blipFill>
                  <pic:spPr>
                    <a:xfrm>
                      <a:off x="0" y="0"/>
                      <a:ext cx="5731510" cy="3137535"/>
                    </a:xfrm>
                    <a:prstGeom prst="rect">
                      <a:avLst/>
                    </a:prstGeom>
                  </pic:spPr>
                </pic:pic>
              </a:graphicData>
            </a:graphic>
          </wp:inline>
        </w:drawing>
      </w:r>
    </w:p>
    <w:p w14:paraId="16F88120" w14:textId="165D8D2C" w:rsidR="00A54D21" w:rsidRPr="00E7024A" w:rsidRDefault="00A54D21" w:rsidP="00E7024A">
      <w:pPr>
        <w:spacing w:line="276" w:lineRule="auto"/>
        <w:ind w:left="0" w:firstLine="0"/>
        <w:jc w:val="both"/>
        <w:rPr>
          <w:rFonts w:ascii="Arial" w:hAnsi="Arial" w:cs="Arial"/>
          <w:sz w:val="16"/>
          <w:szCs w:val="16"/>
        </w:rPr>
      </w:pPr>
      <w:r w:rsidRPr="00E7024A">
        <w:rPr>
          <w:rFonts w:ascii="Arial" w:hAnsi="Arial" w:cs="Arial"/>
          <w:sz w:val="16"/>
          <w:szCs w:val="16"/>
        </w:rPr>
        <w:t xml:space="preserve">Fig. 4. </w:t>
      </w:r>
      <w:r w:rsidR="003E4ED8" w:rsidRPr="00E7024A">
        <w:rPr>
          <w:rFonts w:ascii="Arial" w:hAnsi="Arial" w:cs="Arial"/>
          <w:sz w:val="16"/>
          <w:szCs w:val="16"/>
        </w:rPr>
        <w:t>Visa Grants by Occupational Skill Level (SOC Classification)</w:t>
      </w:r>
    </w:p>
    <w:p w14:paraId="16BB6EEC" w14:textId="77777777" w:rsidR="007270B3" w:rsidRPr="00E7024A" w:rsidRDefault="007270B3" w:rsidP="00E7024A">
      <w:pPr>
        <w:spacing w:line="276" w:lineRule="auto"/>
        <w:ind w:left="0" w:firstLine="0"/>
        <w:jc w:val="both"/>
        <w:rPr>
          <w:rFonts w:ascii="Arial" w:hAnsi="Arial" w:cs="Arial"/>
        </w:rPr>
      </w:pPr>
    </w:p>
    <w:p w14:paraId="2F9B161F" w14:textId="05CD2125" w:rsidR="00492A34" w:rsidRPr="00E7024A" w:rsidRDefault="00492A34" w:rsidP="00E7024A">
      <w:pPr>
        <w:spacing w:line="276" w:lineRule="auto"/>
        <w:ind w:left="0" w:firstLine="0"/>
        <w:jc w:val="both"/>
        <w:rPr>
          <w:rFonts w:ascii="Arial" w:hAnsi="Arial" w:cs="Arial"/>
        </w:rPr>
      </w:pPr>
      <w:r w:rsidRPr="00E7024A">
        <w:rPr>
          <w:rFonts w:ascii="Arial" w:hAnsi="Arial" w:cs="Arial"/>
          <w:b/>
          <w:bCs/>
        </w:rPr>
        <w:t>Figure</w:t>
      </w:r>
      <w:r w:rsidR="000E68E7" w:rsidRPr="00E7024A">
        <w:rPr>
          <w:rFonts w:ascii="Arial" w:hAnsi="Arial" w:cs="Arial"/>
          <w:b/>
          <w:bCs/>
        </w:rPr>
        <w:t xml:space="preserve"> </w:t>
      </w:r>
      <w:r w:rsidR="0026725B" w:rsidRPr="00E7024A">
        <w:rPr>
          <w:rFonts w:ascii="Arial" w:hAnsi="Arial" w:cs="Arial"/>
          <w:b/>
          <w:bCs/>
        </w:rPr>
        <w:t>4</w:t>
      </w:r>
      <w:r w:rsidRPr="00E7024A">
        <w:rPr>
          <w:rFonts w:ascii="Arial" w:hAnsi="Arial" w:cs="Arial"/>
        </w:rPr>
        <w:t xml:space="preserve"> illustrates the distribution of Skilled Worker visa grants across occupational groups. The data shows that sponsorship is heavily concentrated in Professional Occupations (SOC 2), with comparatively fewer grants in Associate Professional roles (SOC 3), despite their relevance to graduate employment. This reinforces the finding that eligibility does not translate into accessibility.</w:t>
      </w:r>
    </w:p>
    <w:p w14:paraId="6BAC7A8D" w14:textId="77777777" w:rsidR="00492A34" w:rsidRPr="00E7024A" w:rsidRDefault="00492A34" w:rsidP="00E7024A">
      <w:pPr>
        <w:spacing w:line="276" w:lineRule="auto"/>
        <w:ind w:left="0" w:firstLine="0"/>
        <w:jc w:val="both"/>
        <w:rPr>
          <w:rFonts w:ascii="Arial" w:hAnsi="Arial" w:cs="Arial"/>
        </w:rPr>
      </w:pPr>
    </w:p>
    <w:p w14:paraId="619182AF" w14:textId="77777777" w:rsidR="005303E9" w:rsidRPr="00E7024A" w:rsidRDefault="005303E9" w:rsidP="00E7024A">
      <w:pPr>
        <w:spacing w:line="276" w:lineRule="auto"/>
        <w:ind w:left="0" w:firstLine="0"/>
        <w:jc w:val="both"/>
        <w:rPr>
          <w:rFonts w:ascii="Arial" w:hAnsi="Arial" w:cs="Arial"/>
        </w:rPr>
      </w:pPr>
      <w:r w:rsidRPr="00E7024A">
        <w:rPr>
          <w:rFonts w:ascii="Arial" w:hAnsi="Arial" w:cs="Arial"/>
        </w:rPr>
        <w:t>At the same time, a substantial number of visa grants are observed in occupations classified as lower-skilled or conditionally eligible, such as Caring, Leisure and Other Service Occupations (SOC 6) and Skilled Trades (SOC 5). These roles often appear on shortage occupation lists and benefit from reduced salary thresholds but are typically not aligned with graduate career pathways.</w:t>
      </w:r>
    </w:p>
    <w:p w14:paraId="264F6D09" w14:textId="77777777" w:rsidR="005303E9" w:rsidRPr="00E7024A" w:rsidRDefault="005303E9" w:rsidP="00E7024A">
      <w:pPr>
        <w:spacing w:line="276" w:lineRule="auto"/>
        <w:ind w:left="0" w:firstLine="0"/>
        <w:jc w:val="both"/>
        <w:rPr>
          <w:rFonts w:ascii="Arial" w:hAnsi="Arial" w:cs="Arial"/>
        </w:rPr>
      </w:pPr>
    </w:p>
    <w:p w14:paraId="16935637" w14:textId="5016B69A" w:rsidR="00492A34" w:rsidRPr="00E7024A" w:rsidRDefault="005303E9" w:rsidP="00E7024A">
      <w:pPr>
        <w:spacing w:line="276" w:lineRule="auto"/>
        <w:ind w:left="0" w:firstLine="0"/>
        <w:jc w:val="both"/>
        <w:rPr>
          <w:rFonts w:ascii="Arial" w:hAnsi="Arial" w:cs="Arial"/>
        </w:rPr>
      </w:pPr>
      <w:r w:rsidRPr="00E7024A">
        <w:rPr>
          <w:rFonts w:ascii="Arial" w:hAnsi="Arial" w:cs="Arial"/>
        </w:rPr>
        <w:t>Taken together, the occupational structure functions as a hierarchical filter within the visa system. Higher-skilled roles provide clear routes to sponsorship but remain largely inaccessible to graduates due to experience requirements. Medium-skilled roles, which align more closely with early-career employment, are constrained by policy restrictions. Meanwhile, lower-skilled roles may offer sponsorship through exception mechanisms but fall outside typical graduate trajectories.</w:t>
      </w:r>
    </w:p>
    <w:p w14:paraId="2D5F4C88" w14:textId="77777777" w:rsidR="00492A34" w:rsidRPr="00E7024A" w:rsidRDefault="00492A34" w:rsidP="00E7024A">
      <w:pPr>
        <w:spacing w:line="276" w:lineRule="auto"/>
        <w:ind w:left="0" w:firstLine="0"/>
        <w:jc w:val="both"/>
        <w:rPr>
          <w:rFonts w:ascii="Arial" w:hAnsi="Arial" w:cs="Arial"/>
        </w:rPr>
      </w:pPr>
    </w:p>
    <w:p w14:paraId="3C07BAFF" w14:textId="77777777" w:rsidR="00A42D15" w:rsidRPr="00E7024A" w:rsidRDefault="00492A34" w:rsidP="00E7024A">
      <w:pPr>
        <w:spacing w:line="276" w:lineRule="auto"/>
        <w:ind w:left="0" w:firstLine="0"/>
        <w:jc w:val="both"/>
        <w:rPr>
          <w:rFonts w:ascii="Arial" w:hAnsi="Arial" w:cs="Arial"/>
        </w:rPr>
      </w:pPr>
      <w:r w:rsidRPr="00E7024A">
        <w:rPr>
          <w:rFonts w:ascii="Arial" w:hAnsi="Arial" w:cs="Arial"/>
        </w:rPr>
        <w:t>Consequently, occupational structure acts as a hierarchical filter within the visa system. Graduates are not only required to be employed but must also be positioned within a narrow set of occupations that satisfy multiple criteria simultaneously. This significantly reduces the likelihood of transitioning to Skilled Worker sponsorship and reinforces the broader structural barriers identified in this study.</w:t>
      </w:r>
      <w:r w:rsidR="00A42D15" w:rsidRPr="00E7024A">
        <w:rPr>
          <w:rFonts w:ascii="Arial" w:hAnsi="Arial" w:cs="Arial"/>
        </w:rPr>
        <w:t xml:space="preserve"> </w:t>
      </w:r>
    </w:p>
    <w:p w14:paraId="0F9DAE51" w14:textId="77777777" w:rsidR="007167C9" w:rsidRPr="00E7024A" w:rsidRDefault="007167C9" w:rsidP="00E7024A">
      <w:pPr>
        <w:spacing w:line="276" w:lineRule="auto"/>
        <w:ind w:left="0" w:firstLine="0"/>
        <w:jc w:val="both"/>
        <w:rPr>
          <w:rFonts w:ascii="Arial" w:hAnsi="Arial" w:cs="Arial"/>
        </w:rPr>
      </w:pPr>
    </w:p>
    <w:p w14:paraId="796C895C" w14:textId="77777777" w:rsidR="00727621" w:rsidRPr="00E7024A" w:rsidRDefault="00727621" w:rsidP="00E7024A">
      <w:pPr>
        <w:spacing w:line="276" w:lineRule="auto"/>
        <w:ind w:left="0" w:firstLine="0"/>
        <w:jc w:val="both"/>
        <w:rPr>
          <w:rFonts w:ascii="Arial" w:hAnsi="Arial" w:cs="Arial"/>
        </w:rPr>
      </w:pPr>
    </w:p>
    <w:p w14:paraId="2F351F8F" w14:textId="249AF0C7" w:rsidR="00AE31B1" w:rsidRPr="00907C17" w:rsidRDefault="00BB0EE9" w:rsidP="00E7024A">
      <w:pPr>
        <w:pStyle w:val="ListParagraph"/>
        <w:numPr>
          <w:ilvl w:val="0"/>
          <w:numId w:val="2"/>
        </w:numPr>
        <w:spacing w:line="276" w:lineRule="auto"/>
        <w:jc w:val="both"/>
        <w:rPr>
          <w:rFonts w:ascii="Arial" w:hAnsi="Arial" w:cs="Arial"/>
          <w:sz w:val="24"/>
          <w:szCs w:val="24"/>
        </w:rPr>
      </w:pPr>
      <w:r w:rsidRPr="00907C17">
        <w:rPr>
          <w:rFonts w:ascii="Arial" w:hAnsi="Arial" w:cs="Arial"/>
          <w:b/>
          <w:bCs/>
          <w:sz w:val="24"/>
          <w:szCs w:val="24"/>
          <w:u w:val="single"/>
        </w:rPr>
        <w:t>Key Insights</w:t>
      </w:r>
    </w:p>
    <w:p w14:paraId="24088B64" w14:textId="77777777" w:rsidR="00A540B2" w:rsidRPr="00E7024A" w:rsidRDefault="00A540B2" w:rsidP="00E7024A">
      <w:pPr>
        <w:spacing w:line="276" w:lineRule="auto"/>
        <w:ind w:left="0" w:firstLine="0"/>
        <w:jc w:val="both"/>
        <w:rPr>
          <w:rFonts w:ascii="Arial" w:hAnsi="Arial" w:cs="Arial"/>
        </w:rPr>
      </w:pPr>
    </w:p>
    <w:p w14:paraId="0CD4760B" w14:textId="77777777" w:rsidR="00B07D8D" w:rsidRPr="00E7024A" w:rsidRDefault="00B07D8D" w:rsidP="00E7024A">
      <w:pPr>
        <w:spacing w:line="276" w:lineRule="auto"/>
        <w:ind w:left="0" w:firstLine="0"/>
        <w:jc w:val="both"/>
        <w:rPr>
          <w:rFonts w:ascii="Arial" w:hAnsi="Arial" w:cs="Arial"/>
        </w:rPr>
      </w:pPr>
      <w:r w:rsidRPr="00E7024A">
        <w:rPr>
          <w:rFonts w:ascii="Arial" w:hAnsi="Arial" w:cs="Arial"/>
        </w:rPr>
        <w:lastRenderedPageBreak/>
        <w:t>The findings of this analysis indicate that barriers to transitioning from the Graduate Route to the Skilled Worker visa are structural and mutually reinforcing. Salary thresholds, sectoral employment patterns, and occupational eligibility criteria do not operate independently; rather, they interact in ways that collectively restrict access to sponsorship for international graduates.</w:t>
      </w:r>
    </w:p>
    <w:p w14:paraId="4DC1373F" w14:textId="77777777" w:rsidR="00B07D8D" w:rsidRPr="00E7024A" w:rsidRDefault="00B07D8D" w:rsidP="00E7024A">
      <w:pPr>
        <w:spacing w:line="276" w:lineRule="auto"/>
        <w:ind w:left="0" w:firstLine="0"/>
        <w:jc w:val="both"/>
        <w:rPr>
          <w:rFonts w:ascii="Arial" w:hAnsi="Arial" w:cs="Arial"/>
        </w:rPr>
      </w:pPr>
    </w:p>
    <w:p w14:paraId="08714F05" w14:textId="77777777" w:rsidR="00B07D8D" w:rsidRPr="00E7024A" w:rsidRDefault="00B07D8D" w:rsidP="00E7024A">
      <w:pPr>
        <w:spacing w:line="276" w:lineRule="auto"/>
        <w:ind w:left="0" w:firstLine="0"/>
        <w:jc w:val="both"/>
        <w:rPr>
          <w:rFonts w:ascii="Arial" w:hAnsi="Arial" w:cs="Arial"/>
        </w:rPr>
      </w:pPr>
      <w:r w:rsidRPr="00E7024A">
        <w:rPr>
          <w:rFonts w:ascii="Arial" w:hAnsi="Arial" w:cs="Arial"/>
        </w:rPr>
        <w:t>A key issue is the misalignment between graduate labour market outcomes and visa requirements. Although some sectors meet the Skilled Worker salary threshold, graduate salaries are often clustered around or just below the eligibility cutoff, meaning that a significant proportion of graduates remain ineligible despite being employed. At the same time, many sectors that employ large numbers of graduates tend to offer lower-paying roles that fall below sponsorship requirements.</w:t>
      </w:r>
    </w:p>
    <w:p w14:paraId="7DF13234" w14:textId="77777777" w:rsidR="00B07D8D" w:rsidRPr="00E7024A" w:rsidRDefault="00B07D8D" w:rsidP="00E7024A">
      <w:pPr>
        <w:spacing w:line="276" w:lineRule="auto"/>
        <w:ind w:left="0" w:firstLine="0"/>
        <w:jc w:val="both"/>
        <w:rPr>
          <w:rFonts w:ascii="Arial" w:hAnsi="Arial" w:cs="Arial"/>
        </w:rPr>
      </w:pPr>
    </w:p>
    <w:p w14:paraId="291FE85B" w14:textId="77777777" w:rsidR="00B07D8D" w:rsidRPr="00E7024A" w:rsidRDefault="00B07D8D" w:rsidP="00E7024A">
      <w:pPr>
        <w:spacing w:line="276" w:lineRule="auto"/>
        <w:ind w:left="0" w:firstLine="0"/>
        <w:jc w:val="both"/>
        <w:rPr>
          <w:rFonts w:ascii="Arial" w:hAnsi="Arial" w:cs="Arial"/>
        </w:rPr>
      </w:pPr>
      <w:r w:rsidRPr="00E7024A">
        <w:rPr>
          <w:rFonts w:ascii="Arial" w:hAnsi="Arial" w:cs="Arial"/>
        </w:rPr>
        <w:t>This misalignment is reinforced by sectoral distribution. Sectors with high levels of Skilled Worker visa sponsorship do not necessarily provide accessible pathways for graduates, as many sponsored roles are occupied by experienced workers. Conversely, sectors that meet salary thresholds tend to employ fewer graduates, limiting access to eligible roles.</w:t>
      </w:r>
    </w:p>
    <w:p w14:paraId="4821C173" w14:textId="77777777" w:rsidR="00B07D8D" w:rsidRPr="00E7024A" w:rsidRDefault="00B07D8D" w:rsidP="00E7024A">
      <w:pPr>
        <w:spacing w:line="276" w:lineRule="auto"/>
        <w:ind w:left="0" w:firstLine="0"/>
        <w:jc w:val="both"/>
        <w:rPr>
          <w:rFonts w:ascii="Arial" w:hAnsi="Arial" w:cs="Arial"/>
        </w:rPr>
      </w:pPr>
    </w:p>
    <w:p w14:paraId="5207432D" w14:textId="77777777" w:rsidR="00B07D8D" w:rsidRPr="00E7024A" w:rsidRDefault="00B07D8D" w:rsidP="00E7024A">
      <w:pPr>
        <w:spacing w:line="276" w:lineRule="auto"/>
        <w:ind w:left="0" w:firstLine="0"/>
        <w:jc w:val="both"/>
        <w:rPr>
          <w:rFonts w:ascii="Arial" w:hAnsi="Arial" w:cs="Arial"/>
        </w:rPr>
      </w:pPr>
      <w:r w:rsidRPr="00E7024A">
        <w:rPr>
          <w:rFonts w:ascii="Arial" w:hAnsi="Arial" w:cs="Arial"/>
        </w:rPr>
        <w:t>Occupational structure further intensifies these constraints. Higher-skilled roles, which provide clearer routes to sponsorship, are typically inaccessible to graduates due to experience requirements. In contrast, medium-skilled roles that align more closely with entry-level employment are subject to stricter eligibility conditions following recent policy changes. This creates a situation in which graduates are active in the labour market but positioned outside the main pathways to sponsorship.</w:t>
      </w:r>
    </w:p>
    <w:p w14:paraId="7BA8EC7C" w14:textId="77777777" w:rsidR="00B07D8D" w:rsidRPr="00E7024A" w:rsidRDefault="00B07D8D" w:rsidP="00E7024A">
      <w:pPr>
        <w:spacing w:line="276" w:lineRule="auto"/>
        <w:ind w:left="0" w:firstLine="0"/>
        <w:jc w:val="both"/>
        <w:rPr>
          <w:rFonts w:ascii="Arial" w:hAnsi="Arial" w:cs="Arial"/>
        </w:rPr>
      </w:pPr>
    </w:p>
    <w:p w14:paraId="1A855AC5" w14:textId="77777777" w:rsidR="00B07D8D" w:rsidRPr="00E7024A" w:rsidRDefault="00B07D8D" w:rsidP="00E7024A">
      <w:pPr>
        <w:spacing w:line="276" w:lineRule="auto"/>
        <w:ind w:left="0" w:firstLine="0"/>
        <w:jc w:val="both"/>
        <w:rPr>
          <w:rFonts w:ascii="Arial" w:hAnsi="Arial" w:cs="Arial"/>
        </w:rPr>
      </w:pPr>
      <w:r w:rsidRPr="00E7024A">
        <w:rPr>
          <w:rFonts w:ascii="Arial" w:hAnsi="Arial" w:cs="Arial"/>
        </w:rPr>
        <w:t>In addition, employer behaviour may further influence access to sponsorship. Sponsorship involves financial and administrative costs, which may reduce willingness to sponsor early-career employees. However, this factor is considered secondary within the scope of this analysis.</w:t>
      </w:r>
    </w:p>
    <w:p w14:paraId="08F7E5A7" w14:textId="77777777" w:rsidR="00B07D8D" w:rsidRPr="00E7024A" w:rsidRDefault="00B07D8D" w:rsidP="00E7024A">
      <w:pPr>
        <w:spacing w:line="276" w:lineRule="auto"/>
        <w:ind w:left="0" w:firstLine="0"/>
        <w:jc w:val="both"/>
        <w:rPr>
          <w:rFonts w:ascii="Arial" w:hAnsi="Arial" w:cs="Arial"/>
        </w:rPr>
      </w:pPr>
    </w:p>
    <w:p w14:paraId="5E6E7E6F" w14:textId="2931DFFB" w:rsidR="00A540B2" w:rsidRPr="00E7024A" w:rsidRDefault="00B07D8D" w:rsidP="00E7024A">
      <w:pPr>
        <w:spacing w:line="276" w:lineRule="auto"/>
        <w:ind w:left="0" w:firstLine="0"/>
        <w:jc w:val="both"/>
        <w:rPr>
          <w:rFonts w:ascii="Arial" w:hAnsi="Arial" w:cs="Arial"/>
        </w:rPr>
      </w:pPr>
      <w:r w:rsidRPr="00E7024A">
        <w:rPr>
          <w:rFonts w:ascii="Arial" w:hAnsi="Arial" w:cs="Arial"/>
        </w:rPr>
        <w:t>Overall, the findings suggest a structural mismatch between immigration policy design and graduate labour market realities, where access to sponsorship is shaped by overlapping constraints rather than a single barrier.</w:t>
      </w:r>
    </w:p>
    <w:p w14:paraId="2C35AFFB" w14:textId="77777777" w:rsidR="00BD099D" w:rsidRPr="00E7024A" w:rsidRDefault="00BD099D" w:rsidP="00E7024A">
      <w:pPr>
        <w:spacing w:line="276" w:lineRule="auto"/>
        <w:ind w:left="0" w:firstLine="0"/>
        <w:jc w:val="both"/>
        <w:rPr>
          <w:rFonts w:ascii="Arial" w:hAnsi="Arial" w:cs="Arial"/>
        </w:rPr>
      </w:pPr>
    </w:p>
    <w:p w14:paraId="464BC51D" w14:textId="77777777" w:rsidR="00A540B2" w:rsidRPr="00E7024A" w:rsidRDefault="00A540B2" w:rsidP="00E7024A">
      <w:pPr>
        <w:spacing w:line="276" w:lineRule="auto"/>
        <w:ind w:left="0" w:firstLine="0"/>
        <w:jc w:val="both"/>
        <w:rPr>
          <w:rFonts w:ascii="Arial" w:hAnsi="Arial" w:cs="Arial"/>
        </w:rPr>
      </w:pPr>
    </w:p>
    <w:p w14:paraId="63D5C6BE" w14:textId="19F35641" w:rsidR="00A540B2" w:rsidRPr="00907C17" w:rsidRDefault="00DD4E00" w:rsidP="00E7024A">
      <w:pPr>
        <w:pStyle w:val="ListParagraph"/>
        <w:numPr>
          <w:ilvl w:val="0"/>
          <w:numId w:val="2"/>
        </w:numPr>
        <w:spacing w:line="276" w:lineRule="auto"/>
        <w:jc w:val="both"/>
        <w:rPr>
          <w:rFonts w:ascii="Arial" w:hAnsi="Arial" w:cs="Arial"/>
          <w:sz w:val="24"/>
          <w:szCs w:val="24"/>
        </w:rPr>
      </w:pPr>
      <w:r w:rsidRPr="00907C17">
        <w:rPr>
          <w:rFonts w:ascii="Arial" w:hAnsi="Arial" w:cs="Arial"/>
          <w:b/>
          <w:bCs/>
          <w:sz w:val="24"/>
          <w:szCs w:val="24"/>
          <w:u w:val="single"/>
        </w:rPr>
        <w:t>Conclusion</w:t>
      </w:r>
    </w:p>
    <w:p w14:paraId="114D0F93" w14:textId="77777777" w:rsidR="00302ABD" w:rsidRPr="00E7024A" w:rsidRDefault="00302ABD" w:rsidP="00E7024A">
      <w:pPr>
        <w:spacing w:line="276" w:lineRule="auto"/>
        <w:jc w:val="both"/>
        <w:rPr>
          <w:rFonts w:ascii="Arial" w:hAnsi="Arial" w:cs="Arial"/>
        </w:rPr>
      </w:pPr>
    </w:p>
    <w:p w14:paraId="4E161E82" w14:textId="7E5E80CA" w:rsidR="00B07D8D" w:rsidRPr="00E7024A" w:rsidRDefault="00B07D8D" w:rsidP="00E7024A">
      <w:pPr>
        <w:spacing w:line="276" w:lineRule="auto"/>
        <w:ind w:left="0" w:firstLine="0"/>
        <w:jc w:val="both"/>
        <w:rPr>
          <w:rFonts w:ascii="Arial" w:hAnsi="Arial" w:cs="Arial"/>
        </w:rPr>
      </w:pPr>
      <w:r w:rsidRPr="00E7024A">
        <w:rPr>
          <w:rFonts w:ascii="Arial" w:hAnsi="Arial" w:cs="Arial"/>
        </w:rPr>
        <w:t xml:space="preserve">This </w:t>
      </w:r>
      <w:r w:rsidR="00CA788F">
        <w:rPr>
          <w:rFonts w:ascii="Arial" w:hAnsi="Arial" w:cs="Arial"/>
        </w:rPr>
        <w:t>report</w:t>
      </w:r>
      <w:r w:rsidRPr="00E7024A">
        <w:rPr>
          <w:rFonts w:ascii="Arial" w:hAnsi="Arial" w:cs="Arial"/>
        </w:rPr>
        <w:t xml:space="preserve"> examined the structural factors affecting the transition of international graduates from the Graduate Route to the Skilled Worker visa in the UK. The findings demonstrate that the transition is constrained not by a lack of graduate employment, but by a misalignment between labour market conditions and immigration policy requirements.</w:t>
      </w:r>
    </w:p>
    <w:p w14:paraId="419D41A9" w14:textId="77777777" w:rsidR="00B07D8D" w:rsidRPr="00E7024A" w:rsidRDefault="00B07D8D" w:rsidP="00E7024A">
      <w:pPr>
        <w:spacing w:line="276" w:lineRule="auto"/>
        <w:ind w:left="0" w:firstLine="0"/>
        <w:jc w:val="both"/>
        <w:rPr>
          <w:rFonts w:ascii="Arial" w:hAnsi="Arial" w:cs="Arial"/>
        </w:rPr>
      </w:pPr>
    </w:p>
    <w:p w14:paraId="48ECC177" w14:textId="77777777" w:rsidR="00B07D8D" w:rsidRPr="00E7024A" w:rsidRDefault="00B07D8D" w:rsidP="00E7024A">
      <w:pPr>
        <w:spacing w:line="276" w:lineRule="auto"/>
        <w:ind w:left="0" w:firstLine="0"/>
        <w:jc w:val="both"/>
        <w:rPr>
          <w:rFonts w:ascii="Arial" w:hAnsi="Arial" w:cs="Arial"/>
        </w:rPr>
      </w:pPr>
      <w:r w:rsidRPr="00E7024A">
        <w:rPr>
          <w:rFonts w:ascii="Arial" w:hAnsi="Arial" w:cs="Arial"/>
        </w:rPr>
        <w:t>Although international graduates successfully enter the UK labour market, they are concentrated in roles and sectors that frequently fall below salary thresholds or do not meet eligibility criteria. At the same time, roles that satisfy visa requirements are often positioned at higher skill levels and are therefore inaccessible at the early stages of a graduate career.</w:t>
      </w:r>
    </w:p>
    <w:p w14:paraId="3DC6E09A" w14:textId="77777777" w:rsidR="00B07D8D" w:rsidRPr="00E7024A" w:rsidRDefault="00B07D8D" w:rsidP="00E7024A">
      <w:pPr>
        <w:spacing w:line="276" w:lineRule="auto"/>
        <w:ind w:left="0" w:firstLine="0"/>
        <w:jc w:val="both"/>
        <w:rPr>
          <w:rFonts w:ascii="Arial" w:hAnsi="Arial" w:cs="Arial"/>
        </w:rPr>
      </w:pPr>
    </w:p>
    <w:p w14:paraId="11A33CC7" w14:textId="77777777" w:rsidR="00B07D8D" w:rsidRPr="00E7024A" w:rsidRDefault="00B07D8D" w:rsidP="00E7024A">
      <w:pPr>
        <w:spacing w:line="276" w:lineRule="auto"/>
        <w:ind w:left="0" w:firstLine="0"/>
        <w:jc w:val="both"/>
        <w:rPr>
          <w:rFonts w:ascii="Arial" w:hAnsi="Arial" w:cs="Arial"/>
        </w:rPr>
      </w:pPr>
      <w:r w:rsidRPr="00E7024A">
        <w:rPr>
          <w:rFonts w:ascii="Arial" w:hAnsi="Arial" w:cs="Arial"/>
        </w:rPr>
        <w:t xml:space="preserve">Overall, the evidence indicates that the Skilled Worker visa system functions less as a broad post-study retention pathway and more as a selective mechanism that filters individuals based </w:t>
      </w:r>
      <w:r w:rsidRPr="00E7024A">
        <w:rPr>
          <w:rFonts w:ascii="Arial" w:hAnsi="Arial" w:cs="Arial"/>
        </w:rPr>
        <w:lastRenderedPageBreak/>
        <w:t>on salary level, occupational status, and sectoral distribution. As a result, employment alone is insufficient to guarantee progression onto long-term skilled migration routes.</w:t>
      </w:r>
    </w:p>
    <w:p w14:paraId="3E5F670C" w14:textId="77777777" w:rsidR="00B07D8D" w:rsidRPr="00E7024A" w:rsidRDefault="00B07D8D" w:rsidP="00E7024A">
      <w:pPr>
        <w:spacing w:line="276" w:lineRule="auto"/>
        <w:ind w:left="0" w:firstLine="0"/>
        <w:jc w:val="both"/>
        <w:rPr>
          <w:rFonts w:ascii="Arial" w:hAnsi="Arial" w:cs="Arial"/>
        </w:rPr>
      </w:pPr>
    </w:p>
    <w:p w14:paraId="13FAED82" w14:textId="1F77B773" w:rsidR="00055D3E" w:rsidRPr="00AD33B1" w:rsidRDefault="00B07D8D" w:rsidP="00E7024A">
      <w:pPr>
        <w:spacing w:line="276" w:lineRule="auto"/>
        <w:ind w:left="0" w:firstLine="0"/>
        <w:jc w:val="both"/>
        <w:rPr>
          <w:rFonts w:ascii="Arial" w:hAnsi="Arial" w:cs="Arial"/>
        </w:rPr>
      </w:pPr>
      <w:r w:rsidRPr="00E7024A">
        <w:rPr>
          <w:rFonts w:ascii="Arial" w:hAnsi="Arial" w:cs="Arial"/>
        </w:rPr>
        <w:t>These findings highlight a structural tension between post-study work policy objectives and labour market realities, where eligibility for long-term residence is determined by a narrow set of economic and occupational criteria rather than graduate participation in employment.</w:t>
      </w:r>
    </w:p>
    <w:sectPr w:rsidR="00055D3E" w:rsidRPr="00AD33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31E8A"/>
    <w:multiLevelType w:val="multilevel"/>
    <w:tmpl w:val="BCCEC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7904E0"/>
    <w:multiLevelType w:val="hybridMultilevel"/>
    <w:tmpl w:val="5F4A1F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6EC55E9"/>
    <w:multiLevelType w:val="multilevel"/>
    <w:tmpl w:val="3400655A"/>
    <w:lvl w:ilvl="0">
      <w:start w:val="1"/>
      <w:numFmt w:val="decimal"/>
      <w:lvlText w:val="%1."/>
      <w:lvlJc w:val="left"/>
      <w:pPr>
        <w:ind w:left="720" w:hanging="360"/>
      </w:pPr>
      <w:rPr>
        <w:rFonts w:hint="default"/>
        <w:b/>
        <w:bCs/>
      </w:rPr>
    </w:lvl>
    <w:lvl w:ilvl="1">
      <w:start w:val="1"/>
      <w:numFmt w:val="decimal"/>
      <w:isLgl/>
      <w:lvlText w:val="%1.%2."/>
      <w:lvlJc w:val="left"/>
      <w:pPr>
        <w:ind w:left="1080" w:hanging="720"/>
      </w:pPr>
      <w:rPr>
        <w:rFonts w:hint="default"/>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28027FCD"/>
    <w:multiLevelType w:val="multilevel"/>
    <w:tmpl w:val="526A0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CE1985"/>
    <w:multiLevelType w:val="multilevel"/>
    <w:tmpl w:val="5EB25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16270C"/>
    <w:multiLevelType w:val="multilevel"/>
    <w:tmpl w:val="3DA07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EA37AD3"/>
    <w:multiLevelType w:val="hybridMultilevel"/>
    <w:tmpl w:val="74F2D812"/>
    <w:lvl w:ilvl="0" w:tplc="40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55D50768"/>
    <w:multiLevelType w:val="hybridMultilevel"/>
    <w:tmpl w:val="9B8E3DD8"/>
    <w:lvl w:ilvl="0" w:tplc="40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56242749">
    <w:abstractNumId w:val="5"/>
  </w:num>
  <w:num w:numId="2" w16cid:durableId="1998344757">
    <w:abstractNumId w:val="2"/>
  </w:num>
  <w:num w:numId="3" w16cid:durableId="1704405389">
    <w:abstractNumId w:val="6"/>
  </w:num>
  <w:num w:numId="4" w16cid:durableId="1055857258">
    <w:abstractNumId w:val="1"/>
  </w:num>
  <w:num w:numId="5" w16cid:durableId="1397128021">
    <w:abstractNumId w:val="7"/>
  </w:num>
  <w:num w:numId="6" w16cid:durableId="229463104">
    <w:abstractNumId w:val="0"/>
  </w:num>
  <w:num w:numId="7" w16cid:durableId="1646546861">
    <w:abstractNumId w:val="3"/>
  </w:num>
  <w:num w:numId="8" w16cid:durableId="494253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12B9"/>
    <w:rsid w:val="0000779C"/>
    <w:rsid w:val="000118AF"/>
    <w:rsid w:val="000169F1"/>
    <w:rsid w:val="00017E56"/>
    <w:rsid w:val="00027537"/>
    <w:rsid w:val="00055D3E"/>
    <w:rsid w:val="00060039"/>
    <w:rsid w:val="000A11BC"/>
    <w:rsid w:val="000C2526"/>
    <w:rsid w:val="000C34C7"/>
    <w:rsid w:val="000C7FD7"/>
    <w:rsid w:val="000D10F7"/>
    <w:rsid w:val="000E68E7"/>
    <w:rsid w:val="00117E5B"/>
    <w:rsid w:val="00117F7B"/>
    <w:rsid w:val="00122DD1"/>
    <w:rsid w:val="00123EDC"/>
    <w:rsid w:val="00137ABC"/>
    <w:rsid w:val="00137BD1"/>
    <w:rsid w:val="00150EC8"/>
    <w:rsid w:val="00153DF4"/>
    <w:rsid w:val="0017058F"/>
    <w:rsid w:val="00172E26"/>
    <w:rsid w:val="001949C9"/>
    <w:rsid w:val="001E0884"/>
    <w:rsid w:val="001F0B83"/>
    <w:rsid w:val="00200C2D"/>
    <w:rsid w:val="00201B75"/>
    <w:rsid w:val="00213EC3"/>
    <w:rsid w:val="002165BB"/>
    <w:rsid w:val="00223E61"/>
    <w:rsid w:val="00242AED"/>
    <w:rsid w:val="002561A7"/>
    <w:rsid w:val="0026725B"/>
    <w:rsid w:val="00275BCB"/>
    <w:rsid w:val="00282431"/>
    <w:rsid w:val="002C281F"/>
    <w:rsid w:val="002D7585"/>
    <w:rsid w:val="002F43AF"/>
    <w:rsid w:val="002F56B8"/>
    <w:rsid w:val="00302ABD"/>
    <w:rsid w:val="0030546F"/>
    <w:rsid w:val="00322E37"/>
    <w:rsid w:val="0036670D"/>
    <w:rsid w:val="003834F0"/>
    <w:rsid w:val="00395CEC"/>
    <w:rsid w:val="003B065D"/>
    <w:rsid w:val="003D00E3"/>
    <w:rsid w:val="003D6B5E"/>
    <w:rsid w:val="003E4ED8"/>
    <w:rsid w:val="003F4182"/>
    <w:rsid w:val="00416628"/>
    <w:rsid w:val="0045771C"/>
    <w:rsid w:val="0047097A"/>
    <w:rsid w:val="00492A34"/>
    <w:rsid w:val="004F1CBD"/>
    <w:rsid w:val="00526964"/>
    <w:rsid w:val="005303E9"/>
    <w:rsid w:val="00534B02"/>
    <w:rsid w:val="00562726"/>
    <w:rsid w:val="005642E9"/>
    <w:rsid w:val="00577470"/>
    <w:rsid w:val="0058565E"/>
    <w:rsid w:val="00596342"/>
    <w:rsid w:val="005B3E89"/>
    <w:rsid w:val="005B5B78"/>
    <w:rsid w:val="005D4E0A"/>
    <w:rsid w:val="005D7CC2"/>
    <w:rsid w:val="005E2578"/>
    <w:rsid w:val="00604CC9"/>
    <w:rsid w:val="00616E58"/>
    <w:rsid w:val="00655793"/>
    <w:rsid w:val="006766BA"/>
    <w:rsid w:val="0069302E"/>
    <w:rsid w:val="00693BB9"/>
    <w:rsid w:val="006A167E"/>
    <w:rsid w:val="006A4B21"/>
    <w:rsid w:val="006D51CB"/>
    <w:rsid w:val="006E2532"/>
    <w:rsid w:val="007167C9"/>
    <w:rsid w:val="007270B3"/>
    <w:rsid w:val="00727621"/>
    <w:rsid w:val="00730910"/>
    <w:rsid w:val="007311AD"/>
    <w:rsid w:val="00741270"/>
    <w:rsid w:val="00760F07"/>
    <w:rsid w:val="00771D81"/>
    <w:rsid w:val="00775D71"/>
    <w:rsid w:val="007929EE"/>
    <w:rsid w:val="00795B82"/>
    <w:rsid w:val="007A62F4"/>
    <w:rsid w:val="007A7829"/>
    <w:rsid w:val="007A7F23"/>
    <w:rsid w:val="007B3A1A"/>
    <w:rsid w:val="007C6FFA"/>
    <w:rsid w:val="007E1166"/>
    <w:rsid w:val="007F435A"/>
    <w:rsid w:val="00801152"/>
    <w:rsid w:val="00804EAE"/>
    <w:rsid w:val="00807EB6"/>
    <w:rsid w:val="00815C92"/>
    <w:rsid w:val="0082482B"/>
    <w:rsid w:val="0085073D"/>
    <w:rsid w:val="008758EC"/>
    <w:rsid w:val="008F40A8"/>
    <w:rsid w:val="00907C17"/>
    <w:rsid w:val="0093400D"/>
    <w:rsid w:val="0093527E"/>
    <w:rsid w:val="00992575"/>
    <w:rsid w:val="009A00CE"/>
    <w:rsid w:val="009A771C"/>
    <w:rsid w:val="009B153A"/>
    <w:rsid w:val="009B6A12"/>
    <w:rsid w:val="009B76C4"/>
    <w:rsid w:val="009D2C70"/>
    <w:rsid w:val="00A04717"/>
    <w:rsid w:val="00A31A64"/>
    <w:rsid w:val="00A42D15"/>
    <w:rsid w:val="00A540B2"/>
    <w:rsid w:val="00A54D21"/>
    <w:rsid w:val="00A72525"/>
    <w:rsid w:val="00A82AFA"/>
    <w:rsid w:val="00AB52FC"/>
    <w:rsid w:val="00AC678E"/>
    <w:rsid w:val="00AD33B1"/>
    <w:rsid w:val="00AD4FCB"/>
    <w:rsid w:val="00AE31B1"/>
    <w:rsid w:val="00B009C3"/>
    <w:rsid w:val="00B07D8D"/>
    <w:rsid w:val="00B31F98"/>
    <w:rsid w:val="00B416AF"/>
    <w:rsid w:val="00B52D69"/>
    <w:rsid w:val="00B76B0D"/>
    <w:rsid w:val="00B818A7"/>
    <w:rsid w:val="00B914E1"/>
    <w:rsid w:val="00B953BE"/>
    <w:rsid w:val="00BB0EE9"/>
    <w:rsid w:val="00BD099D"/>
    <w:rsid w:val="00BE2F81"/>
    <w:rsid w:val="00C11D7B"/>
    <w:rsid w:val="00C37DDC"/>
    <w:rsid w:val="00C42441"/>
    <w:rsid w:val="00C747F6"/>
    <w:rsid w:val="00C85799"/>
    <w:rsid w:val="00CA788F"/>
    <w:rsid w:val="00CB4F4B"/>
    <w:rsid w:val="00CD12B9"/>
    <w:rsid w:val="00CE5EE1"/>
    <w:rsid w:val="00CF53F6"/>
    <w:rsid w:val="00D113DC"/>
    <w:rsid w:val="00D26351"/>
    <w:rsid w:val="00D36406"/>
    <w:rsid w:val="00D44780"/>
    <w:rsid w:val="00D67072"/>
    <w:rsid w:val="00D80B81"/>
    <w:rsid w:val="00D82D9D"/>
    <w:rsid w:val="00D84D4F"/>
    <w:rsid w:val="00D91F5D"/>
    <w:rsid w:val="00D94E35"/>
    <w:rsid w:val="00D96554"/>
    <w:rsid w:val="00D975BE"/>
    <w:rsid w:val="00DA49CD"/>
    <w:rsid w:val="00DB2D11"/>
    <w:rsid w:val="00DC5D34"/>
    <w:rsid w:val="00DD4E00"/>
    <w:rsid w:val="00DE3F90"/>
    <w:rsid w:val="00E66F64"/>
    <w:rsid w:val="00E6748C"/>
    <w:rsid w:val="00E7024A"/>
    <w:rsid w:val="00E9364E"/>
    <w:rsid w:val="00E96C2C"/>
    <w:rsid w:val="00EA4010"/>
    <w:rsid w:val="00EC4F54"/>
    <w:rsid w:val="00EF4637"/>
    <w:rsid w:val="00F14136"/>
    <w:rsid w:val="00F42C16"/>
    <w:rsid w:val="00F46004"/>
    <w:rsid w:val="00F468BB"/>
    <w:rsid w:val="00F92D45"/>
    <w:rsid w:val="00F96833"/>
    <w:rsid w:val="00F97277"/>
    <w:rsid w:val="00FA0698"/>
    <w:rsid w:val="00FF0A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6E392"/>
  <w15:chartTrackingRefBased/>
  <w15:docId w15:val="{F6D06383-BED6-4F53-AACC-98BE29B2F4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ind w:left="170" w:hanging="17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CD12B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D12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D12B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D12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D12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D12B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12B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12B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12B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12B9"/>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CD12B9"/>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CD12B9"/>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CD12B9"/>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CD12B9"/>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CD12B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CD12B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CD12B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CD12B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CD12B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12B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CD12B9"/>
    <w:pPr>
      <w:numPr>
        <w:ilvl w:val="1"/>
      </w:numPr>
      <w:spacing w:after="160"/>
      <w:ind w:left="170" w:hanging="17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12B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CD12B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12B9"/>
    <w:rPr>
      <w:i/>
      <w:iCs/>
      <w:color w:val="404040" w:themeColor="text1" w:themeTint="BF"/>
      <w:lang w:val="en-GB"/>
    </w:rPr>
  </w:style>
  <w:style w:type="paragraph" w:styleId="ListParagraph">
    <w:name w:val="List Paragraph"/>
    <w:basedOn w:val="Normal"/>
    <w:uiPriority w:val="34"/>
    <w:qFormat/>
    <w:rsid w:val="00CD12B9"/>
    <w:pPr>
      <w:ind w:left="720"/>
      <w:contextualSpacing/>
    </w:pPr>
  </w:style>
  <w:style w:type="character" w:styleId="IntenseEmphasis">
    <w:name w:val="Intense Emphasis"/>
    <w:basedOn w:val="DefaultParagraphFont"/>
    <w:uiPriority w:val="21"/>
    <w:qFormat/>
    <w:rsid w:val="00CD12B9"/>
    <w:rPr>
      <w:i/>
      <w:iCs/>
      <w:color w:val="2F5496" w:themeColor="accent1" w:themeShade="BF"/>
    </w:rPr>
  </w:style>
  <w:style w:type="paragraph" w:styleId="IntenseQuote">
    <w:name w:val="Intense Quote"/>
    <w:basedOn w:val="Normal"/>
    <w:next w:val="Normal"/>
    <w:link w:val="IntenseQuoteChar"/>
    <w:uiPriority w:val="30"/>
    <w:qFormat/>
    <w:rsid w:val="00CD12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D12B9"/>
    <w:rPr>
      <w:i/>
      <w:iCs/>
      <w:color w:val="2F5496" w:themeColor="accent1" w:themeShade="BF"/>
      <w:lang w:val="en-GB"/>
    </w:rPr>
  </w:style>
  <w:style w:type="character" w:styleId="IntenseReference">
    <w:name w:val="Intense Reference"/>
    <w:basedOn w:val="DefaultParagraphFont"/>
    <w:uiPriority w:val="32"/>
    <w:qFormat/>
    <w:rsid w:val="00CD12B9"/>
    <w:rPr>
      <w:b/>
      <w:bCs/>
      <w:smallCaps/>
      <w:color w:val="2F5496" w:themeColor="accent1" w:themeShade="BF"/>
      <w:spacing w:val="5"/>
    </w:rPr>
  </w:style>
  <w:style w:type="character" w:styleId="Hyperlink">
    <w:name w:val="Hyperlink"/>
    <w:basedOn w:val="DefaultParagraphFont"/>
    <w:uiPriority w:val="99"/>
    <w:unhideWhenUsed/>
    <w:rsid w:val="00D94E35"/>
    <w:rPr>
      <w:color w:val="0563C1" w:themeColor="hyperlink"/>
      <w:u w:val="single"/>
    </w:rPr>
  </w:style>
  <w:style w:type="character" w:styleId="UnresolvedMention">
    <w:name w:val="Unresolved Mention"/>
    <w:basedOn w:val="DefaultParagraphFont"/>
    <w:uiPriority w:val="99"/>
    <w:semiHidden/>
    <w:unhideWhenUsed/>
    <w:rsid w:val="00D94E35"/>
    <w:rPr>
      <w:color w:val="605E5C"/>
      <w:shd w:val="clear" w:color="auto" w:fill="E1DFDD"/>
    </w:rPr>
  </w:style>
  <w:style w:type="character" w:styleId="FollowedHyperlink">
    <w:name w:val="FollowedHyperlink"/>
    <w:basedOn w:val="DefaultParagraphFont"/>
    <w:uiPriority w:val="99"/>
    <w:semiHidden/>
    <w:unhideWhenUsed/>
    <w:rsid w:val="00F14136"/>
    <w:rPr>
      <w:color w:val="954F72" w:themeColor="followedHyperlink"/>
      <w:u w:val="single"/>
    </w:rPr>
  </w:style>
  <w:style w:type="character" w:customStyle="1" w:styleId="t286pc">
    <w:name w:val="t286pc"/>
    <w:basedOn w:val="DefaultParagraphFont"/>
    <w:rsid w:val="00B52D69"/>
  </w:style>
  <w:style w:type="character" w:styleId="Strong">
    <w:name w:val="Strong"/>
    <w:basedOn w:val="DefaultParagraphFont"/>
    <w:uiPriority w:val="22"/>
    <w:qFormat/>
    <w:rsid w:val="00B52D6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ov.uk/government/publications/skilled-worker-visa-immigration-salary-list/skilled-worker-visa-immigration-salary-list" TargetMode="External"/><Relationship Id="rId3" Type="http://schemas.openxmlformats.org/officeDocument/2006/relationships/settings" Target="settings.xml"/><Relationship Id="rId7" Type="http://schemas.openxmlformats.org/officeDocument/2006/relationships/hyperlink" Target="https://explore-education-statistics.service.gov.uk/find-statistics/graduate-labour-markets/2024" TargetMode="External"/><Relationship Id="rId12" Type="http://schemas.openxmlformats.org/officeDocument/2006/relationships/hyperlink" Target="https://www.gov.uk/government/publications/skilled-worker-visa-eligible-occupations/skilled-worker-visa-eligible-occupations-and-codes"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ons.gov.uk/" TargetMode="External"/><Relationship Id="rId11" Type="http://schemas.openxmlformats.org/officeDocument/2006/relationships/image" Target="media/image3.png"/><Relationship Id="rId5" Type="http://schemas.openxmlformats.org/officeDocument/2006/relationships/hyperlink" Target="https://www.gov.uk/government/organisations/home-office" TargetMode="Externa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www.gov.uk/government/statistics/immigration-system-statistics-year-ending-december-2025"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9205</TotalTime>
  <Pages>9</Pages>
  <Words>2792</Words>
  <Characters>15917</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Sanchari Ghosh</dc:creator>
  <cp:keywords/>
  <dc:description/>
  <cp:lastModifiedBy>Sanchari Ghosh</cp:lastModifiedBy>
  <cp:revision>10</cp:revision>
  <dcterms:created xsi:type="dcterms:W3CDTF">2026-03-12T07:53:00Z</dcterms:created>
  <dcterms:modified xsi:type="dcterms:W3CDTF">2026-05-03T13:05:00Z</dcterms:modified>
</cp:coreProperties>
</file>