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3E6A" w14:textId="5133F919" w:rsidR="008F40A8" w:rsidRPr="00907C17" w:rsidRDefault="008F40A8" w:rsidP="00E7024A">
      <w:pPr>
        <w:spacing w:line="276" w:lineRule="auto"/>
        <w:ind w:left="0" w:firstLine="0"/>
        <w:jc w:val="both"/>
        <w:rPr>
          <w:rFonts w:ascii="Arial" w:hAnsi="Arial" w:cs="Arial"/>
          <w:b/>
          <w:bCs/>
          <w:sz w:val="28"/>
          <w:szCs w:val="28"/>
        </w:rPr>
      </w:pPr>
      <w:r w:rsidRPr="00907C17">
        <w:rPr>
          <w:rFonts w:ascii="Segoe UI Emoji" w:hAnsi="Segoe UI Emoji" w:cs="Segoe UI Emoji"/>
          <w:b/>
          <w:bCs/>
          <w:sz w:val="28"/>
          <w:szCs w:val="28"/>
        </w:rPr>
        <w:t>📊</w:t>
      </w:r>
      <w:r w:rsidR="00907C17">
        <w:rPr>
          <w:rFonts w:ascii="Arial" w:hAnsi="Arial" w:cs="Arial"/>
          <w:b/>
          <w:bCs/>
          <w:sz w:val="28"/>
          <w:szCs w:val="28"/>
        </w:rPr>
        <w:t xml:space="preserve"> </w:t>
      </w:r>
      <w:r w:rsidRPr="00907C17">
        <w:rPr>
          <w:rFonts w:ascii="Arial" w:hAnsi="Arial" w:cs="Arial"/>
          <w:b/>
          <w:bCs/>
          <w:sz w:val="28"/>
          <w:szCs w:val="28"/>
        </w:rPr>
        <w:t>Analysis: Barriers to Skilled Worker Visa Transition for International Graduates</w:t>
      </w:r>
    </w:p>
    <w:p w14:paraId="4C37274C" w14:textId="77777777" w:rsidR="008F40A8" w:rsidRPr="00E7024A" w:rsidRDefault="008F40A8" w:rsidP="00E7024A">
      <w:pPr>
        <w:spacing w:line="276" w:lineRule="auto"/>
        <w:ind w:left="0" w:firstLine="0"/>
        <w:jc w:val="both"/>
        <w:rPr>
          <w:rFonts w:ascii="Arial" w:hAnsi="Arial" w:cs="Arial"/>
        </w:rPr>
      </w:pPr>
    </w:p>
    <w:p w14:paraId="7AEB70B0" w14:textId="77777777" w:rsidR="00A04717" w:rsidRPr="00E7024A" w:rsidRDefault="00A04717" w:rsidP="00E7024A">
      <w:pPr>
        <w:spacing w:line="276" w:lineRule="auto"/>
        <w:ind w:left="0" w:firstLine="0"/>
        <w:jc w:val="both"/>
        <w:rPr>
          <w:rFonts w:ascii="Arial" w:hAnsi="Arial" w:cs="Arial"/>
        </w:rPr>
      </w:pPr>
    </w:p>
    <w:p w14:paraId="354F0739" w14:textId="16ADAF2A" w:rsidR="00CD12B9" w:rsidRPr="00907C17" w:rsidRDefault="00BB0EE9" w:rsidP="00E7024A">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t>Project Overview</w:t>
      </w:r>
    </w:p>
    <w:p w14:paraId="33D4F624" w14:textId="77777777" w:rsidR="00A04717" w:rsidRPr="00E7024A" w:rsidRDefault="00A04717" w:rsidP="00E7024A">
      <w:pPr>
        <w:spacing w:line="276" w:lineRule="auto"/>
        <w:ind w:left="0" w:firstLine="0"/>
        <w:jc w:val="both"/>
        <w:rPr>
          <w:rFonts w:ascii="Arial" w:hAnsi="Arial" w:cs="Arial"/>
          <w:b/>
          <w:bCs/>
          <w:u w:val="single"/>
        </w:rPr>
      </w:pPr>
    </w:p>
    <w:p w14:paraId="26EF1F7B" w14:textId="77777777" w:rsidR="00C7025E" w:rsidRPr="00C7025E" w:rsidRDefault="00C7025E" w:rsidP="00C7025E">
      <w:pPr>
        <w:spacing w:line="276" w:lineRule="auto"/>
        <w:ind w:left="0" w:firstLine="0"/>
        <w:jc w:val="both"/>
        <w:rPr>
          <w:rFonts w:ascii="Arial" w:hAnsi="Arial" w:cs="Arial"/>
        </w:rPr>
      </w:pPr>
      <w:r w:rsidRPr="00C7025E">
        <w:rPr>
          <w:rFonts w:ascii="Arial" w:hAnsi="Arial" w:cs="Arial"/>
        </w:rPr>
        <w:t>International graduates in the United Kingdom increasingly face difficulty transitioning from the Graduate Route visa to the Skilled Worker visa, despite successfully entering the labour market after completing their studies. While post-study work pathways were designed to facilitate retention of skilled talent, recent immigration policy changes have raised questions about their effectiveness in practice.</w:t>
      </w:r>
    </w:p>
    <w:p w14:paraId="3E9788D3" w14:textId="77777777" w:rsidR="00C7025E" w:rsidRPr="00C7025E" w:rsidRDefault="00C7025E" w:rsidP="00C7025E">
      <w:pPr>
        <w:spacing w:line="276" w:lineRule="auto"/>
        <w:ind w:left="0" w:firstLine="0"/>
        <w:jc w:val="both"/>
        <w:rPr>
          <w:rFonts w:ascii="Arial" w:hAnsi="Arial" w:cs="Arial"/>
        </w:rPr>
      </w:pPr>
    </w:p>
    <w:p w14:paraId="5668EA02" w14:textId="77777777" w:rsidR="00C7025E" w:rsidRPr="00C7025E" w:rsidRDefault="00C7025E" w:rsidP="00C7025E">
      <w:pPr>
        <w:spacing w:line="276" w:lineRule="auto"/>
        <w:ind w:left="0" w:firstLine="0"/>
        <w:jc w:val="both"/>
        <w:rPr>
          <w:rFonts w:ascii="Arial" w:hAnsi="Arial" w:cs="Arial"/>
        </w:rPr>
      </w:pPr>
      <w:r w:rsidRPr="00C7025E">
        <w:rPr>
          <w:rFonts w:ascii="Arial" w:hAnsi="Arial" w:cs="Arial"/>
        </w:rPr>
        <w:t>In 2024, significant reforms to the Skilled Worker visa system introduced higher salary thresholds and revised occupational eligibility criteria. These changes have altered the conditions under which graduates can qualify for sponsorship, potentially narrowing access to long-term work opportunities. As a result, many graduates who secure employment remain unable to transition into sponsored roles, leading to premature exits from the UK labour market.</w:t>
      </w:r>
    </w:p>
    <w:p w14:paraId="11E62306" w14:textId="77777777" w:rsidR="00C7025E" w:rsidRPr="00C7025E" w:rsidRDefault="00C7025E" w:rsidP="00C7025E">
      <w:pPr>
        <w:spacing w:line="276" w:lineRule="auto"/>
        <w:ind w:left="0" w:firstLine="0"/>
        <w:jc w:val="both"/>
        <w:rPr>
          <w:rFonts w:ascii="Arial" w:hAnsi="Arial" w:cs="Arial"/>
        </w:rPr>
      </w:pPr>
    </w:p>
    <w:p w14:paraId="111E3A83" w14:textId="44DA5DEB" w:rsidR="007A62F4" w:rsidRDefault="00C7025E" w:rsidP="00C7025E">
      <w:pPr>
        <w:spacing w:line="276" w:lineRule="auto"/>
        <w:ind w:left="0" w:firstLine="0"/>
        <w:jc w:val="both"/>
        <w:rPr>
          <w:rFonts w:ascii="Arial" w:hAnsi="Arial" w:cs="Arial"/>
        </w:rPr>
      </w:pPr>
      <w:r w:rsidRPr="00C7025E">
        <w:rPr>
          <w:rFonts w:ascii="Arial" w:hAnsi="Arial" w:cs="Arial"/>
        </w:rPr>
        <w:t>This project examines the structural factors underlying this transition gap. Specifically, it analyses how salary thresholds, occupational eligibility rules, and sectoral employment patterns interact to shape access to Skilled Worker sponsorship. Using data from 2024 to 2025, the study evaluates how recent policy changes have affected the alignment between graduate labour market outcomes and immigration requirements.</w:t>
      </w:r>
    </w:p>
    <w:p w14:paraId="46D11F6D" w14:textId="77777777" w:rsidR="00C7025E" w:rsidRPr="00E7024A" w:rsidRDefault="00C7025E" w:rsidP="00C7025E">
      <w:pPr>
        <w:spacing w:line="276" w:lineRule="auto"/>
        <w:ind w:left="0" w:firstLine="0"/>
        <w:jc w:val="both"/>
        <w:rPr>
          <w:rFonts w:ascii="Arial" w:hAnsi="Arial" w:cs="Arial"/>
        </w:rPr>
      </w:pPr>
    </w:p>
    <w:p w14:paraId="4FB77933" w14:textId="77777777" w:rsidR="007A62F4" w:rsidRPr="00E7024A" w:rsidRDefault="007A62F4" w:rsidP="00E7024A">
      <w:pPr>
        <w:spacing w:line="276" w:lineRule="auto"/>
        <w:ind w:left="0" w:firstLine="0"/>
        <w:jc w:val="both"/>
        <w:rPr>
          <w:rFonts w:ascii="Arial" w:hAnsi="Arial" w:cs="Arial"/>
        </w:rPr>
      </w:pPr>
    </w:p>
    <w:p w14:paraId="4CB1698D" w14:textId="150F6EBB" w:rsidR="00C747F6" w:rsidRPr="00907C17" w:rsidRDefault="00BB0EE9" w:rsidP="00E7024A">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t>Objective</w:t>
      </w:r>
    </w:p>
    <w:p w14:paraId="4D2B1FC3" w14:textId="77777777" w:rsidR="00C747F6" w:rsidRPr="00E7024A" w:rsidRDefault="00C747F6" w:rsidP="00E7024A">
      <w:pPr>
        <w:spacing w:line="276" w:lineRule="auto"/>
        <w:ind w:left="0" w:firstLine="0"/>
        <w:jc w:val="both"/>
        <w:rPr>
          <w:rFonts w:ascii="Arial" w:hAnsi="Arial" w:cs="Arial"/>
          <w:b/>
          <w:bCs/>
          <w:u w:val="single"/>
        </w:rPr>
      </w:pPr>
    </w:p>
    <w:p w14:paraId="7418F2F1" w14:textId="6EB0F057" w:rsidR="00EC4F54" w:rsidRPr="00E7024A" w:rsidRDefault="007839EC" w:rsidP="00E7024A">
      <w:pPr>
        <w:spacing w:line="276" w:lineRule="auto"/>
        <w:ind w:left="0" w:firstLine="0"/>
        <w:jc w:val="both"/>
        <w:rPr>
          <w:rFonts w:ascii="Arial" w:hAnsi="Arial" w:cs="Arial"/>
        </w:rPr>
      </w:pPr>
      <w:r w:rsidRPr="007839EC">
        <w:rPr>
          <w:rFonts w:ascii="Arial" w:hAnsi="Arial" w:cs="Arial"/>
        </w:rPr>
        <w:t>This project aims to identify and evaluate the structural barriers that prevent international graduates in the UK from transitioning from the Graduate Route to Skilled Worker visa sponsorship</w:t>
      </w:r>
      <w:r w:rsidR="00EC4F54" w:rsidRPr="00E7024A">
        <w:rPr>
          <w:rFonts w:ascii="Arial" w:hAnsi="Arial" w:cs="Arial"/>
        </w:rPr>
        <w:t>.</w:t>
      </w:r>
    </w:p>
    <w:p w14:paraId="7C2D055A" w14:textId="77777777" w:rsidR="00EC4F54" w:rsidRPr="00E7024A" w:rsidRDefault="00EC4F54" w:rsidP="00E7024A">
      <w:pPr>
        <w:spacing w:line="276" w:lineRule="auto"/>
        <w:ind w:left="0" w:firstLine="0"/>
        <w:jc w:val="both"/>
        <w:rPr>
          <w:rFonts w:ascii="Arial" w:hAnsi="Arial" w:cs="Arial"/>
        </w:rPr>
      </w:pPr>
    </w:p>
    <w:p w14:paraId="69EC8E48" w14:textId="66334CFF" w:rsidR="00C747F6" w:rsidRPr="00E7024A" w:rsidRDefault="00EC4F54" w:rsidP="00E7024A">
      <w:pPr>
        <w:spacing w:line="276" w:lineRule="auto"/>
        <w:ind w:left="0" w:firstLine="0"/>
        <w:jc w:val="both"/>
        <w:rPr>
          <w:rFonts w:ascii="Arial" w:hAnsi="Arial" w:cs="Arial"/>
        </w:rPr>
      </w:pPr>
      <w:r w:rsidRPr="00E7024A">
        <w:rPr>
          <w:rFonts w:ascii="Arial" w:hAnsi="Arial" w:cs="Arial"/>
        </w:rPr>
        <w:t>It addresses the following questions:</w:t>
      </w:r>
    </w:p>
    <w:p w14:paraId="0962A1BB" w14:textId="77777777" w:rsidR="000C2526" w:rsidRPr="00E7024A" w:rsidRDefault="000C2526" w:rsidP="00E7024A">
      <w:pPr>
        <w:spacing w:line="276" w:lineRule="auto"/>
        <w:ind w:left="0" w:firstLine="0"/>
        <w:jc w:val="both"/>
        <w:rPr>
          <w:rFonts w:ascii="Arial" w:hAnsi="Arial" w:cs="Arial"/>
        </w:rPr>
      </w:pPr>
    </w:p>
    <w:p w14:paraId="658FCD2D" w14:textId="77777777" w:rsidR="007839EC" w:rsidRPr="007839EC" w:rsidRDefault="007839EC" w:rsidP="007839EC">
      <w:pPr>
        <w:pStyle w:val="ListParagraph"/>
        <w:numPr>
          <w:ilvl w:val="0"/>
          <w:numId w:val="9"/>
        </w:numPr>
        <w:spacing w:line="276" w:lineRule="auto"/>
        <w:jc w:val="both"/>
        <w:rPr>
          <w:rFonts w:ascii="Arial" w:hAnsi="Arial" w:cs="Arial"/>
        </w:rPr>
      </w:pPr>
      <w:r w:rsidRPr="007839EC">
        <w:rPr>
          <w:rFonts w:ascii="Arial" w:hAnsi="Arial" w:cs="Arial"/>
        </w:rPr>
        <w:t>To what extent do graduate salaries meet Skilled Worker visa salary thresholds?</w:t>
      </w:r>
    </w:p>
    <w:p w14:paraId="58BF2198" w14:textId="77777777" w:rsidR="007839EC" w:rsidRPr="007839EC" w:rsidRDefault="007839EC" w:rsidP="007839EC">
      <w:pPr>
        <w:pStyle w:val="ListParagraph"/>
        <w:numPr>
          <w:ilvl w:val="0"/>
          <w:numId w:val="9"/>
        </w:numPr>
        <w:spacing w:line="276" w:lineRule="auto"/>
        <w:jc w:val="both"/>
        <w:rPr>
          <w:rFonts w:ascii="Arial" w:hAnsi="Arial" w:cs="Arial"/>
        </w:rPr>
      </w:pPr>
      <w:r w:rsidRPr="007839EC">
        <w:rPr>
          <w:rFonts w:ascii="Arial" w:hAnsi="Arial" w:cs="Arial"/>
        </w:rPr>
        <w:t>Which sectors and occupations account for the majority of Skilled Worker visa sponsorship?</w:t>
      </w:r>
    </w:p>
    <w:p w14:paraId="3778B3CA" w14:textId="77777777" w:rsidR="007839EC" w:rsidRPr="007839EC" w:rsidRDefault="007839EC" w:rsidP="007839EC">
      <w:pPr>
        <w:pStyle w:val="ListParagraph"/>
        <w:numPr>
          <w:ilvl w:val="0"/>
          <w:numId w:val="9"/>
        </w:numPr>
        <w:spacing w:line="276" w:lineRule="auto"/>
        <w:jc w:val="both"/>
        <w:rPr>
          <w:rFonts w:ascii="Arial" w:hAnsi="Arial" w:cs="Arial"/>
        </w:rPr>
      </w:pPr>
      <w:r w:rsidRPr="007839EC">
        <w:rPr>
          <w:rFonts w:ascii="Arial" w:hAnsi="Arial" w:cs="Arial"/>
        </w:rPr>
        <w:t>How has the distribution of sponsorship changed following the 2024 policy reforms?</w:t>
      </w:r>
    </w:p>
    <w:p w14:paraId="64774A96" w14:textId="2C96119E" w:rsidR="0082482B" w:rsidRPr="007839EC" w:rsidRDefault="007839EC" w:rsidP="007839EC">
      <w:pPr>
        <w:pStyle w:val="ListParagraph"/>
        <w:numPr>
          <w:ilvl w:val="0"/>
          <w:numId w:val="9"/>
        </w:numPr>
        <w:spacing w:line="276" w:lineRule="auto"/>
        <w:jc w:val="both"/>
        <w:rPr>
          <w:rFonts w:ascii="Arial" w:hAnsi="Arial" w:cs="Arial"/>
        </w:rPr>
      </w:pPr>
      <w:r w:rsidRPr="007839EC">
        <w:rPr>
          <w:rFonts w:ascii="Arial" w:hAnsi="Arial" w:cs="Arial"/>
        </w:rPr>
        <w:t>What structural and institutional factors limit graduate access to sponsorable roles?</w:t>
      </w:r>
    </w:p>
    <w:p w14:paraId="5DD3E4B2" w14:textId="77777777" w:rsidR="007839EC" w:rsidRPr="00E7024A" w:rsidRDefault="007839EC" w:rsidP="007839EC">
      <w:pPr>
        <w:spacing w:line="276" w:lineRule="auto"/>
        <w:ind w:left="0" w:firstLine="0"/>
        <w:jc w:val="both"/>
        <w:rPr>
          <w:rFonts w:ascii="Arial" w:hAnsi="Arial" w:cs="Arial"/>
        </w:rPr>
      </w:pPr>
    </w:p>
    <w:p w14:paraId="5FC06064" w14:textId="2FFCDDB4" w:rsidR="008F40A8" w:rsidRPr="00E7024A" w:rsidRDefault="00C7025E" w:rsidP="00E7024A">
      <w:pPr>
        <w:spacing w:line="276" w:lineRule="auto"/>
        <w:ind w:left="0" w:firstLine="0"/>
        <w:jc w:val="both"/>
        <w:rPr>
          <w:rFonts w:ascii="Arial" w:hAnsi="Arial" w:cs="Arial"/>
          <w:b/>
          <w:bCs/>
        </w:rPr>
      </w:pPr>
      <w:r w:rsidRPr="00C7025E">
        <w:rPr>
          <w:rFonts w:ascii="Arial" w:hAnsi="Arial" w:cs="Arial"/>
        </w:rPr>
        <w:t>The central hypothesis is that the transition gap is not primarily the result of individual employability, but of structural misalignment between labour market conditions and immigration policy requirements. In particular, salary thresholds, occupational classifications, and sectoral employment patterns are expected to interact in ways that systematically reduce access to sponsorship for early-career workers.</w:t>
      </w:r>
    </w:p>
    <w:p w14:paraId="723ED855" w14:textId="77777777" w:rsidR="0082482B" w:rsidRPr="00E7024A" w:rsidRDefault="0082482B" w:rsidP="00E7024A">
      <w:pPr>
        <w:spacing w:line="276" w:lineRule="auto"/>
        <w:ind w:left="0" w:firstLine="0"/>
        <w:jc w:val="both"/>
        <w:rPr>
          <w:rFonts w:ascii="Arial" w:hAnsi="Arial" w:cs="Arial"/>
          <w:b/>
          <w:bCs/>
          <w:u w:val="single"/>
        </w:rPr>
      </w:pPr>
    </w:p>
    <w:p w14:paraId="6FFE2651" w14:textId="0B500C3D" w:rsidR="0082482B" w:rsidRPr="00907C17" w:rsidRDefault="00BB0EE9" w:rsidP="00E7024A">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lastRenderedPageBreak/>
        <w:t>Data Sources &amp; Preparation</w:t>
      </w:r>
    </w:p>
    <w:p w14:paraId="191DFEB8" w14:textId="77777777" w:rsidR="0082482B" w:rsidRPr="00E7024A" w:rsidRDefault="0082482B" w:rsidP="00E7024A">
      <w:pPr>
        <w:spacing w:line="276" w:lineRule="auto"/>
        <w:ind w:left="0" w:firstLine="0"/>
        <w:jc w:val="both"/>
        <w:rPr>
          <w:rFonts w:ascii="Arial" w:hAnsi="Arial" w:cs="Arial"/>
          <w:b/>
          <w:bCs/>
          <w:u w:val="single"/>
        </w:rPr>
      </w:pPr>
    </w:p>
    <w:p w14:paraId="5AB87AE4" w14:textId="77777777" w:rsidR="008758EC" w:rsidRDefault="002F43AF" w:rsidP="00E7024A">
      <w:pPr>
        <w:spacing w:line="276" w:lineRule="auto"/>
        <w:ind w:left="0" w:firstLine="0"/>
        <w:jc w:val="both"/>
        <w:rPr>
          <w:rFonts w:ascii="Arial" w:hAnsi="Arial" w:cs="Arial"/>
        </w:rPr>
      </w:pPr>
      <w:r w:rsidRPr="00E7024A">
        <w:rPr>
          <w:rFonts w:ascii="Arial" w:hAnsi="Arial" w:cs="Arial"/>
        </w:rPr>
        <w:t xml:space="preserve">This analysis draws on secondary data from the </w:t>
      </w:r>
      <w:hyperlink r:id="rId5" w:history="1">
        <w:r w:rsidRPr="00E7024A">
          <w:rPr>
            <w:rStyle w:val="Hyperlink"/>
            <w:rFonts w:ascii="Arial" w:hAnsi="Arial" w:cs="Arial"/>
          </w:rPr>
          <w:t>UK Home Office</w:t>
        </w:r>
      </w:hyperlink>
      <w:r w:rsidRPr="00E7024A">
        <w:rPr>
          <w:rFonts w:ascii="Arial" w:hAnsi="Arial" w:cs="Arial"/>
        </w:rPr>
        <w:t xml:space="preserve"> and the </w:t>
      </w:r>
      <w:hyperlink r:id="rId6" w:history="1">
        <w:r w:rsidRPr="00E7024A">
          <w:rPr>
            <w:rStyle w:val="Hyperlink"/>
            <w:rFonts w:ascii="Arial" w:hAnsi="Arial" w:cs="Arial"/>
          </w:rPr>
          <w:t>Office for National Statistics</w:t>
        </w:r>
      </w:hyperlink>
      <w:r w:rsidRPr="00E7024A">
        <w:rPr>
          <w:rFonts w:ascii="Arial" w:hAnsi="Arial" w:cs="Arial"/>
        </w:rPr>
        <w:t xml:space="preserve"> to examine the structural barriers affecting international graduates’ transition from the Graduate Route to the Skilled Worker visa. </w:t>
      </w:r>
      <w:r w:rsidR="008758EC" w:rsidRPr="00E7024A">
        <w:rPr>
          <w:rFonts w:ascii="Arial" w:hAnsi="Arial" w:cs="Arial"/>
        </w:rPr>
        <w:t>The primary datasets include:</w:t>
      </w:r>
    </w:p>
    <w:p w14:paraId="76DF7EAF" w14:textId="77777777" w:rsidR="00C849D3" w:rsidRPr="00E7024A" w:rsidRDefault="00C849D3" w:rsidP="00E7024A">
      <w:pPr>
        <w:spacing w:line="276" w:lineRule="auto"/>
        <w:ind w:left="0" w:firstLine="0"/>
        <w:jc w:val="both"/>
        <w:rPr>
          <w:rFonts w:ascii="Arial" w:hAnsi="Arial" w:cs="Arial"/>
        </w:rPr>
      </w:pPr>
    </w:p>
    <w:p w14:paraId="48A33F26" w14:textId="4DED37DB" w:rsidR="004F1CBD" w:rsidRPr="00E7024A" w:rsidRDefault="004F1CBD" w:rsidP="00E7024A">
      <w:pPr>
        <w:numPr>
          <w:ilvl w:val="0"/>
          <w:numId w:val="6"/>
        </w:numPr>
        <w:spacing w:line="276" w:lineRule="auto"/>
        <w:jc w:val="both"/>
        <w:rPr>
          <w:rFonts w:ascii="Arial" w:hAnsi="Arial" w:cs="Arial"/>
          <w:b/>
          <w:bCs/>
        </w:rPr>
      </w:pPr>
      <w:r w:rsidRPr="00E7024A">
        <w:rPr>
          <w:rFonts w:ascii="Arial" w:hAnsi="Arial" w:cs="Arial"/>
          <w:b/>
          <w:bCs/>
        </w:rPr>
        <w:t xml:space="preserve">Graduate Labour Market Statistics (ONS, 2024): </w:t>
      </w:r>
      <w:r w:rsidRPr="00E7024A">
        <w:rPr>
          <w:rFonts w:ascii="Arial" w:hAnsi="Arial" w:cs="Arial"/>
        </w:rPr>
        <w:t>Utilized to establish median salary benchmarks for graduates aged 21–30. This data provides the baseline for comparing actual market earnings against immigration requirements.</w:t>
      </w:r>
    </w:p>
    <w:p w14:paraId="39BA7A7C" w14:textId="7645D5D4" w:rsidR="004F1CBD" w:rsidRPr="00E7024A" w:rsidRDefault="004F1CBD" w:rsidP="00E7024A">
      <w:pPr>
        <w:numPr>
          <w:ilvl w:val="0"/>
          <w:numId w:val="6"/>
        </w:numPr>
        <w:spacing w:line="276" w:lineRule="auto"/>
        <w:jc w:val="both"/>
        <w:rPr>
          <w:rFonts w:ascii="Arial" w:hAnsi="Arial" w:cs="Arial"/>
          <w:b/>
          <w:bCs/>
        </w:rPr>
      </w:pPr>
      <w:r w:rsidRPr="00E7024A">
        <w:rPr>
          <w:rFonts w:ascii="Arial" w:hAnsi="Arial" w:cs="Arial"/>
          <w:b/>
          <w:bCs/>
        </w:rPr>
        <w:t xml:space="preserve">Immigration System Statistics (Home Office, 2025): </w:t>
      </w:r>
      <w:r w:rsidRPr="00E7024A">
        <w:rPr>
          <w:rFonts w:ascii="Arial" w:hAnsi="Arial" w:cs="Arial"/>
        </w:rPr>
        <w:t>Used to identify the volume of Skilled Worker visa grants, segmented by industrial sector and occupational group.</w:t>
      </w:r>
    </w:p>
    <w:p w14:paraId="41F9AD2E" w14:textId="12BCFA09" w:rsidR="004F1CBD" w:rsidRPr="00E7024A" w:rsidRDefault="004F1CBD" w:rsidP="00E7024A">
      <w:pPr>
        <w:numPr>
          <w:ilvl w:val="0"/>
          <w:numId w:val="6"/>
        </w:numPr>
        <w:spacing w:line="276" w:lineRule="auto"/>
        <w:jc w:val="both"/>
        <w:rPr>
          <w:rFonts w:ascii="Arial" w:hAnsi="Arial" w:cs="Arial"/>
          <w:b/>
          <w:bCs/>
        </w:rPr>
      </w:pPr>
      <w:r w:rsidRPr="00E7024A">
        <w:rPr>
          <w:rFonts w:ascii="Arial" w:hAnsi="Arial" w:cs="Arial"/>
          <w:b/>
          <w:bCs/>
        </w:rPr>
        <w:t xml:space="preserve">Standard Occupational Classification (ONS, SOC 2020): </w:t>
      </w:r>
      <w:r w:rsidRPr="00E7024A">
        <w:rPr>
          <w:rFonts w:ascii="Arial" w:hAnsi="Arial" w:cs="Arial"/>
        </w:rPr>
        <w:t>The framework used to classify job roles and determine their corresponding skill levels under the Regulated Qualifications Framework (RQF).</w:t>
      </w:r>
    </w:p>
    <w:p w14:paraId="4CDF66DE" w14:textId="4F7B08ED" w:rsidR="004F1CBD" w:rsidRPr="00E7024A" w:rsidRDefault="004F1CBD" w:rsidP="00E7024A">
      <w:pPr>
        <w:numPr>
          <w:ilvl w:val="0"/>
          <w:numId w:val="6"/>
        </w:numPr>
        <w:spacing w:line="276" w:lineRule="auto"/>
        <w:jc w:val="both"/>
        <w:rPr>
          <w:rFonts w:ascii="Arial" w:hAnsi="Arial" w:cs="Arial"/>
        </w:rPr>
      </w:pPr>
      <w:r w:rsidRPr="00E7024A">
        <w:rPr>
          <w:rFonts w:ascii="Arial" w:hAnsi="Arial" w:cs="Arial"/>
          <w:b/>
          <w:bCs/>
        </w:rPr>
        <w:t xml:space="preserve">UKVI Policy Guidance (Home Office, May 2026): </w:t>
      </w:r>
      <w:r w:rsidRPr="00E7024A">
        <w:rPr>
          <w:rFonts w:ascii="Arial" w:hAnsi="Arial" w:cs="Arial"/>
        </w:rPr>
        <w:t>The official framework defining the current mandatory salary thresholds (£41,700 standard / £33,400 new entrant) and the Immigration Salary List (ISL), which replaced the Shortage Occupation List.</w:t>
      </w:r>
    </w:p>
    <w:p w14:paraId="21B884FB" w14:textId="16AB45CA" w:rsidR="002F43AF" w:rsidRPr="00E7024A" w:rsidRDefault="002F43AF" w:rsidP="00E7024A">
      <w:pPr>
        <w:spacing w:line="276" w:lineRule="auto"/>
        <w:ind w:left="0" w:firstLine="0"/>
        <w:jc w:val="both"/>
        <w:rPr>
          <w:rFonts w:ascii="Arial" w:hAnsi="Arial" w:cs="Arial"/>
        </w:rPr>
      </w:pPr>
    </w:p>
    <w:p w14:paraId="59B66FC9" w14:textId="1C31D89A" w:rsidR="00AB52FC" w:rsidRDefault="00AB52FC" w:rsidP="00CA788F">
      <w:pPr>
        <w:pStyle w:val="ListParagraph"/>
        <w:numPr>
          <w:ilvl w:val="1"/>
          <w:numId w:val="2"/>
        </w:numPr>
        <w:spacing w:line="276" w:lineRule="auto"/>
        <w:jc w:val="both"/>
        <w:rPr>
          <w:rFonts w:ascii="Arial" w:hAnsi="Arial" w:cs="Arial"/>
          <w:b/>
          <w:bCs/>
        </w:rPr>
      </w:pPr>
      <w:r w:rsidRPr="00CA788F">
        <w:rPr>
          <w:rFonts w:ascii="Arial" w:hAnsi="Arial" w:cs="Arial"/>
          <w:b/>
          <w:bCs/>
        </w:rPr>
        <w:t>Data Preprocessing</w:t>
      </w:r>
    </w:p>
    <w:p w14:paraId="6EA48D2E" w14:textId="77777777" w:rsidR="00CA788F" w:rsidRPr="00CA788F" w:rsidRDefault="00CA788F" w:rsidP="00CA788F">
      <w:pPr>
        <w:pStyle w:val="ListParagraph"/>
        <w:spacing w:line="276" w:lineRule="auto"/>
        <w:ind w:left="1080" w:firstLine="0"/>
        <w:jc w:val="both"/>
        <w:rPr>
          <w:rFonts w:ascii="Arial" w:hAnsi="Arial" w:cs="Arial"/>
          <w:b/>
          <w:bCs/>
        </w:rPr>
      </w:pPr>
    </w:p>
    <w:p w14:paraId="7C41F416" w14:textId="7FE31641" w:rsidR="00172E26" w:rsidRDefault="00C849D3" w:rsidP="00E7024A">
      <w:pPr>
        <w:spacing w:line="276" w:lineRule="auto"/>
        <w:ind w:left="0" w:firstLine="0"/>
        <w:jc w:val="both"/>
        <w:rPr>
          <w:rFonts w:ascii="Arial" w:hAnsi="Arial" w:cs="Arial"/>
        </w:rPr>
      </w:pPr>
      <w:r w:rsidRPr="00C849D3">
        <w:rPr>
          <w:rFonts w:ascii="Arial" w:hAnsi="Arial" w:cs="Arial"/>
        </w:rPr>
        <w:t>Given the heterogeneity of reporting structures across datasets, several preprocessing steps were undertaken to ensure analytical consistency:</w:t>
      </w:r>
    </w:p>
    <w:p w14:paraId="60243345" w14:textId="072F6C67" w:rsidR="00B52D69" w:rsidRPr="008046E9" w:rsidRDefault="00B52D69" w:rsidP="008712ED">
      <w:pPr>
        <w:spacing w:line="276" w:lineRule="auto"/>
        <w:ind w:left="0" w:firstLine="0"/>
        <w:jc w:val="both"/>
        <w:rPr>
          <w:rFonts w:ascii="Arial" w:hAnsi="Arial" w:cs="Arial"/>
          <w:b/>
          <w:bCs/>
        </w:rPr>
      </w:pPr>
    </w:p>
    <w:p w14:paraId="3265E5AA" w14:textId="611D9207" w:rsidR="00F8273B" w:rsidRPr="00F8273B" w:rsidRDefault="00F8273B" w:rsidP="00F8273B">
      <w:pPr>
        <w:numPr>
          <w:ilvl w:val="0"/>
          <w:numId w:val="7"/>
        </w:numPr>
        <w:spacing w:line="276" w:lineRule="auto"/>
        <w:jc w:val="both"/>
        <w:rPr>
          <w:rFonts w:ascii="Arial" w:hAnsi="Arial" w:cs="Arial"/>
          <w:b/>
          <w:bCs/>
        </w:rPr>
      </w:pPr>
      <w:r w:rsidRPr="00F8273B">
        <w:rPr>
          <w:rFonts w:ascii="Arial" w:hAnsi="Arial" w:cs="Arial"/>
          <w:b/>
          <w:bCs/>
        </w:rPr>
        <w:t>Data Integration:</w:t>
      </w:r>
      <w:r>
        <w:rPr>
          <w:rFonts w:ascii="Arial" w:hAnsi="Arial" w:cs="Arial"/>
          <w:b/>
          <w:bCs/>
        </w:rPr>
        <w:t xml:space="preserve"> </w:t>
      </w:r>
      <w:r w:rsidRPr="00F8273B">
        <w:rPr>
          <w:rFonts w:ascii="Arial" w:hAnsi="Arial" w:cs="Arial"/>
        </w:rPr>
        <w:t>Data from the UK Home Office and the Office for National Statistics were combined by aligning common variables such as industry and occupation. This enabled comparison across visa grants, salary data, and employment patterns.</w:t>
      </w:r>
    </w:p>
    <w:p w14:paraId="4C65D66E" w14:textId="0B3784FB" w:rsidR="00F8273B" w:rsidRPr="00F8273B" w:rsidRDefault="00F8273B" w:rsidP="00F8273B">
      <w:pPr>
        <w:numPr>
          <w:ilvl w:val="0"/>
          <w:numId w:val="7"/>
        </w:numPr>
        <w:spacing w:line="276" w:lineRule="auto"/>
        <w:jc w:val="both"/>
        <w:rPr>
          <w:rFonts w:ascii="Arial" w:hAnsi="Arial" w:cs="Arial"/>
          <w:b/>
          <w:bCs/>
        </w:rPr>
      </w:pPr>
      <w:r w:rsidRPr="00F8273B">
        <w:rPr>
          <w:rFonts w:ascii="Arial" w:hAnsi="Arial" w:cs="Arial"/>
          <w:b/>
          <w:bCs/>
        </w:rPr>
        <w:t>Occupational Classification:</w:t>
      </w:r>
      <w:r>
        <w:rPr>
          <w:rFonts w:ascii="Arial" w:hAnsi="Arial" w:cs="Arial"/>
          <w:b/>
          <w:bCs/>
        </w:rPr>
        <w:t xml:space="preserve"> </w:t>
      </w:r>
      <w:r w:rsidRPr="00F8273B">
        <w:rPr>
          <w:rFonts w:ascii="Arial" w:hAnsi="Arial" w:cs="Arial"/>
        </w:rPr>
        <w:t>Occupational data was analysed using the SOC 2020 framework, ensuring consistency in how occupations are defined within the dataset.</w:t>
      </w:r>
    </w:p>
    <w:p w14:paraId="25952370" w14:textId="2451F035" w:rsidR="00F8273B" w:rsidRPr="00F8273B" w:rsidRDefault="00F8273B" w:rsidP="00F8273B">
      <w:pPr>
        <w:numPr>
          <w:ilvl w:val="0"/>
          <w:numId w:val="7"/>
        </w:numPr>
        <w:spacing w:line="276" w:lineRule="auto"/>
        <w:jc w:val="both"/>
        <w:rPr>
          <w:rFonts w:ascii="Arial" w:hAnsi="Arial" w:cs="Arial"/>
          <w:b/>
          <w:bCs/>
        </w:rPr>
      </w:pPr>
      <w:r w:rsidRPr="00F8273B">
        <w:rPr>
          <w:rFonts w:ascii="Arial" w:hAnsi="Arial" w:cs="Arial"/>
          <w:b/>
          <w:bCs/>
        </w:rPr>
        <w:t>Data Filtering:</w:t>
      </w:r>
      <w:r>
        <w:rPr>
          <w:rFonts w:ascii="Arial" w:hAnsi="Arial" w:cs="Arial"/>
          <w:b/>
          <w:bCs/>
        </w:rPr>
        <w:t xml:space="preserve"> </w:t>
      </w:r>
      <w:r w:rsidRPr="00F8273B">
        <w:rPr>
          <w:rFonts w:ascii="Arial" w:hAnsi="Arial" w:cs="Arial"/>
        </w:rPr>
        <w:t>The dataset was filtered to focus on early-career roles and the “New Entrant” category, in order to better represent the international graduate population.</w:t>
      </w:r>
    </w:p>
    <w:p w14:paraId="1295FC1A" w14:textId="0EF49726" w:rsidR="00F8273B" w:rsidRPr="00F8273B" w:rsidRDefault="00F8273B" w:rsidP="00F8273B">
      <w:pPr>
        <w:numPr>
          <w:ilvl w:val="0"/>
          <w:numId w:val="7"/>
        </w:numPr>
        <w:spacing w:line="276" w:lineRule="auto"/>
        <w:jc w:val="both"/>
        <w:rPr>
          <w:rFonts w:ascii="Arial" w:hAnsi="Arial" w:cs="Arial"/>
          <w:b/>
          <w:bCs/>
        </w:rPr>
      </w:pPr>
      <w:r w:rsidRPr="00F8273B">
        <w:rPr>
          <w:rFonts w:ascii="Arial" w:hAnsi="Arial" w:cs="Arial"/>
          <w:b/>
          <w:bCs/>
        </w:rPr>
        <w:t>Category Grouping:</w:t>
      </w:r>
      <w:r>
        <w:rPr>
          <w:rFonts w:ascii="Arial" w:hAnsi="Arial" w:cs="Arial"/>
          <w:b/>
          <w:bCs/>
        </w:rPr>
        <w:t xml:space="preserve"> </w:t>
      </w:r>
      <w:r w:rsidRPr="00F8273B">
        <w:rPr>
          <w:rFonts w:ascii="Arial" w:hAnsi="Arial" w:cs="Arial"/>
        </w:rPr>
        <w:t>Detailed occupational and industry categories were grouped into broader sectors to support clearer comparison across industries.</w:t>
      </w:r>
    </w:p>
    <w:p w14:paraId="650BD376" w14:textId="4646C6CC" w:rsidR="00CA788F" w:rsidRPr="008712ED" w:rsidRDefault="00F8273B" w:rsidP="00F8273B">
      <w:pPr>
        <w:numPr>
          <w:ilvl w:val="0"/>
          <w:numId w:val="7"/>
        </w:numPr>
        <w:spacing w:line="276" w:lineRule="auto"/>
        <w:jc w:val="both"/>
        <w:rPr>
          <w:rFonts w:ascii="Arial" w:hAnsi="Arial" w:cs="Arial"/>
          <w:b/>
          <w:bCs/>
        </w:rPr>
      </w:pPr>
      <w:r w:rsidRPr="00F8273B">
        <w:rPr>
          <w:rFonts w:ascii="Arial" w:hAnsi="Arial" w:cs="Arial"/>
          <w:b/>
          <w:bCs/>
        </w:rPr>
        <w:t>Trend Data Selection:</w:t>
      </w:r>
      <w:r>
        <w:rPr>
          <w:rFonts w:ascii="Arial" w:hAnsi="Arial" w:cs="Arial"/>
          <w:b/>
          <w:bCs/>
        </w:rPr>
        <w:t xml:space="preserve"> </w:t>
      </w:r>
      <w:r w:rsidRPr="00F8273B">
        <w:rPr>
          <w:rFonts w:ascii="Arial" w:hAnsi="Arial" w:cs="Arial"/>
        </w:rPr>
        <w:t>Aggregate visa grant data from 2021–2025 was used to examine overall trends in Skilled Worker visa numbers over time.</w:t>
      </w:r>
    </w:p>
    <w:p w14:paraId="54975F40" w14:textId="77777777" w:rsidR="008712ED" w:rsidRPr="00F8273B" w:rsidRDefault="008712ED" w:rsidP="008712ED">
      <w:pPr>
        <w:spacing w:line="276" w:lineRule="auto"/>
        <w:ind w:left="0" w:firstLine="0"/>
        <w:jc w:val="both"/>
        <w:rPr>
          <w:rFonts w:ascii="Arial" w:hAnsi="Arial" w:cs="Arial"/>
          <w:b/>
          <w:bCs/>
        </w:rPr>
      </w:pPr>
    </w:p>
    <w:p w14:paraId="2BC0BBF7" w14:textId="6638F1EE" w:rsidR="005D7CC2" w:rsidRPr="00CA788F" w:rsidRDefault="005D7CC2" w:rsidP="00CA788F">
      <w:pPr>
        <w:pStyle w:val="ListParagraph"/>
        <w:numPr>
          <w:ilvl w:val="1"/>
          <w:numId w:val="2"/>
        </w:numPr>
        <w:spacing w:line="276" w:lineRule="auto"/>
        <w:jc w:val="both"/>
        <w:rPr>
          <w:rFonts w:ascii="Arial" w:hAnsi="Arial" w:cs="Arial"/>
          <w:b/>
          <w:bCs/>
        </w:rPr>
      </w:pPr>
      <w:r w:rsidRPr="00CA788F">
        <w:rPr>
          <w:rFonts w:ascii="Arial" w:hAnsi="Arial" w:cs="Arial"/>
          <w:b/>
          <w:bCs/>
        </w:rPr>
        <w:t>Methodological Framework</w:t>
      </w:r>
    </w:p>
    <w:p w14:paraId="7BF37EEA" w14:textId="77777777" w:rsidR="005D7CC2" w:rsidRPr="005D7CC2" w:rsidRDefault="005D7CC2" w:rsidP="005D7CC2">
      <w:pPr>
        <w:spacing w:line="276" w:lineRule="auto"/>
        <w:ind w:left="0" w:firstLine="0"/>
        <w:jc w:val="both"/>
        <w:rPr>
          <w:rFonts w:ascii="Arial" w:hAnsi="Arial" w:cs="Arial"/>
          <w:b/>
          <w:bCs/>
        </w:rPr>
      </w:pPr>
    </w:p>
    <w:p w14:paraId="1BF7BF9C" w14:textId="7446D838" w:rsidR="005D7CC2" w:rsidRDefault="00295342" w:rsidP="005D7CC2">
      <w:pPr>
        <w:spacing w:line="276" w:lineRule="auto"/>
        <w:ind w:left="0" w:firstLine="0"/>
        <w:jc w:val="both"/>
        <w:rPr>
          <w:rFonts w:ascii="Arial" w:hAnsi="Arial" w:cs="Arial"/>
        </w:rPr>
      </w:pPr>
      <w:r w:rsidRPr="00295342">
        <w:rPr>
          <w:rFonts w:ascii="Arial" w:hAnsi="Arial" w:cs="Arial"/>
        </w:rPr>
        <w:t>The analysis adopts a quantitative, comparative framework structured around three interrelated dimensions:</w:t>
      </w:r>
    </w:p>
    <w:p w14:paraId="608330D8" w14:textId="77777777" w:rsidR="00295342" w:rsidRPr="005D7CC2" w:rsidRDefault="00295342" w:rsidP="005D7CC2">
      <w:pPr>
        <w:spacing w:line="276" w:lineRule="auto"/>
        <w:ind w:left="0" w:firstLine="0"/>
        <w:jc w:val="both"/>
        <w:rPr>
          <w:rFonts w:ascii="Arial" w:hAnsi="Arial" w:cs="Arial"/>
        </w:rPr>
      </w:pPr>
    </w:p>
    <w:p w14:paraId="0A7E8516" w14:textId="77777777" w:rsidR="005D7CC2" w:rsidRPr="005D7CC2" w:rsidRDefault="005D7CC2" w:rsidP="005D7CC2">
      <w:pPr>
        <w:numPr>
          <w:ilvl w:val="0"/>
          <w:numId w:val="7"/>
        </w:numPr>
        <w:spacing w:line="276" w:lineRule="auto"/>
        <w:jc w:val="both"/>
        <w:rPr>
          <w:rFonts w:ascii="Arial" w:hAnsi="Arial" w:cs="Arial"/>
        </w:rPr>
      </w:pPr>
      <w:r w:rsidRPr="005D7CC2">
        <w:rPr>
          <w:rFonts w:ascii="Arial" w:hAnsi="Arial" w:cs="Arial"/>
          <w:b/>
          <w:bCs/>
        </w:rPr>
        <w:t xml:space="preserve">Salary Benchmarking: </w:t>
      </w:r>
      <w:r w:rsidRPr="005D7CC2">
        <w:rPr>
          <w:rFonts w:ascii="Arial" w:hAnsi="Arial" w:cs="Arial"/>
        </w:rPr>
        <w:t>Graduate earnings are evaluated against the New Entrant threshold (£33,400) to measure the "salary gap" across different industries.</w:t>
      </w:r>
    </w:p>
    <w:p w14:paraId="32C4666C" w14:textId="51040576" w:rsidR="005D7CC2" w:rsidRPr="005D7CC2" w:rsidRDefault="005D7CC2" w:rsidP="005D7CC2">
      <w:pPr>
        <w:numPr>
          <w:ilvl w:val="0"/>
          <w:numId w:val="7"/>
        </w:numPr>
        <w:spacing w:line="276" w:lineRule="auto"/>
        <w:jc w:val="both"/>
        <w:rPr>
          <w:rFonts w:ascii="Arial" w:hAnsi="Arial" w:cs="Arial"/>
        </w:rPr>
      </w:pPr>
      <w:r w:rsidRPr="005D7CC2">
        <w:rPr>
          <w:rFonts w:ascii="Arial" w:hAnsi="Arial" w:cs="Arial"/>
          <w:b/>
          <w:bCs/>
        </w:rPr>
        <w:t>Skill-Level Categorization:</w:t>
      </w:r>
      <w:r>
        <w:rPr>
          <w:rFonts w:ascii="Arial" w:hAnsi="Arial" w:cs="Arial"/>
          <w:b/>
          <w:bCs/>
        </w:rPr>
        <w:t xml:space="preserve"> </w:t>
      </w:r>
      <w:r w:rsidRPr="005D7CC2">
        <w:rPr>
          <w:rFonts w:ascii="Arial" w:hAnsi="Arial" w:cs="Arial"/>
        </w:rPr>
        <w:t>Using the SOC 2020 framework, occupations are grouped by RQF levels (Higher-skilled 6+, Medium-skilled 3–5, and Low-skilled &lt;3) to assess how skill requirements intersect with entry-level roles.</w:t>
      </w:r>
    </w:p>
    <w:p w14:paraId="339A1760" w14:textId="77777777" w:rsidR="005D7CC2" w:rsidRDefault="005D7CC2" w:rsidP="005D7CC2">
      <w:pPr>
        <w:numPr>
          <w:ilvl w:val="0"/>
          <w:numId w:val="7"/>
        </w:numPr>
        <w:spacing w:line="276" w:lineRule="auto"/>
        <w:jc w:val="both"/>
        <w:rPr>
          <w:rFonts w:ascii="Arial" w:hAnsi="Arial" w:cs="Arial"/>
        </w:rPr>
      </w:pPr>
      <w:r w:rsidRPr="005D7CC2">
        <w:rPr>
          <w:rFonts w:ascii="Arial" w:hAnsi="Arial" w:cs="Arial"/>
          <w:b/>
          <w:bCs/>
        </w:rPr>
        <w:t xml:space="preserve">Sectoral Mapping: </w:t>
      </w:r>
      <w:r w:rsidRPr="005D7CC2">
        <w:rPr>
          <w:rFonts w:ascii="Arial" w:hAnsi="Arial" w:cs="Arial"/>
        </w:rPr>
        <w:t>The distribution of visa grants is compared against graduate employment density to identify areas of alignment or mismatch between labour market reality and policy requirements.</w:t>
      </w:r>
    </w:p>
    <w:p w14:paraId="4EA6CB23" w14:textId="77777777" w:rsidR="005D7CC2" w:rsidRPr="005D7CC2" w:rsidRDefault="005D7CC2" w:rsidP="005D7CC2">
      <w:pPr>
        <w:spacing w:line="276" w:lineRule="auto"/>
        <w:jc w:val="both"/>
        <w:rPr>
          <w:rFonts w:ascii="Arial" w:hAnsi="Arial" w:cs="Arial"/>
        </w:rPr>
      </w:pPr>
    </w:p>
    <w:p w14:paraId="397F850F" w14:textId="77777777" w:rsidR="005D7CC2" w:rsidRPr="005D7CC2" w:rsidRDefault="005D7CC2" w:rsidP="005D7CC2">
      <w:pPr>
        <w:spacing w:line="276" w:lineRule="auto"/>
        <w:ind w:left="0" w:firstLine="0"/>
        <w:jc w:val="both"/>
        <w:rPr>
          <w:rFonts w:ascii="Arial" w:hAnsi="Arial" w:cs="Arial"/>
        </w:rPr>
      </w:pPr>
      <w:r w:rsidRPr="005D7CC2">
        <w:rPr>
          <w:rFonts w:ascii="Arial" w:hAnsi="Arial" w:cs="Arial"/>
        </w:rPr>
        <w:t>By integrating these dimensions, the analysis moves beyond isolated data points to highlight the broader systemic barriers shaping access to sponsorship.</w:t>
      </w:r>
    </w:p>
    <w:p w14:paraId="29DD7C79" w14:textId="77777777" w:rsidR="002F43AF" w:rsidRPr="00E7024A" w:rsidRDefault="002F43AF" w:rsidP="00E7024A">
      <w:pPr>
        <w:spacing w:line="276" w:lineRule="auto"/>
        <w:ind w:left="0" w:firstLine="0"/>
        <w:jc w:val="both"/>
        <w:rPr>
          <w:rFonts w:ascii="Arial" w:hAnsi="Arial" w:cs="Arial"/>
        </w:rPr>
      </w:pPr>
    </w:p>
    <w:p w14:paraId="7AD7F69C" w14:textId="1C53CA4B" w:rsidR="00060039" w:rsidRPr="00E7024A" w:rsidRDefault="00060039" w:rsidP="00E7024A">
      <w:pPr>
        <w:pStyle w:val="ListParagraph"/>
        <w:numPr>
          <w:ilvl w:val="1"/>
          <w:numId w:val="2"/>
        </w:numPr>
        <w:spacing w:line="276" w:lineRule="auto"/>
        <w:jc w:val="both"/>
        <w:rPr>
          <w:rFonts w:ascii="Arial" w:hAnsi="Arial" w:cs="Arial"/>
          <w:b/>
          <w:bCs/>
        </w:rPr>
      </w:pPr>
      <w:r w:rsidRPr="00E7024A">
        <w:rPr>
          <w:rFonts w:ascii="Arial" w:hAnsi="Arial" w:cs="Arial"/>
          <w:b/>
          <w:bCs/>
        </w:rPr>
        <w:t>Limitations</w:t>
      </w:r>
    </w:p>
    <w:p w14:paraId="497D8405" w14:textId="77777777" w:rsidR="00060039" w:rsidRPr="00E7024A" w:rsidRDefault="00060039" w:rsidP="00E7024A">
      <w:pPr>
        <w:spacing w:line="276" w:lineRule="auto"/>
        <w:ind w:left="0" w:firstLine="0"/>
        <w:jc w:val="both"/>
        <w:rPr>
          <w:rFonts w:ascii="Arial" w:hAnsi="Arial" w:cs="Arial"/>
        </w:rPr>
      </w:pPr>
    </w:p>
    <w:p w14:paraId="56726672" w14:textId="5FCA3056" w:rsidR="0082482B" w:rsidRDefault="00060039" w:rsidP="00E7024A">
      <w:pPr>
        <w:spacing w:line="276" w:lineRule="auto"/>
        <w:ind w:left="0" w:firstLine="0"/>
        <w:jc w:val="both"/>
        <w:rPr>
          <w:rFonts w:ascii="Arial" w:hAnsi="Arial" w:cs="Arial"/>
        </w:rPr>
      </w:pPr>
      <w:r w:rsidRPr="00E7024A">
        <w:rPr>
          <w:rFonts w:ascii="Arial" w:hAnsi="Arial" w:cs="Arial"/>
        </w:rPr>
        <w:t xml:space="preserve">The analysis relies on aggregate administrative data, which does not capture individual nuances or regional pay variations (e.g., London vs. regional UK). Furthermore, </w:t>
      </w:r>
      <w:r w:rsidR="00F42472" w:rsidRPr="00F42472">
        <w:rPr>
          <w:rFonts w:ascii="Arial" w:hAnsi="Arial" w:cs="Arial"/>
        </w:rPr>
        <w:t>the study focuses on the Skilled Worker route and does not consider alternative migration pathways (e.g., High Potential Individual or Global Talent visas), which may partially offset barriers identified here.</w:t>
      </w:r>
    </w:p>
    <w:p w14:paraId="5B7DBA87" w14:textId="77777777" w:rsidR="0051769A" w:rsidRDefault="0051769A" w:rsidP="00E7024A">
      <w:pPr>
        <w:spacing w:line="276" w:lineRule="auto"/>
        <w:ind w:left="0" w:firstLine="0"/>
        <w:jc w:val="both"/>
        <w:rPr>
          <w:rFonts w:ascii="Arial" w:hAnsi="Arial" w:cs="Arial"/>
          <w:b/>
          <w:bCs/>
          <w:u w:val="single"/>
        </w:rPr>
      </w:pPr>
    </w:p>
    <w:p w14:paraId="29D7633D" w14:textId="77777777" w:rsidR="00CA788F" w:rsidRPr="00E7024A" w:rsidRDefault="00CA788F" w:rsidP="00E7024A">
      <w:pPr>
        <w:spacing w:line="276" w:lineRule="auto"/>
        <w:ind w:left="0" w:firstLine="0"/>
        <w:jc w:val="both"/>
        <w:rPr>
          <w:rFonts w:ascii="Arial" w:hAnsi="Arial" w:cs="Arial"/>
          <w:b/>
          <w:bCs/>
          <w:u w:val="single"/>
        </w:rPr>
      </w:pPr>
    </w:p>
    <w:p w14:paraId="7DD107D1" w14:textId="3CFCF0C5" w:rsidR="0082482B" w:rsidRPr="00907C17" w:rsidRDefault="0069302E" w:rsidP="00CA788F">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t>Analysis</w:t>
      </w:r>
    </w:p>
    <w:p w14:paraId="5725C60D" w14:textId="77777777" w:rsidR="00A540B2" w:rsidRPr="00E7024A" w:rsidRDefault="00A540B2" w:rsidP="00E7024A">
      <w:pPr>
        <w:spacing w:line="276" w:lineRule="auto"/>
        <w:ind w:left="0" w:firstLine="0"/>
        <w:jc w:val="both"/>
        <w:rPr>
          <w:rFonts w:ascii="Arial" w:hAnsi="Arial" w:cs="Arial"/>
          <w:b/>
          <w:bCs/>
        </w:rPr>
      </w:pPr>
    </w:p>
    <w:p w14:paraId="5F2BB491" w14:textId="79C4BE95" w:rsidR="00A540B2" w:rsidRPr="00E7024A" w:rsidRDefault="00A540B2" w:rsidP="00E7024A">
      <w:pPr>
        <w:pStyle w:val="ListParagraph"/>
        <w:numPr>
          <w:ilvl w:val="1"/>
          <w:numId w:val="2"/>
        </w:numPr>
        <w:spacing w:line="276" w:lineRule="auto"/>
        <w:jc w:val="both"/>
        <w:rPr>
          <w:rFonts w:ascii="Arial" w:hAnsi="Arial" w:cs="Arial"/>
          <w:b/>
          <w:bCs/>
        </w:rPr>
      </w:pPr>
      <w:r w:rsidRPr="00E7024A">
        <w:rPr>
          <w:rFonts w:ascii="Arial" w:hAnsi="Arial" w:cs="Arial"/>
          <w:b/>
          <w:bCs/>
        </w:rPr>
        <w:t>Salary Threshold Constraints</w:t>
      </w:r>
    </w:p>
    <w:p w14:paraId="2ABB0255" w14:textId="77777777" w:rsidR="00A540B2" w:rsidRPr="00E7024A" w:rsidRDefault="00A540B2" w:rsidP="00E7024A">
      <w:pPr>
        <w:spacing w:line="276" w:lineRule="auto"/>
        <w:ind w:left="0" w:firstLine="0"/>
        <w:jc w:val="both"/>
        <w:rPr>
          <w:rFonts w:ascii="Arial" w:hAnsi="Arial" w:cs="Arial"/>
        </w:rPr>
      </w:pPr>
    </w:p>
    <w:p w14:paraId="635540AE" w14:textId="674415D1" w:rsidR="003D00E3" w:rsidRPr="00E7024A" w:rsidRDefault="00A540B2" w:rsidP="00E7024A">
      <w:pPr>
        <w:spacing w:line="276" w:lineRule="auto"/>
        <w:ind w:left="0" w:firstLine="0"/>
        <w:jc w:val="both"/>
        <w:rPr>
          <w:rFonts w:ascii="Arial" w:hAnsi="Arial" w:cs="Arial"/>
        </w:rPr>
      </w:pPr>
      <w:r w:rsidRPr="00E7024A">
        <w:rPr>
          <w:rFonts w:ascii="Arial" w:hAnsi="Arial" w:cs="Arial"/>
        </w:rPr>
        <w:t>Analysis of graduate salaries across industries shows that five out of nine sectors have median salaries above the New Entrant Skilled Worker visa threshold of £33,400</w:t>
      </w:r>
      <w:r w:rsidR="009A771C" w:rsidRPr="00E7024A">
        <w:rPr>
          <w:rFonts w:ascii="Arial" w:hAnsi="Arial" w:cs="Arial"/>
        </w:rPr>
        <w:t xml:space="preserve"> (see </w:t>
      </w:r>
      <w:r w:rsidR="009A771C" w:rsidRPr="00E7024A">
        <w:rPr>
          <w:rFonts w:ascii="Arial" w:hAnsi="Arial" w:cs="Arial"/>
          <w:b/>
          <w:bCs/>
        </w:rPr>
        <w:t>Figure 1</w:t>
      </w:r>
      <w:r w:rsidR="009A771C" w:rsidRPr="00E7024A">
        <w:rPr>
          <w:rFonts w:ascii="Arial" w:hAnsi="Arial" w:cs="Arial"/>
        </w:rPr>
        <w:t>)</w:t>
      </w:r>
      <w:r w:rsidRPr="00E7024A">
        <w:rPr>
          <w:rFonts w:ascii="Arial" w:hAnsi="Arial" w:cs="Arial"/>
        </w:rPr>
        <w:t xml:space="preserve">. However, in </w:t>
      </w:r>
      <w:r w:rsidR="003D6B5E" w:rsidRPr="00E7024A">
        <w:rPr>
          <w:rFonts w:ascii="Arial" w:hAnsi="Arial" w:cs="Arial"/>
        </w:rPr>
        <w:t>those five</w:t>
      </w:r>
      <w:r w:rsidRPr="00E7024A">
        <w:rPr>
          <w:rFonts w:ascii="Arial" w:hAnsi="Arial" w:cs="Arial"/>
        </w:rPr>
        <w:t xml:space="preserve"> sectors, salaries exceed the threshold only marginally</w:t>
      </w:r>
      <w:r w:rsidR="00C93AE9">
        <w:rPr>
          <w:rFonts w:ascii="Arial" w:hAnsi="Arial" w:cs="Arial"/>
        </w:rPr>
        <w:t xml:space="preserve">, </w:t>
      </w:r>
      <w:r w:rsidRPr="00E7024A">
        <w:rPr>
          <w:rFonts w:ascii="Arial" w:hAnsi="Arial" w:cs="Arial"/>
        </w:rPr>
        <w:t>typically by £1,600 to £2,600</w:t>
      </w:r>
      <w:r w:rsidR="00C93AE9">
        <w:rPr>
          <w:rFonts w:ascii="Arial" w:hAnsi="Arial" w:cs="Arial"/>
        </w:rPr>
        <w:t xml:space="preserve">. This indicates </w:t>
      </w:r>
      <w:r w:rsidRPr="00E7024A">
        <w:rPr>
          <w:rFonts w:ascii="Arial" w:hAnsi="Arial" w:cs="Arial"/>
        </w:rPr>
        <w:t>that many entry-level roles operate close to the minimum eligibility requirement.</w:t>
      </w:r>
      <w:r w:rsidR="00693BB9" w:rsidRPr="00E7024A">
        <w:rPr>
          <w:rFonts w:ascii="Arial" w:hAnsi="Arial" w:cs="Arial"/>
        </w:rPr>
        <w:t xml:space="preserve"> </w:t>
      </w:r>
      <w:r w:rsidR="00BE1517" w:rsidRPr="00BE1517">
        <w:rPr>
          <w:rFonts w:ascii="Arial" w:hAnsi="Arial" w:cs="Arial"/>
        </w:rPr>
        <w:t>This narrow margin creates a distributional constraint. Even where median salaries exceed the threshold, wage dispersion implies that a substantial proportion of graduates remain below the eligibility cutoff. As a result, eligibility operates as a cliff-edge condition, where small differences in pay determine access to sponsorship.</w:t>
      </w:r>
    </w:p>
    <w:p w14:paraId="6AC42377" w14:textId="77777777" w:rsidR="00693BB9" w:rsidRPr="00E7024A" w:rsidRDefault="00693BB9" w:rsidP="00E7024A">
      <w:pPr>
        <w:spacing w:line="276" w:lineRule="auto"/>
        <w:ind w:left="0" w:firstLine="0"/>
        <w:jc w:val="both"/>
        <w:rPr>
          <w:rFonts w:ascii="Arial" w:hAnsi="Arial" w:cs="Arial"/>
        </w:rPr>
      </w:pPr>
    </w:p>
    <w:p w14:paraId="589F5031" w14:textId="77777777" w:rsidR="003D00E3" w:rsidRPr="00E7024A" w:rsidRDefault="00AD4FCB" w:rsidP="00E7024A">
      <w:pPr>
        <w:spacing w:line="276" w:lineRule="auto"/>
        <w:ind w:left="0" w:firstLine="0"/>
        <w:jc w:val="both"/>
        <w:rPr>
          <w:rFonts w:ascii="Arial" w:hAnsi="Arial" w:cs="Arial"/>
        </w:rPr>
      </w:pPr>
      <w:r w:rsidRPr="00E7024A">
        <w:rPr>
          <w:rFonts w:ascii="Arial" w:hAnsi="Arial" w:cs="Arial"/>
          <w:noProof/>
        </w:rPr>
        <w:drawing>
          <wp:inline distT="0" distB="0" distL="0" distR="0" wp14:anchorId="315912FA" wp14:editId="1B0853D2">
            <wp:extent cx="5729176" cy="3081866"/>
            <wp:effectExtent l="0" t="0" r="5080" b="4445"/>
            <wp:docPr id="174076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68641" name=""/>
                    <pic:cNvPicPr/>
                  </pic:nvPicPr>
                  <pic:blipFill rotWithShape="1">
                    <a:blip r:embed="rId7"/>
                    <a:srcRect l="2384" t="6833"/>
                    <a:stretch>
                      <a:fillRect/>
                    </a:stretch>
                  </pic:blipFill>
                  <pic:spPr bwMode="auto">
                    <a:xfrm>
                      <a:off x="0" y="0"/>
                      <a:ext cx="5741476" cy="3088482"/>
                    </a:xfrm>
                    <a:prstGeom prst="rect">
                      <a:avLst/>
                    </a:prstGeom>
                    <a:ln>
                      <a:noFill/>
                    </a:ln>
                    <a:extLst>
                      <a:ext uri="{53640926-AAD7-44D8-BBD7-CCE9431645EC}">
                        <a14:shadowObscured xmlns:a14="http://schemas.microsoft.com/office/drawing/2010/main"/>
                      </a:ext>
                    </a:extLst>
                  </pic:spPr>
                </pic:pic>
              </a:graphicData>
            </a:graphic>
          </wp:inline>
        </w:drawing>
      </w:r>
    </w:p>
    <w:p w14:paraId="72D440BD" w14:textId="77777777" w:rsidR="00AD4FCB" w:rsidRPr="00E7024A" w:rsidRDefault="00AD4FCB" w:rsidP="00E7024A">
      <w:pPr>
        <w:spacing w:line="276" w:lineRule="auto"/>
        <w:ind w:left="0" w:firstLine="0"/>
        <w:jc w:val="both"/>
        <w:rPr>
          <w:rFonts w:ascii="Arial" w:hAnsi="Arial" w:cs="Arial"/>
          <w:sz w:val="16"/>
          <w:szCs w:val="16"/>
        </w:rPr>
      </w:pPr>
      <w:r w:rsidRPr="00E7024A">
        <w:rPr>
          <w:rFonts w:ascii="Arial" w:hAnsi="Arial" w:cs="Arial"/>
          <w:sz w:val="16"/>
          <w:szCs w:val="16"/>
        </w:rPr>
        <w:t>Fig. 1. Median Graduate Salaries (Ages 21–30) by Industry Compared to Sponsorship Threshold (2024)</w:t>
      </w:r>
    </w:p>
    <w:p w14:paraId="53C483CD" w14:textId="77777777" w:rsidR="00AD4FCB" w:rsidRPr="00E7024A" w:rsidRDefault="00AD4FCB" w:rsidP="00E7024A">
      <w:pPr>
        <w:spacing w:line="276" w:lineRule="auto"/>
        <w:ind w:left="0" w:firstLine="0"/>
        <w:jc w:val="both"/>
        <w:rPr>
          <w:rFonts w:ascii="Arial" w:hAnsi="Arial" w:cs="Arial"/>
          <w:sz w:val="16"/>
          <w:szCs w:val="16"/>
        </w:rPr>
      </w:pPr>
    </w:p>
    <w:p w14:paraId="3501341A" w14:textId="77777777" w:rsidR="00AD4FCB" w:rsidRPr="00E7024A" w:rsidRDefault="00AD4FCB" w:rsidP="00E7024A">
      <w:pPr>
        <w:spacing w:line="276" w:lineRule="auto"/>
        <w:ind w:left="0" w:firstLine="0"/>
        <w:jc w:val="both"/>
        <w:rPr>
          <w:rFonts w:ascii="Arial" w:hAnsi="Arial" w:cs="Arial"/>
        </w:rPr>
      </w:pPr>
    </w:p>
    <w:p w14:paraId="0A38A11D" w14:textId="77777777" w:rsidR="003D00E3" w:rsidRPr="00E7024A" w:rsidRDefault="003D00E3" w:rsidP="00E7024A">
      <w:pPr>
        <w:spacing w:line="276" w:lineRule="auto"/>
        <w:ind w:left="0" w:firstLine="0"/>
        <w:jc w:val="both"/>
        <w:rPr>
          <w:rFonts w:ascii="Arial" w:hAnsi="Arial" w:cs="Arial"/>
        </w:rPr>
      </w:pPr>
      <w:r w:rsidRPr="00E7024A">
        <w:rPr>
          <w:rFonts w:ascii="Arial" w:hAnsi="Arial" w:cs="Arial"/>
        </w:rPr>
        <w:t xml:space="preserve">In contrast, four out of nine sectors fall below the threshold, meaning that approximately 45% of the most common industries employing graduates do not meet the minimum salary </w:t>
      </w:r>
      <w:r w:rsidRPr="00E7024A">
        <w:rPr>
          <w:rFonts w:ascii="Arial" w:hAnsi="Arial" w:cs="Arial"/>
        </w:rPr>
        <w:lastRenderedPageBreak/>
        <w:t>requirement for visa eligibility. This suggests that a substantial proportion of graduates are concentrated in sectors where sponsorship is structurally difficult to achieve based on salary criteria alone.</w:t>
      </w:r>
    </w:p>
    <w:p w14:paraId="39899CF1" w14:textId="77777777" w:rsidR="003D00E3" w:rsidRPr="00E7024A" w:rsidRDefault="003D00E3" w:rsidP="00E7024A">
      <w:pPr>
        <w:spacing w:line="276" w:lineRule="auto"/>
        <w:ind w:left="0" w:firstLine="0"/>
        <w:jc w:val="both"/>
        <w:rPr>
          <w:rFonts w:ascii="Arial" w:hAnsi="Arial" w:cs="Arial"/>
        </w:rPr>
      </w:pPr>
    </w:p>
    <w:p w14:paraId="6F56A75C" w14:textId="77777777" w:rsidR="00A540B2" w:rsidRPr="00E7024A" w:rsidRDefault="003D00E3" w:rsidP="00E7024A">
      <w:pPr>
        <w:spacing w:line="276" w:lineRule="auto"/>
        <w:ind w:left="0" w:firstLine="0"/>
        <w:jc w:val="both"/>
        <w:rPr>
          <w:rFonts w:ascii="Arial" w:hAnsi="Arial" w:cs="Arial"/>
        </w:rPr>
      </w:pPr>
      <w:r w:rsidRPr="00E7024A">
        <w:rPr>
          <w:rFonts w:ascii="Arial" w:hAnsi="Arial" w:cs="Arial"/>
        </w:rPr>
        <w:t>At the aggregate level, the overall median salary for graduates aged 21–30 is £33,250, which falls slightly below the threshold. This reinforces the finding that graduate-level pay is closely aligned with entry-level labour market conditions rather than immigration policy requirements, leaving many graduates just below the level required for Skilled Worker sponsorship.</w:t>
      </w:r>
    </w:p>
    <w:p w14:paraId="6A5F5E25" w14:textId="77777777" w:rsidR="00A540B2" w:rsidRPr="00E7024A" w:rsidRDefault="00A540B2" w:rsidP="00E7024A">
      <w:pPr>
        <w:spacing w:line="276" w:lineRule="auto"/>
        <w:ind w:left="0" w:firstLine="0"/>
        <w:jc w:val="both"/>
        <w:rPr>
          <w:rFonts w:ascii="Arial" w:hAnsi="Arial" w:cs="Arial"/>
          <w:sz w:val="24"/>
          <w:szCs w:val="24"/>
        </w:rPr>
      </w:pPr>
    </w:p>
    <w:p w14:paraId="67AB96AB" w14:textId="77777777" w:rsidR="00801152" w:rsidRPr="00E7024A" w:rsidRDefault="00801152" w:rsidP="00E7024A">
      <w:pPr>
        <w:spacing w:line="276" w:lineRule="auto"/>
        <w:ind w:left="0" w:firstLine="0"/>
        <w:jc w:val="both"/>
        <w:rPr>
          <w:rFonts w:ascii="Arial" w:hAnsi="Arial" w:cs="Arial"/>
          <w:sz w:val="24"/>
          <w:szCs w:val="24"/>
        </w:rPr>
      </w:pPr>
    </w:p>
    <w:p w14:paraId="3CC0072C" w14:textId="5F00CDD0" w:rsidR="00A540B2" w:rsidRPr="00E7024A" w:rsidRDefault="00A540B2" w:rsidP="00E7024A">
      <w:pPr>
        <w:pStyle w:val="ListParagraph"/>
        <w:numPr>
          <w:ilvl w:val="1"/>
          <w:numId w:val="2"/>
        </w:numPr>
        <w:spacing w:line="276" w:lineRule="auto"/>
        <w:jc w:val="both"/>
        <w:rPr>
          <w:rFonts w:ascii="Arial" w:hAnsi="Arial" w:cs="Arial"/>
          <w:b/>
          <w:bCs/>
        </w:rPr>
      </w:pPr>
      <w:r w:rsidRPr="00E7024A">
        <w:rPr>
          <w:rFonts w:ascii="Arial" w:hAnsi="Arial" w:cs="Arial"/>
          <w:b/>
          <w:bCs/>
        </w:rPr>
        <w:t>Sectoral Distribution of Employment</w:t>
      </w:r>
    </w:p>
    <w:p w14:paraId="2DDFEFCA" w14:textId="77777777" w:rsidR="00A540B2" w:rsidRPr="00E7024A" w:rsidRDefault="00A540B2" w:rsidP="00E7024A">
      <w:pPr>
        <w:spacing w:line="276" w:lineRule="auto"/>
        <w:ind w:left="0" w:firstLine="0"/>
        <w:jc w:val="both"/>
        <w:rPr>
          <w:rFonts w:ascii="Arial" w:hAnsi="Arial" w:cs="Arial"/>
        </w:rPr>
      </w:pPr>
    </w:p>
    <w:p w14:paraId="02FED2D5" w14:textId="30B935B3" w:rsidR="0036670D" w:rsidRPr="00E7024A" w:rsidRDefault="00073FAE" w:rsidP="00E7024A">
      <w:pPr>
        <w:spacing w:line="276" w:lineRule="auto"/>
        <w:ind w:left="0" w:firstLine="0"/>
        <w:jc w:val="both"/>
        <w:rPr>
          <w:rFonts w:ascii="Arial" w:hAnsi="Arial" w:cs="Arial"/>
        </w:rPr>
      </w:pPr>
      <w:r w:rsidRPr="00073FAE">
        <w:rPr>
          <w:rFonts w:ascii="Arial" w:hAnsi="Arial" w:cs="Arial"/>
        </w:rPr>
        <w:t>Sectoral analysis reveals a clear divergence between where graduates work and where sponsorship is concentrated.</w:t>
      </w:r>
      <w:r>
        <w:rPr>
          <w:rFonts w:ascii="Arial" w:hAnsi="Arial" w:cs="Arial"/>
        </w:rPr>
        <w:t xml:space="preserve"> </w:t>
      </w:r>
      <w:r w:rsidR="00D67072" w:rsidRPr="00E7024A">
        <w:rPr>
          <w:rFonts w:ascii="Arial" w:hAnsi="Arial" w:cs="Arial"/>
        </w:rPr>
        <w:t xml:space="preserve">A significant proportion of migrants are concentrated in sectors such as agriculture, public administration, education, health, and other service industries. While these sectors account for a large share of Skilled Worker visa grants, their average salaries for graduates </w:t>
      </w:r>
      <w:r w:rsidR="0036670D" w:rsidRPr="00E7024A">
        <w:rPr>
          <w:rFonts w:ascii="Arial" w:hAnsi="Arial" w:cs="Arial"/>
        </w:rPr>
        <w:t>(</w:t>
      </w:r>
      <w:r w:rsidR="00D67072" w:rsidRPr="00E7024A">
        <w:rPr>
          <w:rFonts w:ascii="Arial" w:hAnsi="Arial" w:cs="Arial"/>
        </w:rPr>
        <w:t>aged 21–30</w:t>
      </w:r>
      <w:r w:rsidR="0036670D" w:rsidRPr="00E7024A">
        <w:rPr>
          <w:rFonts w:ascii="Arial" w:hAnsi="Arial" w:cs="Arial"/>
        </w:rPr>
        <w:t xml:space="preserve">) </w:t>
      </w:r>
      <w:r w:rsidR="008F40A8" w:rsidRPr="00E7024A">
        <w:rPr>
          <w:rFonts w:ascii="Arial" w:hAnsi="Arial" w:cs="Arial"/>
        </w:rPr>
        <w:t xml:space="preserve">as referenced from section 1, </w:t>
      </w:r>
      <w:r w:rsidR="0036670D" w:rsidRPr="00E7024A">
        <w:rPr>
          <w:rFonts w:ascii="Arial" w:hAnsi="Arial" w:cs="Arial"/>
        </w:rPr>
        <w:t>tend to</w:t>
      </w:r>
      <w:r w:rsidR="00D67072" w:rsidRPr="00E7024A">
        <w:rPr>
          <w:rFonts w:ascii="Arial" w:hAnsi="Arial" w:cs="Arial"/>
        </w:rPr>
        <w:t xml:space="preserve"> fall below the New Entrant threshold of £33,400.</w:t>
      </w:r>
    </w:p>
    <w:p w14:paraId="04EADC92" w14:textId="77777777" w:rsidR="0036670D" w:rsidRPr="00E7024A" w:rsidRDefault="0036670D" w:rsidP="00E7024A">
      <w:pPr>
        <w:spacing w:line="276" w:lineRule="auto"/>
        <w:ind w:left="0" w:firstLine="0"/>
        <w:jc w:val="both"/>
        <w:rPr>
          <w:rFonts w:ascii="Arial" w:hAnsi="Arial" w:cs="Arial"/>
        </w:rPr>
      </w:pPr>
    </w:p>
    <w:p w14:paraId="7D7850BF" w14:textId="5B955992" w:rsidR="00137ABC" w:rsidRPr="00E7024A" w:rsidRDefault="008D52A7" w:rsidP="00E7024A">
      <w:pPr>
        <w:spacing w:line="276" w:lineRule="auto"/>
        <w:ind w:left="0" w:firstLine="0"/>
        <w:jc w:val="both"/>
        <w:rPr>
          <w:rFonts w:ascii="Arial" w:hAnsi="Arial" w:cs="Arial"/>
        </w:rPr>
      </w:pPr>
      <w:r w:rsidRPr="008D52A7">
        <w:rPr>
          <w:rFonts w:ascii="Arial" w:hAnsi="Arial" w:cs="Arial"/>
        </w:rPr>
        <w:t>This apparent contradiction can be explained by experience stratification.</w:t>
      </w:r>
      <w:r>
        <w:rPr>
          <w:rFonts w:ascii="Arial" w:hAnsi="Arial" w:cs="Arial"/>
        </w:rPr>
        <w:t xml:space="preserve"> </w:t>
      </w:r>
      <w:r w:rsidR="00FF65CC">
        <w:rPr>
          <w:rFonts w:ascii="Arial" w:hAnsi="Arial" w:cs="Arial"/>
        </w:rPr>
        <w:t>Looking at the numbers,</w:t>
      </w:r>
      <w:r w:rsidR="00346D83">
        <w:rPr>
          <w:rFonts w:ascii="Arial" w:hAnsi="Arial" w:cs="Arial"/>
        </w:rPr>
        <w:t xml:space="preserve"> it appears that</w:t>
      </w:r>
      <w:r w:rsidR="0036670D" w:rsidRPr="00E7024A">
        <w:rPr>
          <w:rFonts w:ascii="Arial" w:hAnsi="Arial" w:cs="Arial"/>
        </w:rPr>
        <w:t xml:space="preserve"> sponsored roles within these sectors are filled by experienced workers who meet higher salary thresholds or occupation-specific pay requirements. In contrast, graduates entering these industries at entry level are more likely to receive salaries below the required threshold, limiting their ability to access sponsorship despite working in sectors with high levels of migrant employment.</w:t>
      </w:r>
    </w:p>
    <w:p w14:paraId="0BBE9AEA" w14:textId="77777777" w:rsidR="00137ABC" w:rsidRPr="00E7024A" w:rsidRDefault="00137ABC" w:rsidP="00E7024A">
      <w:pPr>
        <w:spacing w:line="276" w:lineRule="auto"/>
        <w:ind w:left="0" w:firstLine="0"/>
        <w:jc w:val="both"/>
        <w:rPr>
          <w:rFonts w:ascii="Arial" w:hAnsi="Arial" w:cs="Arial"/>
        </w:rPr>
      </w:pPr>
    </w:p>
    <w:p w14:paraId="2A49A94C" w14:textId="77777777" w:rsidR="00D67072" w:rsidRPr="00E7024A" w:rsidRDefault="006A167E" w:rsidP="00E7024A">
      <w:pPr>
        <w:spacing w:line="276" w:lineRule="auto"/>
        <w:ind w:left="0" w:firstLine="0"/>
        <w:jc w:val="both"/>
        <w:rPr>
          <w:rFonts w:ascii="Arial" w:hAnsi="Arial" w:cs="Arial"/>
        </w:rPr>
      </w:pPr>
      <w:r w:rsidRPr="00E7024A">
        <w:rPr>
          <w:rFonts w:ascii="Arial" w:hAnsi="Arial" w:cs="Arial"/>
          <w:noProof/>
        </w:rPr>
        <w:drawing>
          <wp:inline distT="0" distB="0" distL="0" distR="0" wp14:anchorId="2C14B56F" wp14:editId="0280E367">
            <wp:extent cx="5699431" cy="3234266"/>
            <wp:effectExtent l="0" t="0" r="0" b="4445"/>
            <wp:docPr id="21320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5921" name=""/>
                    <pic:cNvPicPr/>
                  </pic:nvPicPr>
                  <pic:blipFill>
                    <a:blip r:embed="rId8"/>
                    <a:stretch>
                      <a:fillRect/>
                    </a:stretch>
                  </pic:blipFill>
                  <pic:spPr>
                    <a:xfrm>
                      <a:off x="0" y="0"/>
                      <a:ext cx="5709390" cy="3239917"/>
                    </a:xfrm>
                    <a:prstGeom prst="rect">
                      <a:avLst/>
                    </a:prstGeom>
                  </pic:spPr>
                </pic:pic>
              </a:graphicData>
            </a:graphic>
          </wp:inline>
        </w:drawing>
      </w:r>
    </w:p>
    <w:p w14:paraId="66F09B7A" w14:textId="77777777" w:rsidR="00D80B81" w:rsidRPr="00E7024A" w:rsidRDefault="00D80B81" w:rsidP="00E7024A">
      <w:pPr>
        <w:spacing w:line="276" w:lineRule="auto"/>
        <w:ind w:left="0" w:firstLine="0"/>
        <w:jc w:val="both"/>
        <w:rPr>
          <w:rFonts w:ascii="Arial" w:hAnsi="Arial" w:cs="Arial"/>
          <w:sz w:val="16"/>
          <w:szCs w:val="16"/>
        </w:rPr>
      </w:pPr>
      <w:r w:rsidRPr="00E7024A">
        <w:rPr>
          <w:rFonts w:ascii="Arial" w:hAnsi="Arial" w:cs="Arial"/>
          <w:sz w:val="16"/>
          <w:szCs w:val="16"/>
        </w:rPr>
        <w:t xml:space="preserve">Fig. 2. </w:t>
      </w:r>
      <w:r w:rsidR="006A167E" w:rsidRPr="00E7024A">
        <w:rPr>
          <w:rFonts w:ascii="Arial" w:hAnsi="Arial" w:cs="Arial"/>
          <w:sz w:val="16"/>
          <w:szCs w:val="16"/>
        </w:rPr>
        <w:t>Visa Granted</w:t>
      </w:r>
      <w:r w:rsidRPr="00E7024A">
        <w:rPr>
          <w:rFonts w:ascii="Arial" w:hAnsi="Arial" w:cs="Arial"/>
          <w:sz w:val="16"/>
          <w:szCs w:val="16"/>
        </w:rPr>
        <w:t xml:space="preserve"> by Industry </w:t>
      </w:r>
      <w:r w:rsidR="006A167E" w:rsidRPr="00E7024A">
        <w:rPr>
          <w:rFonts w:ascii="Arial" w:hAnsi="Arial" w:cs="Arial"/>
          <w:sz w:val="16"/>
          <w:szCs w:val="16"/>
        </w:rPr>
        <w:t xml:space="preserve">between </w:t>
      </w:r>
      <w:r w:rsidRPr="00E7024A">
        <w:rPr>
          <w:rFonts w:ascii="Arial" w:hAnsi="Arial" w:cs="Arial"/>
          <w:sz w:val="16"/>
          <w:szCs w:val="16"/>
        </w:rPr>
        <w:t>2024</w:t>
      </w:r>
      <w:r w:rsidR="006A167E" w:rsidRPr="00E7024A">
        <w:rPr>
          <w:rFonts w:ascii="Arial" w:hAnsi="Arial" w:cs="Arial"/>
          <w:sz w:val="16"/>
          <w:szCs w:val="16"/>
        </w:rPr>
        <w:t>-2025</w:t>
      </w:r>
    </w:p>
    <w:p w14:paraId="3789937A" w14:textId="77777777" w:rsidR="00D67072" w:rsidRPr="00E7024A" w:rsidRDefault="00D67072" w:rsidP="00E7024A">
      <w:pPr>
        <w:spacing w:line="276" w:lineRule="auto"/>
        <w:ind w:left="0" w:firstLine="0"/>
        <w:jc w:val="both"/>
        <w:rPr>
          <w:rFonts w:ascii="Arial" w:hAnsi="Arial" w:cs="Arial"/>
        </w:rPr>
      </w:pPr>
    </w:p>
    <w:p w14:paraId="33EB8856" w14:textId="6D3DF5FC" w:rsidR="00D67072" w:rsidRPr="00E7024A" w:rsidRDefault="00D67072" w:rsidP="00E7024A">
      <w:pPr>
        <w:spacing w:line="276" w:lineRule="auto"/>
        <w:ind w:left="0" w:firstLine="0"/>
        <w:jc w:val="both"/>
        <w:rPr>
          <w:rFonts w:ascii="Arial" w:hAnsi="Arial" w:cs="Arial"/>
        </w:rPr>
      </w:pPr>
      <w:r w:rsidRPr="00E7024A">
        <w:rPr>
          <w:rFonts w:ascii="Arial" w:hAnsi="Arial" w:cs="Arial"/>
        </w:rPr>
        <w:t xml:space="preserve">In comparison, industries that </w:t>
      </w:r>
      <w:r w:rsidR="00FF65CC">
        <w:rPr>
          <w:rFonts w:ascii="Arial" w:hAnsi="Arial" w:cs="Arial"/>
        </w:rPr>
        <w:t xml:space="preserve">where the median graduate salary </w:t>
      </w:r>
      <w:r w:rsidRPr="00E7024A">
        <w:rPr>
          <w:rFonts w:ascii="Arial" w:hAnsi="Arial" w:cs="Arial"/>
        </w:rPr>
        <w:t>meet or exceed the salary threshold—such as banking and finance, construction, manufacturing, energy</w:t>
      </w:r>
      <w:r w:rsidR="005642E9" w:rsidRPr="00E7024A">
        <w:rPr>
          <w:rFonts w:ascii="Arial" w:hAnsi="Arial" w:cs="Arial"/>
        </w:rPr>
        <w:t xml:space="preserve"> and water</w:t>
      </w:r>
      <w:r w:rsidRPr="00E7024A">
        <w:rPr>
          <w:rFonts w:ascii="Arial" w:hAnsi="Arial" w:cs="Arial"/>
        </w:rPr>
        <w:t xml:space="preserve">, and </w:t>
      </w:r>
      <w:r w:rsidRPr="00E7024A">
        <w:rPr>
          <w:rFonts w:ascii="Arial" w:hAnsi="Arial" w:cs="Arial"/>
        </w:rPr>
        <w:lastRenderedPageBreak/>
        <w:t>transport</w:t>
      </w:r>
      <w:r w:rsidR="00807EB6" w:rsidRPr="00E7024A">
        <w:rPr>
          <w:rFonts w:ascii="Arial" w:hAnsi="Arial" w:cs="Arial"/>
        </w:rPr>
        <w:t xml:space="preserve"> and communication</w:t>
      </w:r>
      <w:r w:rsidR="00322E37" w:rsidRPr="00E7024A">
        <w:rPr>
          <w:rFonts w:ascii="Arial" w:hAnsi="Arial" w:cs="Arial"/>
        </w:rPr>
        <w:t xml:space="preserve"> – </w:t>
      </w:r>
      <w:r w:rsidRPr="00E7024A">
        <w:rPr>
          <w:rFonts w:ascii="Arial" w:hAnsi="Arial" w:cs="Arial"/>
        </w:rPr>
        <w:t>employ a relatively smaller share of migrants, and therefore an even smaller proportion of recent graduates. Although these sectors offer roles that are technically eligible for sponsorship, access to such opportunities remains limited.</w:t>
      </w:r>
      <w:r w:rsidR="00BE2F81" w:rsidRPr="00E7024A">
        <w:rPr>
          <w:rFonts w:ascii="Arial" w:hAnsi="Arial" w:cs="Arial"/>
        </w:rPr>
        <w:t xml:space="preserve"> This reveals a segmentation of the labour market in which sponsorship opportunities are structurally concentrated in roles that are not aligned with graduate entry points.</w:t>
      </w:r>
    </w:p>
    <w:p w14:paraId="6DDA1CFD" w14:textId="77777777" w:rsidR="00D67072" w:rsidRPr="00E7024A" w:rsidRDefault="00D67072" w:rsidP="00E7024A">
      <w:pPr>
        <w:spacing w:line="276" w:lineRule="auto"/>
        <w:ind w:left="0" w:firstLine="0"/>
        <w:jc w:val="both"/>
        <w:rPr>
          <w:rFonts w:ascii="Arial" w:hAnsi="Arial" w:cs="Arial"/>
        </w:rPr>
      </w:pPr>
    </w:p>
    <w:p w14:paraId="6396F644" w14:textId="596826FD" w:rsidR="00A540B2" w:rsidRPr="00E7024A" w:rsidRDefault="00C42441" w:rsidP="00E7024A">
      <w:pPr>
        <w:spacing w:line="276" w:lineRule="auto"/>
        <w:ind w:left="0" w:firstLine="0"/>
        <w:jc w:val="both"/>
        <w:rPr>
          <w:rFonts w:ascii="Arial" w:hAnsi="Arial" w:cs="Arial"/>
        </w:rPr>
      </w:pPr>
      <w:r w:rsidRPr="00E7024A">
        <w:rPr>
          <w:rFonts w:ascii="Arial" w:hAnsi="Arial" w:cs="Arial"/>
        </w:rPr>
        <w:t>Taken together, this reveals a segmentation of the labour market in which sponsorship opportunities are structurally concentrated in roles that do not align with typical graduate entry points. Sectors with high levels of migrant employment tend to offer lower-paying roles that fall below visa requirements, while sectors that meet salary thresholds employ relatively fewer graduates. Consequently, access to sponsorable jobs is not evenly distributed but concentrated within a narrow segment of the labour market</w:t>
      </w:r>
      <w:r w:rsidR="00DC5D34" w:rsidRPr="00E7024A">
        <w:rPr>
          <w:rFonts w:ascii="Arial" w:hAnsi="Arial" w:cs="Arial"/>
        </w:rPr>
        <w:tab/>
      </w:r>
      <w:r w:rsidR="009D2C70" w:rsidRPr="00E7024A">
        <w:rPr>
          <w:rFonts w:ascii="Arial" w:hAnsi="Arial" w:cs="Arial"/>
        </w:rPr>
        <w:t>.</w:t>
      </w:r>
      <w:r w:rsidR="006D51CB" w:rsidRPr="00E7024A">
        <w:rPr>
          <w:rFonts w:ascii="Arial" w:hAnsi="Arial" w:cs="Arial"/>
        </w:rPr>
        <w:t xml:space="preserve"> </w:t>
      </w:r>
    </w:p>
    <w:p w14:paraId="31727F52" w14:textId="77777777" w:rsidR="00150EC8" w:rsidRPr="00E7024A" w:rsidRDefault="00150EC8" w:rsidP="00E7024A">
      <w:pPr>
        <w:spacing w:line="276" w:lineRule="auto"/>
        <w:ind w:left="0" w:firstLine="0"/>
        <w:jc w:val="both"/>
        <w:rPr>
          <w:rFonts w:ascii="Arial" w:hAnsi="Arial" w:cs="Arial"/>
        </w:rPr>
      </w:pPr>
    </w:p>
    <w:p w14:paraId="17992652" w14:textId="0ECF6646" w:rsidR="001E0884" w:rsidRPr="00E7024A" w:rsidRDefault="00775D71" w:rsidP="00E7024A">
      <w:pPr>
        <w:spacing w:line="276" w:lineRule="auto"/>
        <w:ind w:left="0" w:firstLine="0"/>
        <w:jc w:val="both"/>
        <w:rPr>
          <w:rFonts w:ascii="Arial" w:hAnsi="Arial" w:cs="Arial"/>
        </w:rPr>
      </w:pPr>
      <w:r w:rsidRPr="00E7024A">
        <w:rPr>
          <w:rFonts w:ascii="Arial" w:hAnsi="Arial" w:cs="Arial"/>
        </w:rPr>
        <w:t xml:space="preserve">To provide broader context, </w:t>
      </w:r>
      <w:r w:rsidRPr="00E7024A">
        <w:rPr>
          <w:rFonts w:ascii="Arial" w:hAnsi="Arial" w:cs="Arial"/>
          <w:b/>
          <w:bCs/>
        </w:rPr>
        <w:t>Figure 3</w:t>
      </w:r>
      <w:r w:rsidRPr="00E7024A">
        <w:rPr>
          <w:rFonts w:ascii="Arial" w:hAnsi="Arial" w:cs="Arial"/>
        </w:rPr>
        <w:t xml:space="preserve"> presents the trend in Skilled Worker visa grants between 2021 and 2025. The data shows a substantial increase in visa grants from 123,306 in 2021 to a peak of 279,501 in 2023, followed by a sharp decline to 154,109 in 2024 and 112,757 in 2025.</w:t>
      </w:r>
    </w:p>
    <w:p w14:paraId="5A15CCA6" w14:textId="11E543FE" w:rsidR="0085073D" w:rsidRPr="00E7024A" w:rsidRDefault="0085073D" w:rsidP="00E7024A">
      <w:pPr>
        <w:spacing w:line="276" w:lineRule="auto"/>
        <w:ind w:left="0" w:firstLine="0"/>
        <w:jc w:val="both"/>
        <w:rPr>
          <w:rFonts w:ascii="Arial" w:hAnsi="Arial" w:cs="Arial"/>
        </w:rPr>
      </w:pPr>
      <w:r w:rsidRPr="00E7024A">
        <w:rPr>
          <w:rFonts w:ascii="Arial" w:hAnsi="Arial" w:cs="Arial"/>
          <w:noProof/>
        </w:rPr>
        <w:drawing>
          <wp:inline distT="0" distB="0" distL="0" distR="0" wp14:anchorId="236E20E5" wp14:editId="2EFCB30D">
            <wp:extent cx="5731510" cy="2934970"/>
            <wp:effectExtent l="0" t="0" r="2540" b="0"/>
            <wp:docPr id="73845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52854" name=""/>
                    <pic:cNvPicPr/>
                  </pic:nvPicPr>
                  <pic:blipFill>
                    <a:blip r:embed="rId9"/>
                    <a:stretch>
                      <a:fillRect/>
                    </a:stretch>
                  </pic:blipFill>
                  <pic:spPr>
                    <a:xfrm>
                      <a:off x="0" y="0"/>
                      <a:ext cx="5731510" cy="2934970"/>
                    </a:xfrm>
                    <a:prstGeom prst="rect">
                      <a:avLst/>
                    </a:prstGeom>
                  </pic:spPr>
                </pic:pic>
              </a:graphicData>
            </a:graphic>
          </wp:inline>
        </w:drawing>
      </w:r>
    </w:p>
    <w:p w14:paraId="48461BF5" w14:textId="77777777" w:rsidR="0093400D" w:rsidRPr="00E7024A" w:rsidRDefault="0093400D" w:rsidP="00E7024A">
      <w:pPr>
        <w:spacing w:line="276" w:lineRule="auto"/>
        <w:ind w:left="0" w:firstLine="0"/>
        <w:jc w:val="both"/>
        <w:rPr>
          <w:rFonts w:ascii="Arial" w:hAnsi="Arial" w:cs="Arial"/>
          <w:sz w:val="16"/>
          <w:szCs w:val="16"/>
        </w:rPr>
      </w:pPr>
      <w:r w:rsidRPr="00E7024A">
        <w:rPr>
          <w:rFonts w:ascii="Arial" w:hAnsi="Arial" w:cs="Arial"/>
          <w:sz w:val="16"/>
          <w:szCs w:val="16"/>
        </w:rPr>
        <w:t>Fig. 3. Total Visa Granted by Year</w:t>
      </w:r>
    </w:p>
    <w:p w14:paraId="44AB555A" w14:textId="77777777" w:rsidR="0093400D" w:rsidRPr="00E7024A" w:rsidRDefault="0093400D" w:rsidP="00E7024A">
      <w:pPr>
        <w:spacing w:line="276" w:lineRule="auto"/>
        <w:ind w:left="0" w:firstLine="0"/>
        <w:jc w:val="both"/>
        <w:rPr>
          <w:rFonts w:ascii="Arial" w:hAnsi="Arial" w:cs="Arial"/>
        </w:rPr>
      </w:pPr>
    </w:p>
    <w:p w14:paraId="7BF6453E" w14:textId="77777777" w:rsidR="005D4E0A" w:rsidRPr="00E7024A" w:rsidRDefault="00775D71" w:rsidP="00E7024A">
      <w:pPr>
        <w:spacing w:line="276" w:lineRule="auto"/>
        <w:ind w:left="0" w:firstLine="0"/>
        <w:jc w:val="both"/>
        <w:rPr>
          <w:rFonts w:ascii="Arial" w:hAnsi="Arial" w:cs="Arial"/>
        </w:rPr>
      </w:pPr>
      <w:r w:rsidRPr="00E7024A">
        <w:rPr>
          <w:rFonts w:ascii="Arial" w:hAnsi="Arial" w:cs="Arial"/>
        </w:rPr>
        <w:t>This reversal coincides with major immigration policy changes introduced in 2024, including higher salary thresholds and more restrictive occupational eligibility criteria. While this report does not focus on long-term trends, the observed decline suggests that recent policy changes may have reduced overall access to Skilled Worker visa sponsorship.</w:t>
      </w:r>
    </w:p>
    <w:p w14:paraId="31CB5CC7" w14:textId="77777777" w:rsidR="00B009C3" w:rsidRPr="00E7024A" w:rsidRDefault="00B009C3" w:rsidP="00E7024A">
      <w:pPr>
        <w:spacing w:line="276" w:lineRule="auto"/>
        <w:ind w:left="0" w:firstLine="0"/>
        <w:jc w:val="both"/>
        <w:rPr>
          <w:rFonts w:ascii="Arial" w:hAnsi="Arial" w:cs="Arial"/>
        </w:rPr>
      </w:pPr>
    </w:p>
    <w:p w14:paraId="61B2FE81" w14:textId="0A2787EA" w:rsidR="00A540B2" w:rsidRPr="00E7024A" w:rsidRDefault="00A540B2" w:rsidP="00E7024A">
      <w:pPr>
        <w:pStyle w:val="ListParagraph"/>
        <w:numPr>
          <w:ilvl w:val="1"/>
          <w:numId w:val="2"/>
        </w:numPr>
        <w:spacing w:line="276" w:lineRule="auto"/>
        <w:jc w:val="both"/>
        <w:rPr>
          <w:rFonts w:ascii="Arial" w:hAnsi="Arial" w:cs="Arial"/>
          <w:b/>
          <w:bCs/>
        </w:rPr>
      </w:pPr>
      <w:r w:rsidRPr="00E7024A">
        <w:rPr>
          <w:rFonts w:ascii="Arial" w:hAnsi="Arial" w:cs="Arial"/>
          <w:b/>
          <w:bCs/>
        </w:rPr>
        <w:t>Occupational Skill-Level Constraints</w:t>
      </w:r>
    </w:p>
    <w:p w14:paraId="2ADA8E41" w14:textId="77777777" w:rsidR="007167C9" w:rsidRPr="00E7024A" w:rsidRDefault="007167C9" w:rsidP="00E7024A">
      <w:pPr>
        <w:spacing w:line="276" w:lineRule="auto"/>
        <w:ind w:left="0" w:firstLine="0"/>
        <w:jc w:val="both"/>
        <w:rPr>
          <w:rFonts w:ascii="Arial" w:hAnsi="Arial" w:cs="Arial"/>
        </w:rPr>
      </w:pPr>
    </w:p>
    <w:p w14:paraId="1D9022F7" w14:textId="77777777" w:rsidR="00492A34" w:rsidRPr="00E7024A" w:rsidRDefault="00492A34" w:rsidP="00E7024A">
      <w:pPr>
        <w:spacing w:line="276" w:lineRule="auto"/>
        <w:ind w:left="0" w:firstLine="0"/>
        <w:jc w:val="both"/>
        <w:rPr>
          <w:rFonts w:ascii="Arial" w:hAnsi="Arial" w:cs="Arial"/>
        </w:rPr>
      </w:pPr>
      <w:r w:rsidRPr="00E7024A">
        <w:rPr>
          <w:rFonts w:ascii="Arial" w:hAnsi="Arial" w:cs="Arial"/>
        </w:rPr>
        <w:t>Beyond sectoral differences, visa eligibility is also strongly shaped by occupational structure. Occupational structure represents a critical constraint in the transition from the Graduate Route to the Skilled Worker visa. The UK labour market is classified using the Standard Occupational Classification (SOC) system, developed by the Office for National Statistics and applied by the UK Home Office in determining visa eligibility.</w:t>
      </w:r>
    </w:p>
    <w:p w14:paraId="3D9A1EEB" w14:textId="77777777" w:rsidR="00492A34" w:rsidRPr="00E7024A" w:rsidRDefault="00492A34" w:rsidP="00E7024A">
      <w:pPr>
        <w:spacing w:line="276" w:lineRule="auto"/>
        <w:ind w:left="0" w:firstLine="0"/>
        <w:jc w:val="both"/>
        <w:rPr>
          <w:rFonts w:ascii="Arial" w:hAnsi="Arial" w:cs="Arial"/>
        </w:rPr>
      </w:pPr>
    </w:p>
    <w:p w14:paraId="5CA0F842" w14:textId="77777777" w:rsidR="00492A34" w:rsidRPr="00E7024A" w:rsidRDefault="00492A34" w:rsidP="00E7024A">
      <w:pPr>
        <w:spacing w:line="276" w:lineRule="auto"/>
        <w:ind w:left="0" w:firstLine="0"/>
        <w:jc w:val="both"/>
        <w:rPr>
          <w:rFonts w:ascii="Arial" w:hAnsi="Arial" w:cs="Arial"/>
        </w:rPr>
      </w:pPr>
      <w:r w:rsidRPr="00E7024A">
        <w:rPr>
          <w:rFonts w:ascii="Arial" w:hAnsi="Arial" w:cs="Arial"/>
        </w:rPr>
        <w:lastRenderedPageBreak/>
        <w:t xml:space="preserve">Under </w:t>
      </w:r>
      <w:r w:rsidR="00F468BB" w:rsidRPr="00E7024A">
        <w:rPr>
          <w:rFonts w:ascii="Arial" w:hAnsi="Arial" w:cs="Arial"/>
        </w:rPr>
        <w:t>the policy change implemented on 22 July 2025</w:t>
      </w:r>
      <w:r w:rsidRPr="00E7024A">
        <w:rPr>
          <w:rFonts w:ascii="Arial" w:hAnsi="Arial" w:cs="Arial"/>
        </w:rPr>
        <w:t>, occupations are categorised into “higher-skilled”</w:t>
      </w:r>
      <w:r w:rsidR="006A4B21" w:rsidRPr="00E7024A">
        <w:rPr>
          <w:rFonts w:ascii="Arial" w:hAnsi="Arial" w:cs="Arial"/>
        </w:rPr>
        <w:t xml:space="preserve"> (RQF Level 6+)</w:t>
      </w:r>
      <w:r w:rsidRPr="00E7024A">
        <w:rPr>
          <w:rFonts w:ascii="Arial" w:hAnsi="Arial" w:cs="Arial"/>
        </w:rPr>
        <w:t xml:space="preserve"> and “medium-skilled” </w:t>
      </w:r>
      <w:r w:rsidR="006A4B21" w:rsidRPr="00E7024A">
        <w:rPr>
          <w:rFonts w:ascii="Arial" w:hAnsi="Arial" w:cs="Arial"/>
        </w:rPr>
        <w:t xml:space="preserve">(RQF levels 3-5) </w:t>
      </w:r>
      <w:r w:rsidRPr="00E7024A">
        <w:rPr>
          <w:rFonts w:ascii="Arial" w:hAnsi="Arial" w:cs="Arial"/>
        </w:rPr>
        <w:t xml:space="preserve">roles. Higher-skilled occupations—primarily Managers, Directors and Senior Officials (SOC 1) and Professional Occupations (SOC 2)—are fully eligible for Skilled Worker visa sponsorship. In contrast, medium-skilled occupations, largely corresponding to Associate Professional roles (SOC 3), are no longer universally eligible and can only qualify for sponsorship if they appear on specific shortage-based lists, such as the Immigration Salary List or Temporary Shortage List (Sources: </w:t>
      </w:r>
      <w:hyperlink r:id="rId10" w:history="1">
        <w:r w:rsidRPr="00E7024A">
          <w:rPr>
            <w:rStyle w:val="Hyperlink"/>
            <w:rFonts w:ascii="Arial" w:hAnsi="Arial" w:cs="Arial"/>
          </w:rPr>
          <w:t>UKVI Skilled Worker visa: eligible occupations and codes</w:t>
        </w:r>
      </w:hyperlink>
      <w:r w:rsidRPr="00E7024A">
        <w:rPr>
          <w:rFonts w:ascii="Arial" w:hAnsi="Arial" w:cs="Arial"/>
        </w:rPr>
        <w:t xml:space="preserve">, </w:t>
      </w:r>
      <w:hyperlink r:id="rId11" w:history="1">
        <w:r w:rsidRPr="00E7024A">
          <w:rPr>
            <w:rStyle w:val="Hyperlink"/>
            <w:rFonts w:ascii="Arial" w:hAnsi="Arial" w:cs="Arial"/>
          </w:rPr>
          <w:t>Immigration Salary List or Temporary Shortage List</w:t>
        </w:r>
      </w:hyperlink>
      <w:r w:rsidRPr="00E7024A">
        <w:rPr>
          <w:rFonts w:ascii="Arial" w:hAnsi="Arial" w:cs="Arial"/>
        </w:rPr>
        <w:t>).</w:t>
      </w:r>
    </w:p>
    <w:p w14:paraId="2660E27B" w14:textId="77777777" w:rsidR="00492A34" w:rsidRPr="00E7024A" w:rsidRDefault="00492A34" w:rsidP="00E7024A">
      <w:pPr>
        <w:spacing w:line="276" w:lineRule="auto"/>
        <w:ind w:left="0" w:firstLine="0"/>
        <w:jc w:val="both"/>
        <w:rPr>
          <w:rFonts w:ascii="Arial" w:hAnsi="Arial" w:cs="Arial"/>
        </w:rPr>
      </w:pPr>
    </w:p>
    <w:p w14:paraId="6DDD4EBD" w14:textId="7FE50713" w:rsidR="00492A34" w:rsidRPr="00E7024A" w:rsidRDefault="00EA4010" w:rsidP="00E7024A">
      <w:pPr>
        <w:spacing w:line="276" w:lineRule="auto"/>
        <w:ind w:left="0" w:firstLine="0"/>
        <w:jc w:val="both"/>
        <w:rPr>
          <w:rFonts w:ascii="Arial" w:hAnsi="Arial" w:cs="Arial"/>
        </w:rPr>
      </w:pPr>
      <w:r w:rsidRPr="00E7024A">
        <w:rPr>
          <w:rFonts w:ascii="Arial" w:hAnsi="Arial" w:cs="Arial"/>
        </w:rPr>
        <w:t>A key limitation of higher-skilled occupations is that they are typically associated with experienced workers rather than recent graduates. Roles within SOC 1 and many SOC 2 occupations often require several years of prior experience, specialised expertise, or managerial responsibility. Although these roles meet visa eligibility criteria, they are not generally accessible to individuals at the early stages of their careers</w:t>
      </w:r>
      <w:r w:rsidR="00492A34" w:rsidRPr="00E7024A">
        <w:rPr>
          <w:rFonts w:ascii="Arial" w:hAnsi="Arial" w:cs="Arial"/>
        </w:rPr>
        <w:t>.</w:t>
      </w:r>
    </w:p>
    <w:p w14:paraId="5E22A27E" w14:textId="77777777" w:rsidR="00492A34" w:rsidRPr="00E7024A" w:rsidRDefault="00492A34" w:rsidP="00E7024A">
      <w:pPr>
        <w:spacing w:line="276" w:lineRule="auto"/>
        <w:ind w:left="0" w:firstLine="0"/>
        <w:jc w:val="both"/>
        <w:rPr>
          <w:rFonts w:ascii="Arial" w:hAnsi="Arial" w:cs="Arial"/>
        </w:rPr>
      </w:pPr>
    </w:p>
    <w:p w14:paraId="05630C0B" w14:textId="77777777" w:rsidR="00EA4010" w:rsidRPr="00E7024A" w:rsidRDefault="00EA4010" w:rsidP="00E7024A">
      <w:pPr>
        <w:spacing w:line="276" w:lineRule="auto"/>
        <w:ind w:left="0" w:firstLine="0"/>
        <w:jc w:val="both"/>
        <w:rPr>
          <w:rFonts w:ascii="Arial" w:hAnsi="Arial" w:cs="Arial"/>
        </w:rPr>
      </w:pPr>
      <w:r w:rsidRPr="00E7024A">
        <w:rPr>
          <w:rFonts w:ascii="Arial" w:hAnsi="Arial" w:cs="Arial"/>
        </w:rPr>
        <w:t>This creates a structural mismatch between visa eligibility and graduate labour market entry points. While higher-skilled occupations account for a large share of Skilled Worker visa sponsorship, they do not represent realistic entry-level opportunities for most international graduates. Conversely, roles that are more accessible to graduates—particularly Associate Professional occupations—are subject to greater restrictions in terms of eligibility, salary thresholds, and employer sponsorship. As a result, graduates are effectively positioned outside the primary pathways to visa sponsorship despite active participation in the labour market.</w:t>
      </w:r>
    </w:p>
    <w:p w14:paraId="43D1C163" w14:textId="77777777" w:rsidR="00EA4010" w:rsidRPr="00E7024A" w:rsidRDefault="00EA4010" w:rsidP="00E7024A">
      <w:pPr>
        <w:spacing w:line="276" w:lineRule="auto"/>
        <w:ind w:left="0" w:firstLine="0"/>
        <w:jc w:val="both"/>
        <w:rPr>
          <w:rFonts w:ascii="Arial" w:hAnsi="Arial" w:cs="Arial"/>
        </w:rPr>
      </w:pPr>
    </w:p>
    <w:p w14:paraId="0F24629E" w14:textId="60F4C010" w:rsidR="00492A34" w:rsidRPr="00E7024A" w:rsidRDefault="00EA4010" w:rsidP="00E7024A">
      <w:pPr>
        <w:spacing w:line="276" w:lineRule="auto"/>
        <w:ind w:left="0" w:firstLine="0"/>
        <w:jc w:val="both"/>
        <w:rPr>
          <w:rFonts w:ascii="Arial" w:hAnsi="Arial" w:cs="Arial"/>
        </w:rPr>
      </w:pPr>
      <w:r w:rsidRPr="00E7024A">
        <w:rPr>
          <w:rFonts w:ascii="Arial" w:hAnsi="Arial" w:cs="Arial"/>
        </w:rPr>
        <w:t>Although many medium-skilled roles meet the formal skill threshold, their conditional eligibility significantly narrows access to sponsorship. In practice, this shifts the functional threshold for visa eligibility towards higher-skilled occupations, further limiting opportunities for early-career workers.</w:t>
      </w:r>
    </w:p>
    <w:p w14:paraId="01E7F3E9" w14:textId="77777777" w:rsidR="007270B3" w:rsidRPr="00E7024A" w:rsidRDefault="007270B3" w:rsidP="00E7024A">
      <w:pPr>
        <w:spacing w:line="276" w:lineRule="auto"/>
        <w:ind w:left="0" w:firstLine="0"/>
        <w:jc w:val="both"/>
        <w:rPr>
          <w:rFonts w:ascii="Arial" w:hAnsi="Arial" w:cs="Arial"/>
        </w:rPr>
      </w:pPr>
    </w:p>
    <w:p w14:paraId="1DFDA01C" w14:textId="245E032E" w:rsidR="0069302E" w:rsidRPr="00E7024A" w:rsidRDefault="0058565E" w:rsidP="00E7024A">
      <w:pPr>
        <w:spacing w:line="276" w:lineRule="auto"/>
        <w:ind w:left="0" w:firstLine="0"/>
        <w:jc w:val="both"/>
        <w:rPr>
          <w:rFonts w:ascii="Arial" w:hAnsi="Arial" w:cs="Arial"/>
        </w:rPr>
      </w:pPr>
      <w:r w:rsidRPr="00E7024A">
        <w:rPr>
          <w:rFonts w:ascii="Arial" w:hAnsi="Arial" w:cs="Arial"/>
          <w:noProof/>
        </w:rPr>
        <w:drawing>
          <wp:inline distT="0" distB="0" distL="0" distR="0" wp14:anchorId="45ACB1BC" wp14:editId="0F164744">
            <wp:extent cx="5731510" cy="3137535"/>
            <wp:effectExtent l="0" t="0" r="2540" b="5715"/>
            <wp:docPr id="157077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73383" name=""/>
                    <pic:cNvPicPr/>
                  </pic:nvPicPr>
                  <pic:blipFill>
                    <a:blip r:embed="rId12"/>
                    <a:stretch>
                      <a:fillRect/>
                    </a:stretch>
                  </pic:blipFill>
                  <pic:spPr>
                    <a:xfrm>
                      <a:off x="0" y="0"/>
                      <a:ext cx="5731510" cy="3137535"/>
                    </a:xfrm>
                    <a:prstGeom prst="rect">
                      <a:avLst/>
                    </a:prstGeom>
                  </pic:spPr>
                </pic:pic>
              </a:graphicData>
            </a:graphic>
          </wp:inline>
        </w:drawing>
      </w:r>
    </w:p>
    <w:p w14:paraId="16F88120" w14:textId="165D8D2C" w:rsidR="00A54D21" w:rsidRPr="00E7024A" w:rsidRDefault="00A54D21" w:rsidP="00E7024A">
      <w:pPr>
        <w:spacing w:line="276" w:lineRule="auto"/>
        <w:ind w:left="0" w:firstLine="0"/>
        <w:jc w:val="both"/>
        <w:rPr>
          <w:rFonts w:ascii="Arial" w:hAnsi="Arial" w:cs="Arial"/>
          <w:sz w:val="16"/>
          <w:szCs w:val="16"/>
        </w:rPr>
      </w:pPr>
      <w:r w:rsidRPr="00E7024A">
        <w:rPr>
          <w:rFonts w:ascii="Arial" w:hAnsi="Arial" w:cs="Arial"/>
          <w:sz w:val="16"/>
          <w:szCs w:val="16"/>
        </w:rPr>
        <w:t xml:space="preserve">Fig. 4. </w:t>
      </w:r>
      <w:r w:rsidR="003E4ED8" w:rsidRPr="00E7024A">
        <w:rPr>
          <w:rFonts w:ascii="Arial" w:hAnsi="Arial" w:cs="Arial"/>
          <w:sz w:val="16"/>
          <w:szCs w:val="16"/>
        </w:rPr>
        <w:t>Visa Grants by Occupational Skill Level (SOC Classification)</w:t>
      </w:r>
    </w:p>
    <w:p w14:paraId="16BB6EEC" w14:textId="77777777" w:rsidR="007270B3" w:rsidRPr="00E7024A" w:rsidRDefault="007270B3" w:rsidP="00E7024A">
      <w:pPr>
        <w:spacing w:line="276" w:lineRule="auto"/>
        <w:ind w:left="0" w:firstLine="0"/>
        <w:jc w:val="both"/>
        <w:rPr>
          <w:rFonts w:ascii="Arial" w:hAnsi="Arial" w:cs="Arial"/>
        </w:rPr>
      </w:pPr>
    </w:p>
    <w:p w14:paraId="2F9B161F" w14:textId="05CD2125" w:rsidR="00492A34" w:rsidRPr="00E7024A" w:rsidRDefault="00492A34" w:rsidP="00E7024A">
      <w:pPr>
        <w:spacing w:line="276" w:lineRule="auto"/>
        <w:ind w:left="0" w:firstLine="0"/>
        <w:jc w:val="both"/>
        <w:rPr>
          <w:rFonts w:ascii="Arial" w:hAnsi="Arial" w:cs="Arial"/>
        </w:rPr>
      </w:pPr>
      <w:r w:rsidRPr="00E7024A">
        <w:rPr>
          <w:rFonts w:ascii="Arial" w:hAnsi="Arial" w:cs="Arial"/>
          <w:b/>
          <w:bCs/>
        </w:rPr>
        <w:t>Figure</w:t>
      </w:r>
      <w:r w:rsidR="000E68E7" w:rsidRPr="00E7024A">
        <w:rPr>
          <w:rFonts w:ascii="Arial" w:hAnsi="Arial" w:cs="Arial"/>
          <w:b/>
          <w:bCs/>
        </w:rPr>
        <w:t xml:space="preserve"> </w:t>
      </w:r>
      <w:r w:rsidR="0026725B" w:rsidRPr="00E7024A">
        <w:rPr>
          <w:rFonts w:ascii="Arial" w:hAnsi="Arial" w:cs="Arial"/>
          <w:b/>
          <w:bCs/>
        </w:rPr>
        <w:t>4</w:t>
      </w:r>
      <w:r w:rsidRPr="00E7024A">
        <w:rPr>
          <w:rFonts w:ascii="Arial" w:hAnsi="Arial" w:cs="Arial"/>
        </w:rPr>
        <w:t xml:space="preserve"> illustrates the distribution of Skilled Worker visa grants across occupational groups. The data shows that sponsorship is heavily concentrated in Professional Occupations (SOC 2), with comparatively fewer grants in Associate Professional roles (SOC 3), despite their relevance to graduate employment. This reinforces the finding that eligibility does not translate into accessibility.</w:t>
      </w:r>
    </w:p>
    <w:p w14:paraId="6BAC7A8D" w14:textId="77777777" w:rsidR="00492A34" w:rsidRPr="00E7024A" w:rsidRDefault="00492A34" w:rsidP="00E7024A">
      <w:pPr>
        <w:spacing w:line="276" w:lineRule="auto"/>
        <w:ind w:left="0" w:firstLine="0"/>
        <w:jc w:val="both"/>
        <w:rPr>
          <w:rFonts w:ascii="Arial" w:hAnsi="Arial" w:cs="Arial"/>
        </w:rPr>
      </w:pPr>
    </w:p>
    <w:p w14:paraId="619182AF" w14:textId="77777777" w:rsidR="005303E9" w:rsidRPr="00E7024A" w:rsidRDefault="005303E9" w:rsidP="00E7024A">
      <w:pPr>
        <w:spacing w:line="276" w:lineRule="auto"/>
        <w:ind w:left="0" w:firstLine="0"/>
        <w:jc w:val="both"/>
        <w:rPr>
          <w:rFonts w:ascii="Arial" w:hAnsi="Arial" w:cs="Arial"/>
        </w:rPr>
      </w:pPr>
      <w:r w:rsidRPr="00E7024A">
        <w:rPr>
          <w:rFonts w:ascii="Arial" w:hAnsi="Arial" w:cs="Arial"/>
        </w:rPr>
        <w:t>At the same time, a substantial number of visa grants are observed in occupations classified as lower-skilled or conditionally eligible, such as Caring, Leisure and Other Service Occupations (SOC 6) and Skilled Trades (SOC 5). These roles often appear on shortage occupation lists and benefit from reduced salary thresholds but are typically not aligned with graduate career pathways.</w:t>
      </w:r>
    </w:p>
    <w:p w14:paraId="264F6D09" w14:textId="77777777" w:rsidR="005303E9" w:rsidRPr="00E7024A" w:rsidRDefault="005303E9" w:rsidP="00E7024A">
      <w:pPr>
        <w:spacing w:line="276" w:lineRule="auto"/>
        <w:ind w:left="0" w:firstLine="0"/>
        <w:jc w:val="both"/>
        <w:rPr>
          <w:rFonts w:ascii="Arial" w:hAnsi="Arial" w:cs="Arial"/>
        </w:rPr>
      </w:pPr>
    </w:p>
    <w:p w14:paraId="16935637" w14:textId="5016B69A" w:rsidR="00492A34" w:rsidRPr="00E7024A" w:rsidRDefault="005303E9" w:rsidP="00E7024A">
      <w:pPr>
        <w:spacing w:line="276" w:lineRule="auto"/>
        <w:ind w:left="0" w:firstLine="0"/>
        <w:jc w:val="both"/>
        <w:rPr>
          <w:rFonts w:ascii="Arial" w:hAnsi="Arial" w:cs="Arial"/>
        </w:rPr>
      </w:pPr>
      <w:r w:rsidRPr="00E7024A">
        <w:rPr>
          <w:rFonts w:ascii="Arial" w:hAnsi="Arial" w:cs="Arial"/>
        </w:rPr>
        <w:t>Taken together, the occupational structure functions as a hierarchical filter within the visa system. Higher-skilled roles provide clear routes to sponsorship but remain largely inaccessible to graduates due to experience requirements. Medium-skilled roles, which align more closely with early-career employment, are constrained by policy restrictions. Meanwhile, lower-skilled roles may offer sponsorship through exception mechanisms but fall outside typical graduate trajectories.</w:t>
      </w:r>
    </w:p>
    <w:p w14:paraId="2D5F4C88" w14:textId="77777777" w:rsidR="00492A34" w:rsidRPr="00E7024A" w:rsidRDefault="00492A34" w:rsidP="00E7024A">
      <w:pPr>
        <w:spacing w:line="276" w:lineRule="auto"/>
        <w:ind w:left="0" w:firstLine="0"/>
        <w:jc w:val="both"/>
        <w:rPr>
          <w:rFonts w:ascii="Arial" w:hAnsi="Arial" w:cs="Arial"/>
        </w:rPr>
      </w:pPr>
    </w:p>
    <w:p w14:paraId="3C07BAFF" w14:textId="77777777" w:rsidR="00A42D15" w:rsidRPr="00E7024A" w:rsidRDefault="00492A34" w:rsidP="00E7024A">
      <w:pPr>
        <w:spacing w:line="276" w:lineRule="auto"/>
        <w:ind w:left="0" w:firstLine="0"/>
        <w:jc w:val="both"/>
        <w:rPr>
          <w:rFonts w:ascii="Arial" w:hAnsi="Arial" w:cs="Arial"/>
        </w:rPr>
      </w:pPr>
      <w:r w:rsidRPr="00E7024A">
        <w:rPr>
          <w:rFonts w:ascii="Arial" w:hAnsi="Arial" w:cs="Arial"/>
        </w:rPr>
        <w:t>Consequently, occupational structure acts as a hierarchical filter within the visa system. Graduates are not only required to be employed but must also be positioned within a narrow set of occupations that satisfy multiple criteria simultaneously. This significantly reduces the likelihood of transitioning to Skilled Worker sponsorship and reinforces the broader structural barriers identified in this study.</w:t>
      </w:r>
      <w:r w:rsidR="00A42D15" w:rsidRPr="00E7024A">
        <w:rPr>
          <w:rFonts w:ascii="Arial" w:hAnsi="Arial" w:cs="Arial"/>
        </w:rPr>
        <w:t xml:space="preserve"> </w:t>
      </w:r>
    </w:p>
    <w:p w14:paraId="0F9DAE51" w14:textId="77777777" w:rsidR="007167C9" w:rsidRPr="00E7024A" w:rsidRDefault="007167C9" w:rsidP="00E7024A">
      <w:pPr>
        <w:spacing w:line="276" w:lineRule="auto"/>
        <w:ind w:left="0" w:firstLine="0"/>
        <w:jc w:val="both"/>
        <w:rPr>
          <w:rFonts w:ascii="Arial" w:hAnsi="Arial" w:cs="Arial"/>
        </w:rPr>
      </w:pPr>
    </w:p>
    <w:p w14:paraId="796C895C" w14:textId="77777777" w:rsidR="00727621" w:rsidRPr="00E7024A" w:rsidRDefault="00727621" w:rsidP="00E7024A">
      <w:pPr>
        <w:spacing w:line="276" w:lineRule="auto"/>
        <w:ind w:left="0" w:firstLine="0"/>
        <w:jc w:val="both"/>
        <w:rPr>
          <w:rFonts w:ascii="Arial" w:hAnsi="Arial" w:cs="Arial"/>
        </w:rPr>
      </w:pPr>
    </w:p>
    <w:p w14:paraId="2F351F8F" w14:textId="249AF0C7" w:rsidR="00AE31B1" w:rsidRPr="00907C17" w:rsidRDefault="00BB0EE9" w:rsidP="00E7024A">
      <w:pPr>
        <w:pStyle w:val="ListParagraph"/>
        <w:numPr>
          <w:ilvl w:val="0"/>
          <w:numId w:val="2"/>
        </w:numPr>
        <w:spacing w:line="276" w:lineRule="auto"/>
        <w:jc w:val="both"/>
        <w:rPr>
          <w:rFonts w:ascii="Arial" w:hAnsi="Arial" w:cs="Arial"/>
          <w:sz w:val="24"/>
          <w:szCs w:val="24"/>
        </w:rPr>
      </w:pPr>
      <w:r w:rsidRPr="00907C17">
        <w:rPr>
          <w:rFonts w:ascii="Arial" w:hAnsi="Arial" w:cs="Arial"/>
          <w:b/>
          <w:bCs/>
          <w:sz w:val="24"/>
          <w:szCs w:val="24"/>
          <w:u w:val="single"/>
        </w:rPr>
        <w:t>Key Insights</w:t>
      </w:r>
    </w:p>
    <w:p w14:paraId="24088B64" w14:textId="77777777" w:rsidR="00A540B2" w:rsidRPr="00E7024A" w:rsidRDefault="00A540B2" w:rsidP="00E7024A">
      <w:pPr>
        <w:spacing w:line="276" w:lineRule="auto"/>
        <w:ind w:left="0" w:firstLine="0"/>
        <w:jc w:val="both"/>
        <w:rPr>
          <w:rFonts w:ascii="Arial" w:hAnsi="Arial" w:cs="Arial"/>
        </w:rPr>
      </w:pPr>
    </w:p>
    <w:p w14:paraId="0CD4760B"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The findings of this analysis indicate that barriers to transitioning from the Graduate Route to the Skilled Worker visa are structural and mutually reinforcing. Salary thresholds, sectoral employment patterns, and occupational eligibility criteria do not operate independently; rather, they interact in ways that collectively restrict access to sponsorship for international graduates.</w:t>
      </w:r>
    </w:p>
    <w:p w14:paraId="4DC1373F" w14:textId="77777777" w:rsidR="00B07D8D" w:rsidRPr="00E7024A" w:rsidRDefault="00B07D8D" w:rsidP="00E7024A">
      <w:pPr>
        <w:spacing w:line="276" w:lineRule="auto"/>
        <w:ind w:left="0" w:firstLine="0"/>
        <w:jc w:val="both"/>
        <w:rPr>
          <w:rFonts w:ascii="Arial" w:hAnsi="Arial" w:cs="Arial"/>
        </w:rPr>
      </w:pPr>
    </w:p>
    <w:p w14:paraId="08714F05"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A key issue is the misalignment between graduate labour market outcomes and visa requirements. Although some sectors meet the Skilled Worker salary threshold, graduate salaries are often clustered around or just below the eligibility cutoff, meaning that a significant proportion of graduates remain ineligible despite being employed. At the same time, many sectors that employ large numbers of graduates tend to offer lower-paying roles that fall below sponsorship requirements.</w:t>
      </w:r>
    </w:p>
    <w:p w14:paraId="7DF13234" w14:textId="77777777" w:rsidR="00B07D8D" w:rsidRPr="00E7024A" w:rsidRDefault="00B07D8D" w:rsidP="00E7024A">
      <w:pPr>
        <w:spacing w:line="276" w:lineRule="auto"/>
        <w:ind w:left="0" w:firstLine="0"/>
        <w:jc w:val="both"/>
        <w:rPr>
          <w:rFonts w:ascii="Arial" w:hAnsi="Arial" w:cs="Arial"/>
        </w:rPr>
      </w:pPr>
    </w:p>
    <w:p w14:paraId="291FE85B"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This misalignment is reinforced by sectoral distribution. Sectors with high levels of Skilled Worker visa sponsorship do not necessarily provide accessible pathways for graduates, as many sponsored roles are occupied by experienced workers. Conversely, sectors that meet salary thresholds tend to employ fewer graduates, limiting access to eligible roles.</w:t>
      </w:r>
    </w:p>
    <w:p w14:paraId="4821C173" w14:textId="77777777" w:rsidR="00B07D8D" w:rsidRPr="00E7024A" w:rsidRDefault="00B07D8D" w:rsidP="00E7024A">
      <w:pPr>
        <w:spacing w:line="276" w:lineRule="auto"/>
        <w:ind w:left="0" w:firstLine="0"/>
        <w:jc w:val="both"/>
        <w:rPr>
          <w:rFonts w:ascii="Arial" w:hAnsi="Arial" w:cs="Arial"/>
        </w:rPr>
      </w:pPr>
    </w:p>
    <w:p w14:paraId="5207432D"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 xml:space="preserve">Occupational structure further intensifies these constraints. Higher-skilled roles, which provide clearer routes to sponsorship, are typically inaccessible to graduates due to experience </w:t>
      </w:r>
      <w:r w:rsidRPr="00E7024A">
        <w:rPr>
          <w:rFonts w:ascii="Arial" w:hAnsi="Arial" w:cs="Arial"/>
        </w:rPr>
        <w:lastRenderedPageBreak/>
        <w:t>requirements. In contrast, medium-skilled roles that align more closely with entry-level employment are subject to stricter eligibility conditions following recent policy changes. This creates a situation in which graduates are active in the labour market but positioned outside the main pathways to sponsorship.</w:t>
      </w:r>
    </w:p>
    <w:p w14:paraId="7BA8EC7C" w14:textId="77777777" w:rsidR="00B07D8D" w:rsidRPr="00E7024A" w:rsidRDefault="00B07D8D" w:rsidP="00E7024A">
      <w:pPr>
        <w:spacing w:line="276" w:lineRule="auto"/>
        <w:ind w:left="0" w:firstLine="0"/>
        <w:jc w:val="both"/>
        <w:rPr>
          <w:rFonts w:ascii="Arial" w:hAnsi="Arial" w:cs="Arial"/>
        </w:rPr>
      </w:pPr>
    </w:p>
    <w:p w14:paraId="1A855AC5"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In addition, employer behaviour may further influence access to sponsorship. Sponsorship involves financial and administrative costs, which may reduce willingness to sponsor early-career employees. However, this factor is considered secondary within the scope of this analysis.</w:t>
      </w:r>
    </w:p>
    <w:p w14:paraId="08F7E5A7" w14:textId="77777777" w:rsidR="00B07D8D" w:rsidRPr="00E7024A" w:rsidRDefault="00B07D8D" w:rsidP="00E7024A">
      <w:pPr>
        <w:spacing w:line="276" w:lineRule="auto"/>
        <w:ind w:left="0" w:firstLine="0"/>
        <w:jc w:val="both"/>
        <w:rPr>
          <w:rFonts w:ascii="Arial" w:hAnsi="Arial" w:cs="Arial"/>
        </w:rPr>
      </w:pPr>
    </w:p>
    <w:p w14:paraId="5E6E7E6F" w14:textId="2931DFFB" w:rsidR="00A540B2" w:rsidRPr="00E7024A" w:rsidRDefault="00B07D8D" w:rsidP="00E7024A">
      <w:pPr>
        <w:spacing w:line="276" w:lineRule="auto"/>
        <w:ind w:left="0" w:firstLine="0"/>
        <w:jc w:val="both"/>
        <w:rPr>
          <w:rFonts w:ascii="Arial" w:hAnsi="Arial" w:cs="Arial"/>
        </w:rPr>
      </w:pPr>
      <w:r w:rsidRPr="00E7024A">
        <w:rPr>
          <w:rFonts w:ascii="Arial" w:hAnsi="Arial" w:cs="Arial"/>
        </w:rPr>
        <w:t>Overall, the findings suggest a structural mismatch between immigration policy design and graduate labour market realities, where access to sponsorship is shaped by overlapping constraints rather than a single barrier.</w:t>
      </w:r>
    </w:p>
    <w:p w14:paraId="2C35AFFB" w14:textId="77777777" w:rsidR="00BD099D" w:rsidRPr="00E7024A" w:rsidRDefault="00BD099D" w:rsidP="00E7024A">
      <w:pPr>
        <w:spacing w:line="276" w:lineRule="auto"/>
        <w:ind w:left="0" w:firstLine="0"/>
        <w:jc w:val="both"/>
        <w:rPr>
          <w:rFonts w:ascii="Arial" w:hAnsi="Arial" w:cs="Arial"/>
        </w:rPr>
      </w:pPr>
    </w:p>
    <w:p w14:paraId="464BC51D" w14:textId="77777777" w:rsidR="00A540B2" w:rsidRPr="00E7024A" w:rsidRDefault="00A540B2" w:rsidP="00E7024A">
      <w:pPr>
        <w:spacing w:line="276" w:lineRule="auto"/>
        <w:ind w:left="0" w:firstLine="0"/>
        <w:jc w:val="both"/>
        <w:rPr>
          <w:rFonts w:ascii="Arial" w:hAnsi="Arial" w:cs="Arial"/>
        </w:rPr>
      </w:pPr>
    </w:p>
    <w:p w14:paraId="63D5C6BE" w14:textId="19F35641" w:rsidR="00A540B2" w:rsidRPr="00907C17" w:rsidRDefault="00DD4E00" w:rsidP="00E7024A">
      <w:pPr>
        <w:pStyle w:val="ListParagraph"/>
        <w:numPr>
          <w:ilvl w:val="0"/>
          <w:numId w:val="2"/>
        </w:numPr>
        <w:spacing w:line="276" w:lineRule="auto"/>
        <w:jc w:val="both"/>
        <w:rPr>
          <w:rFonts w:ascii="Arial" w:hAnsi="Arial" w:cs="Arial"/>
          <w:sz w:val="24"/>
          <w:szCs w:val="24"/>
        </w:rPr>
      </w:pPr>
      <w:r w:rsidRPr="00907C17">
        <w:rPr>
          <w:rFonts w:ascii="Arial" w:hAnsi="Arial" w:cs="Arial"/>
          <w:b/>
          <w:bCs/>
          <w:sz w:val="24"/>
          <w:szCs w:val="24"/>
          <w:u w:val="single"/>
        </w:rPr>
        <w:t>Conclusion</w:t>
      </w:r>
    </w:p>
    <w:p w14:paraId="114D0F93" w14:textId="77777777" w:rsidR="00302ABD" w:rsidRPr="00E7024A" w:rsidRDefault="00302ABD" w:rsidP="00E7024A">
      <w:pPr>
        <w:spacing w:line="276" w:lineRule="auto"/>
        <w:jc w:val="both"/>
        <w:rPr>
          <w:rFonts w:ascii="Arial" w:hAnsi="Arial" w:cs="Arial"/>
        </w:rPr>
      </w:pPr>
    </w:p>
    <w:p w14:paraId="4E161E82" w14:textId="7E5E80CA" w:rsidR="00B07D8D" w:rsidRPr="00E7024A" w:rsidRDefault="00B07D8D" w:rsidP="00E7024A">
      <w:pPr>
        <w:spacing w:line="276" w:lineRule="auto"/>
        <w:ind w:left="0" w:firstLine="0"/>
        <w:jc w:val="both"/>
        <w:rPr>
          <w:rFonts w:ascii="Arial" w:hAnsi="Arial" w:cs="Arial"/>
        </w:rPr>
      </w:pPr>
      <w:r w:rsidRPr="00E7024A">
        <w:rPr>
          <w:rFonts w:ascii="Arial" w:hAnsi="Arial" w:cs="Arial"/>
        </w:rPr>
        <w:t xml:space="preserve">This </w:t>
      </w:r>
      <w:r w:rsidR="00CA788F">
        <w:rPr>
          <w:rFonts w:ascii="Arial" w:hAnsi="Arial" w:cs="Arial"/>
        </w:rPr>
        <w:t>report</w:t>
      </w:r>
      <w:r w:rsidRPr="00E7024A">
        <w:rPr>
          <w:rFonts w:ascii="Arial" w:hAnsi="Arial" w:cs="Arial"/>
        </w:rPr>
        <w:t xml:space="preserve"> examined the structural factors affecting the transition of international graduates from the Graduate Route to the Skilled Worker visa in the UK. The findings demonstrate that the transition is constrained not by a lack of graduate employment, but by a misalignment between labour market conditions and immigration policy requirements.</w:t>
      </w:r>
    </w:p>
    <w:p w14:paraId="419D41A9" w14:textId="77777777" w:rsidR="00B07D8D" w:rsidRPr="00E7024A" w:rsidRDefault="00B07D8D" w:rsidP="00E7024A">
      <w:pPr>
        <w:spacing w:line="276" w:lineRule="auto"/>
        <w:ind w:left="0" w:firstLine="0"/>
        <w:jc w:val="both"/>
        <w:rPr>
          <w:rFonts w:ascii="Arial" w:hAnsi="Arial" w:cs="Arial"/>
        </w:rPr>
      </w:pPr>
    </w:p>
    <w:p w14:paraId="48ECC177"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Although international graduates successfully enter the UK labour market, they are concentrated in roles and sectors that frequently fall below salary thresholds or do not meet eligibility criteria. At the same time, roles that satisfy visa requirements are often positioned at higher skill levels and are therefore inaccessible at the early stages of a graduate career.</w:t>
      </w:r>
    </w:p>
    <w:p w14:paraId="3DC6E09A" w14:textId="77777777" w:rsidR="00B07D8D" w:rsidRPr="00E7024A" w:rsidRDefault="00B07D8D" w:rsidP="00E7024A">
      <w:pPr>
        <w:spacing w:line="276" w:lineRule="auto"/>
        <w:ind w:left="0" w:firstLine="0"/>
        <w:jc w:val="both"/>
        <w:rPr>
          <w:rFonts w:ascii="Arial" w:hAnsi="Arial" w:cs="Arial"/>
        </w:rPr>
      </w:pPr>
    </w:p>
    <w:p w14:paraId="11A33CC7"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Overall, the evidence indicates that the Skilled Worker visa system functions less as a broad post-study retention pathway and more as a selective mechanism that filters individuals based on salary level, occupational status, and sectoral distribution. As a result, employment alone is insufficient to guarantee progression onto long-term skilled migration routes.</w:t>
      </w:r>
    </w:p>
    <w:p w14:paraId="3E5F670C" w14:textId="77777777" w:rsidR="00B07D8D" w:rsidRPr="00E7024A" w:rsidRDefault="00B07D8D" w:rsidP="00E7024A">
      <w:pPr>
        <w:spacing w:line="276" w:lineRule="auto"/>
        <w:ind w:left="0" w:firstLine="0"/>
        <w:jc w:val="both"/>
        <w:rPr>
          <w:rFonts w:ascii="Arial" w:hAnsi="Arial" w:cs="Arial"/>
        </w:rPr>
      </w:pPr>
    </w:p>
    <w:p w14:paraId="13FAED82" w14:textId="1F77B773" w:rsidR="00055D3E" w:rsidRPr="00AD33B1" w:rsidRDefault="00B07D8D" w:rsidP="00E7024A">
      <w:pPr>
        <w:spacing w:line="276" w:lineRule="auto"/>
        <w:ind w:left="0" w:firstLine="0"/>
        <w:jc w:val="both"/>
        <w:rPr>
          <w:rFonts w:ascii="Arial" w:hAnsi="Arial" w:cs="Arial"/>
        </w:rPr>
      </w:pPr>
      <w:r w:rsidRPr="00E7024A">
        <w:rPr>
          <w:rFonts w:ascii="Arial" w:hAnsi="Arial" w:cs="Arial"/>
        </w:rPr>
        <w:t>These findings highlight a structural tension between post-study work policy objectives and labour market realities, where eligibility for long-term residence is determined by a narrow set of economic and occupational criteria rather than graduate participation in employment.</w:t>
      </w:r>
    </w:p>
    <w:sectPr w:rsidR="00055D3E" w:rsidRPr="00AD3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E8A"/>
    <w:multiLevelType w:val="multilevel"/>
    <w:tmpl w:val="BCCE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904E0"/>
    <w:multiLevelType w:val="hybridMultilevel"/>
    <w:tmpl w:val="5F4A1F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EC55E9"/>
    <w:multiLevelType w:val="multilevel"/>
    <w:tmpl w:val="3400655A"/>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8027FCD"/>
    <w:multiLevelType w:val="multilevel"/>
    <w:tmpl w:val="526A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E1985"/>
    <w:multiLevelType w:val="multilevel"/>
    <w:tmpl w:val="5EB2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472CF4"/>
    <w:multiLevelType w:val="hybridMultilevel"/>
    <w:tmpl w:val="946A49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16270C"/>
    <w:multiLevelType w:val="multilevel"/>
    <w:tmpl w:val="3DA07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A37AD3"/>
    <w:multiLevelType w:val="hybridMultilevel"/>
    <w:tmpl w:val="74F2D812"/>
    <w:lvl w:ilvl="0" w:tplc="40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55D50768"/>
    <w:multiLevelType w:val="hybridMultilevel"/>
    <w:tmpl w:val="9B8E3DD8"/>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56242749">
    <w:abstractNumId w:val="6"/>
  </w:num>
  <w:num w:numId="2" w16cid:durableId="1998344757">
    <w:abstractNumId w:val="2"/>
  </w:num>
  <w:num w:numId="3" w16cid:durableId="1704405389">
    <w:abstractNumId w:val="7"/>
  </w:num>
  <w:num w:numId="4" w16cid:durableId="1055857258">
    <w:abstractNumId w:val="1"/>
  </w:num>
  <w:num w:numId="5" w16cid:durableId="1397128021">
    <w:abstractNumId w:val="8"/>
  </w:num>
  <w:num w:numId="6" w16cid:durableId="229463104">
    <w:abstractNumId w:val="0"/>
  </w:num>
  <w:num w:numId="7" w16cid:durableId="1646546861">
    <w:abstractNumId w:val="3"/>
  </w:num>
  <w:num w:numId="8" w16cid:durableId="49425324">
    <w:abstractNumId w:val="4"/>
  </w:num>
  <w:num w:numId="9" w16cid:durableId="7179725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2B9"/>
    <w:rsid w:val="0000779C"/>
    <w:rsid w:val="000118AF"/>
    <w:rsid w:val="000169F1"/>
    <w:rsid w:val="00017E56"/>
    <w:rsid w:val="00027537"/>
    <w:rsid w:val="00055D3E"/>
    <w:rsid w:val="00060039"/>
    <w:rsid w:val="00073FAE"/>
    <w:rsid w:val="000A11BC"/>
    <w:rsid w:val="000B6195"/>
    <w:rsid w:val="000C2526"/>
    <w:rsid w:val="000C34C7"/>
    <w:rsid w:val="000C7FD7"/>
    <w:rsid w:val="000D10F7"/>
    <w:rsid w:val="000D645F"/>
    <w:rsid w:val="000E68E7"/>
    <w:rsid w:val="00117E5B"/>
    <w:rsid w:val="00117F7B"/>
    <w:rsid w:val="00122DD1"/>
    <w:rsid w:val="00123EDC"/>
    <w:rsid w:val="00137ABC"/>
    <w:rsid w:val="00137BD1"/>
    <w:rsid w:val="00150EC8"/>
    <w:rsid w:val="00153DF4"/>
    <w:rsid w:val="0017058F"/>
    <w:rsid w:val="00172E26"/>
    <w:rsid w:val="001949C9"/>
    <w:rsid w:val="001A3F92"/>
    <w:rsid w:val="001E0884"/>
    <w:rsid w:val="001F0B83"/>
    <w:rsid w:val="00200C2D"/>
    <w:rsid w:val="00201B75"/>
    <w:rsid w:val="00213EC3"/>
    <w:rsid w:val="002165BB"/>
    <w:rsid w:val="00223E61"/>
    <w:rsid w:val="00242AED"/>
    <w:rsid w:val="002511F0"/>
    <w:rsid w:val="002561A7"/>
    <w:rsid w:val="0026725B"/>
    <w:rsid w:val="00275BCB"/>
    <w:rsid w:val="00282431"/>
    <w:rsid w:val="00295342"/>
    <w:rsid w:val="002C281F"/>
    <w:rsid w:val="002D7585"/>
    <w:rsid w:val="002F43AF"/>
    <w:rsid w:val="002F56B8"/>
    <w:rsid w:val="00302ABD"/>
    <w:rsid w:val="0030546F"/>
    <w:rsid w:val="00322E37"/>
    <w:rsid w:val="00332014"/>
    <w:rsid w:val="00346D83"/>
    <w:rsid w:val="0036670D"/>
    <w:rsid w:val="003834F0"/>
    <w:rsid w:val="00395CEC"/>
    <w:rsid w:val="003B065D"/>
    <w:rsid w:val="003D00E3"/>
    <w:rsid w:val="003D6B5E"/>
    <w:rsid w:val="003E4ED8"/>
    <w:rsid w:val="003F4182"/>
    <w:rsid w:val="003F6C8C"/>
    <w:rsid w:val="00416628"/>
    <w:rsid w:val="0045771C"/>
    <w:rsid w:val="0047097A"/>
    <w:rsid w:val="00492A34"/>
    <w:rsid w:val="00496BC7"/>
    <w:rsid w:val="004E2F2C"/>
    <w:rsid w:val="004F062E"/>
    <w:rsid w:val="004F1CBD"/>
    <w:rsid w:val="0051769A"/>
    <w:rsid w:val="00526964"/>
    <w:rsid w:val="005303E9"/>
    <w:rsid w:val="00534B02"/>
    <w:rsid w:val="00562726"/>
    <w:rsid w:val="005642E9"/>
    <w:rsid w:val="00577470"/>
    <w:rsid w:val="0058565E"/>
    <w:rsid w:val="00596342"/>
    <w:rsid w:val="005B3E89"/>
    <w:rsid w:val="005B5B78"/>
    <w:rsid w:val="005D4E0A"/>
    <w:rsid w:val="005D7CC2"/>
    <w:rsid w:val="005E2578"/>
    <w:rsid w:val="00604CC9"/>
    <w:rsid w:val="00610FE5"/>
    <w:rsid w:val="00616E58"/>
    <w:rsid w:val="0063693C"/>
    <w:rsid w:val="00655793"/>
    <w:rsid w:val="006766BA"/>
    <w:rsid w:val="0069302E"/>
    <w:rsid w:val="00693BB9"/>
    <w:rsid w:val="006A167E"/>
    <w:rsid w:val="006A4B21"/>
    <w:rsid w:val="006D51CB"/>
    <w:rsid w:val="006E2532"/>
    <w:rsid w:val="007167C9"/>
    <w:rsid w:val="007270B3"/>
    <w:rsid w:val="00727621"/>
    <w:rsid w:val="00730910"/>
    <w:rsid w:val="007311AD"/>
    <w:rsid w:val="00741270"/>
    <w:rsid w:val="00760F07"/>
    <w:rsid w:val="00771D81"/>
    <w:rsid w:val="00775D71"/>
    <w:rsid w:val="007839EC"/>
    <w:rsid w:val="007929EE"/>
    <w:rsid w:val="00795B82"/>
    <w:rsid w:val="007A62F4"/>
    <w:rsid w:val="007A7829"/>
    <w:rsid w:val="007A7F23"/>
    <w:rsid w:val="007B3A1A"/>
    <w:rsid w:val="007C6FFA"/>
    <w:rsid w:val="007E1166"/>
    <w:rsid w:val="007F435A"/>
    <w:rsid w:val="00801152"/>
    <w:rsid w:val="008046E9"/>
    <w:rsid w:val="00804EAE"/>
    <w:rsid w:val="00807EB6"/>
    <w:rsid w:val="00815C92"/>
    <w:rsid w:val="0082482B"/>
    <w:rsid w:val="0085073D"/>
    <w:rsid w:val="008712ED"/>
    <w:rsid w:val="008758EC"/>
    <w:rsid w:val="008C325C"/>
    <w:rsid w:val="008D52A7"/>
    <w:rsid w:val="008F40A8"/>
    <w:rsid w:val="00907C17"/>
    <w:rsid w:val="0093400D"/>
    <w:rsid w:val="0093527E"/>
    <w:rsid w:val="00992575"/>
    <w:rsid w:val="009A00CE"/>
    <w:rsid w:val="009A771C"/>
    <w:rsid w:val="009B153A"/>
    <w:rsid w:val="009B6A12"/>
    <w:rsid w:val="009B76C4"/>
    <w:rsid w:val="009D2C70"/>
    <w:rsid w:val="00A04717"/>
    <w:rsid w:val="00A11917"/>
    <w:rsid w:val="00A31A64"/>
    <w:rsid w:val="00A42D15"/>
    <w:rsid w:val="00A540B2"/>
    <w:rsid w:val="00A54D21"/>
    <w:rsid w:val="00A67427"/>
    <w:rsid w:val="00A72525"/>
    <w:rsid w:val="00A82AFA"/>
    <w:rsid w:val="00AB52FC"/>
    <w:rsid w:val="00AC678E"/>
    <w:rsid w:val="00AD33B1"/>
    <w:rsid w:val="00AD4FCB"/>
    <w:rsid w:val="00AE31B1"/>
    <w:rsid w:val="00B009C3"/>
    <w:rsid w:val="00B07D8D"/>
    <w:rsid w:val="00B31F98"/>
    <w:rsid w:val="00B416AF"/>
    <w:rsid w:val="00B52D69"/>
    <w:rsid w:val="00B76B0D"/>
    <w:rsid w:val="00B818A7"/>
    <w:rsid w:val="00B914E1"/>
    <w:rsid w:val="00B953BE"/>
    <w:rsid w:val="00BB0EE9"/>
    <w:rsid w:val="00BD099D"/>
    <w:rsid w:val="00BD4A39"/>
    <w:rsid w:val="00BE1517"/>
    <w:rsid w:val="00BE2F81"/>
    <w:rsid w:val="00C11D7B"/>
    <w:rsid w:val="00C37DDC"/>
    <w:rsid w:val="00C42441"/>
    <w:rsid w:val="00C7025E"/>
    <w:rsid w:val="00C747F6"/>
    <w:rsid w:val="00C849D3"/>
    <w:rsid w:val="00C85799"/>
    <w:rsid w:val="00C93AE9"/>
    <w:rsid w:val="00CA788F"/>
    <w:rsid w:val="00CB4F4B"/>
    <w:rsid w:val="00CD12B9"/>
    <w:rsid w:val="00CE5EE1"/>
    <w:rsid w:val="00CF53F6"/>
    <w:rsid w:val="00D113DC"/>
    <w:rsid w:val="00D26351"/>
    <w:rsid w:val="00D36406"/>
    <w:rsid w:val="00D44780"/>
    <w:rsid w:val="00D67072"/>
    <w:rsid w:val="00D80B81"/>
    <w:rsid w:val="00D826ED"/>
    <w:rsid w:val="00D82D9D"/>
    <w:rsid w:val="00D84D4F"/>
    <w:rsid w:val="00D91F5D"/>
    <w:rsid w:val="00D94E35"/>
    <w:rsid w:val="00D96554"/>
    <w:rsid w:val="00D975BE"/>
    <w:rsid w:val="00DA49CD"/>
    <w:rsid w:val="00DB2D11"/>
    <w:rsid w:val="00DC5D34"/>
    <w:rsid w:val="00DD4E00"/>
    <w:rsid w:val="00DE3F90"/>
    <w:rsid w:val="00E66F64"/>
    <w:rsid w:val="00E6748C"/>
    <w:rsid w:val="00E7024A"/>
    <w:rsid w:val="00E9364E"/>
    <w:rsid w:val="00E96C2C"/>
    <w:rsid w:val="00EA4010"/>
    <w:rsid w:val="00EC4F54"/>
    <w:rsid w:val="00EF4637"/>
    <w:rsid w:val="00F14136"/>
    <w:rsid w:val="00F31A0A"/>
    <w:rsid w:val="00F42472"/>
    <w:rsid w:val="00F42C16"/>
    <w:rsid w:val="00F46004"/>
    <w:rsid w:val="00F468BB"/>
    <w:rsid w:val="00F8273B"/>
    <w:rsid w:val="00F92D45"/>
    <w:rsid w:val="00F96833"/>
    <w:rsid w:val="00F97277"/>
    <w:rsid w:val="00FA0698"/>
    <w:rsid w:val="00FF0A42"/>
    <w:rsid w:val="00FF65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6E392"/>
  <w15:chartTrackingRefBased/>
  <w15:docId w15:val="{F6D06383-BED6-4F53-AACC-98BE29B2F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ind w:left="170" w:hanging="17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D12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12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12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12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12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12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2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2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2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2B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CD12B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CD12B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CD12B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CD12B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CD12B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D12B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D12B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D12B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D12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2B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D12B9"/>
    <w:pPr>
      <w:numPr>
        <w:ilvl w:val="1"/>
      </w:numPr>
      <w:spacing w:after="160"/>
      <w:ind w:left="170" w:hanging="17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2B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D12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12B9"/>
    <w:rPr>
      <w:i/>
      <w:iCs/>
      <w:color w:val="404040" w:themeColor="text1" w:themeTint="BF"/>
      <w:lang w:val="en-GB"/>
    </w:rPr>
  </w:style>
  <w:style w:type="paragraph" w:styleId="ListParagraph">
    <w:name w:val="List Paragraph"/>
    <w:basedOn w:val="Normal"/>
    <w:uiPriority w:val="34"/>
    <w:qFormat/>
    <w:rsid w:val="00CD12B9"/>
    <w:pPr>
      <w:ind w:left="720"/>
      <w:contextualSpacing/>
    </w:pPr>
  </w:style>
  <w:style w:type="character" w:styleId="IntenseEmphasis">
    <w:name w:val="Intense Emphasis"/>
    <w:basedOn w:val="DefaultParagraphFont"/>
    <w:uiPriority w:val="21"/>
    <w:qFormat/>
    <w:rsid w:val="00CD12B9"/>
    <w:rPr>
      <w:i/>
      <w:iCs/>
      <w:color w:val="2F5496" w:themeColor="accent1" w:themeShade="BF"/>
    </w:rPr>
  </w:style>
  <w:style w:type="paragraph" w:styleId="IntenseQuote">
    <w:name w:val="Intense Quote"/>
    <w:basedOn w:val="Normal"/>
    <w:next w:val="Normal"/>
    <w:link w:val="IntenseQuoteChar"/>
    <w:uiPriority w:val="30"/>
    <w:qFormat/>
    <w:rsid w:val="00CD12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12B9"/>
    <w:rPr>
      <w:i/>
      <w:iCs/>
      <w:color w:val="2F5496" w:themeColor="accent1" w:themeShade="BF"/>
      <w:lang w:val="en-GB"/>
    </w:rPr>
  </w:style>
  <w:style w:type="character" w:styleId="IntenseReference">
    <w:name w:val="Intense Reference"/>
    <w:basedOn w:val="DefaultParagraphFont"/>
    <w:uiPriority w:val="32"/>
    <w:qFormat/>
    <w:rsid w:val="00CD12B9"/>
    <w:rPr>
      <w:b/>
      <w:bCs/>
      <w:smallCaps/>
      <w:color w:val="2F5496" w:themeColor="accent1" w:themeShade="BF"/>
      <w:spacing w:val="5"/>
    </w:rPr>
  </w:style>
  <w:style w:type="character" w:styleId="Hyperlink">
    <w:name w:val="Hyperlink"/>
    <w:basedOn w:val="DefaultParagraphFont"/>
    <w:uiPriority w:val="99"/>
    <w:unhideWhenUsed/>
    <w:rsid w:val="00D94E35"/>
    <w:rPr>
      <w:color w:val="0563C1" w:themeColor="hyperlink"/>
      <w:u w:val="single"/>
    </w:rPr>
  </w:style>
  <w:style w:type="character" w:styleId="UnresolvedMention">
    <w:name w:val="Unresolved Mention"/>
    <w:basedOn w:val="DefaultParagraphFont"/>
    <w:uiPriority w:val="99"/>
    <w:semiHidden/>
    <w:unhideWhenUsed/>
    <w:rsid w:val="00D94E35"/>
    <w:rPr>
      <w:color w:val="605E5C"/>
      <w:shd w:val="clear" w:color="auto" w:fill="E1DFDD"/>
    </w:rPr>
  </w:style>
  <w:style w:type="character" w:styleId="FollowedHyperlink">
    <w:name w:val="FollowedHyperlink"/>
    <w:basedOn w:val="DefaultParagraphFont"/>
    <w:uiPriority w:val="99"/>
    <w:semiHidden/>
    <w:unhideWhenUsed/>
    <w:rsid w:val="00F14136"/>
    <w:rPr>
      <w:color w:val="954F72" w:themeColor="followedHyperlink"/>
      <w:u w:val="single"/>
    </w:rPr>
  </w:style>
  <w:style w:type="character" w:customStyle="1" w:styleId="t286pc">
    <w:name w:val="t286pc"/>
    <w:basedOn w:val="DefaultParagraphFont"/>
    <w:rsid w:val="00B52D69"/>
  </w:style>
  <w:style w:type="character" w:styleId="Strong">
    <w:name w:val="Strong"/>
    <w:basedOn w:val="DefaultParagraphFont"/>
    <w:uiPriority w:val="22"/>
    <w:qFormat/>
    <w:rsid w:val="00B52D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ns.gov.uk/" TargetMode="External"/><Relationship Id="rId11" Type="http://schemas.openxmlformats.org/officeDocument/2006/relationships/hyperlink" Target="https://www.gov.uk/government/publications/skilled-worker-visa-immigration-salary-list/skilled-worker-visa-immigration-salary-list" TargetMode="External"/><Relationship Id="rId5" Type="http://schemas.openxmlformats.org/officeDocument/2006/relationships/hyperlink" Target="https://www.gov.uk/government/organisations/home-office" TargetMode="External"/><Relationship Id="rId10" Type="http://schemas.openxmlformats.org/officeDocument/2006/relationships/hyperlink" Target="https://www.gov.uk/government/publications/skilled-worker-visa-eligible-occupations/skilled-worker-visa-eligible-occupations-and-code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10508</TotalTime>
  <Pages>8</Pages>
  <Words>2790</Words>
  <Characters>15909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Sanchari Ghosh</dc:creator>
  <cp:keywords/>
  <dc:description/>
  <cp:lastModifiedBy>Sanchari Ghosh</cp:lastModifiedBy>
  <cp:revision>14</cp:revision>
  <dcterms:created xsi:type="dcterms:W3CDTF">2026-03-12T07:53:00Z</dcterms:created>
  <dcterms:modified xsi:type="dcterms:W3CDTF">2026-05-04T20:33:00Z</dcterms:modified>
</cp:coreProperties>
</file>