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rFonts w:ascii="Calibri" w:hAnsi="Calibri"/>
          <w:b/>
          <w:color w:val="FBBF24"/>
          <w:sz w:val="56"/>
        </w:rPr>
        <w:t>GUÍA DE PRESENTACIÓN</w:t>
      </w:r>
    </w:p>
    <w:p>
      <w:pPr>
        <w:jc w:val="center"/>
      </w:pPr>
      <w:r>
        <w:rPr>
          <w:rFonts w:ascii="Calibri" w:hAnsi="Calibri"/>
          <w:color w:val="6B7280"/>
          <w:sz w:val="32"/>
        </w:rPr>
        <w:t>Sistema de Costos Gastronómicos · Instituto Culinary</w:t>
      </w:r>
    </w:p>
    <w:p/>
    <w:p>
      <w:pPr>
        <w:jc w:val="center"/>
      </w:pPr>
      <w:r>
        <w:rPr>
          <w:rFonts w:ascii="Calibri" w:hAnsi="Calibri"/>
          <w:color w:val="6B7280"/>
          <w:sz w:val="22"/>
        </w:rPr>
        <w:t>Esta guía acompaña la presentación "Culinary_Sistema_Costos_Presentacion.pptx"</w:t>
        <w:br/>
        <w:t>Santiago, Junio 2026  ·  13 slides  ·  Duración estimada: 25–35 minutos</w:t>
      </w:r>
    </w:p>
    <w:p>
      <w:r>
        <w:br w:type="page"/>
      </w:r>
    </w:p>
    <w:p>
      <w:pPr>
        <w:spacing w:before="360" w:after="80"/>
      </w:pPr>
      <w:r>
        <w:rPr>
          <w:rFonts w:ascii="Calibri" w:hAnsi="Calibri"/>
          <w:b/>
          <w:color w:val="FBBF24"/>
          <w:sz w:val="32"/>
        </w:rPr>
        <w:t>1.  Preparación Previa a la Presentación</w:t>
      </w:r>
    </w:p>
    <w:p>
      <w:pPr>
        <w:spacing w:before="280" w:after="60"/>
      </w:pPr>
      <w:r>
        <w:rPr>
          <w:rFonts w:ascii="Calibri" w:hAnsi="Calibri"/>
          <w:b/>
          <w:color w:val="1E1E1E"/>
          <w:sz w:val="26"/>
        </w:rPr>
        <w:t>Materiales necesarios</w:t>
      </w:r>
    </w:p>
    <w:p>
      <w:pPr>
        <w:pStyle w:val="ListBullet"/>
        <w:spacing w:before="20" w:after="20"/>
        <w:ind w:left="432"/>
      </w:pPr>
      <w:r>
        <w:rPr>
          <w:rFonts w:ascii="Calibri" w:hAnsi="Calibri"/>
          <w:sz w:val="22"/>
        </w:rPr>
        <w:t>Archivo PPT: Culinary_Sistema_Costos_Presentacion.pptx</w:t>
      </w:r>
    </w:p>
    <w:p>
      <w:pPr>
        <w:pStyle w:val="ListBullet"/>
        <w:spacing w:before="20" w:after="20"/>
        <w:ind w:left="432"/>
      </w:pPr>
      <w:r>
        <w:rPr>
          <w:rFonts w:ascii="Calibri" w:hAnsi="Calibri"/>
          <w:sz w:val="22"/>
        </w:rPr>
        <w:t>Acceso a internet para demo en vivo (opcional): culinary.pythonanywhere.com</w:t>
      </w:r>
    </w:p>
    <w:p>
      <w:pPr>
        <w:pStyle w:val="ListBullet"/>
        <w:spacing w:before="20" w:after="20"/>
        <w:ind w:left="432"/>
      </w:pPr>
      <w:r>
        <w:rPr>
          <w:rFonts w:ascii="Calibri" w:hAnsi="Calibri"/>
          <w:sz w:val="22"/>
        </w:rPr>
        <w:t>Informe APA impreso o digital: Culinary_Informe_APA_Sistema_Costos.docx</w:t>
      </w:r>
    </w:p>
    <w:p>
      <w:pPr>
        <w:pStyle w:val="ListBullet"/>
        <w:spacing w:before="20" w:after="20"/>
        <w:ind w:left="432"/>
      </w:pPr>
      <w:r>
        <w:rPr>
          <w:rFonts w:ascii="Calibri" w:hAnsi="Calibri"/>
          <w:sz w:val="22"/>
        </w:rPr>
        <w:t>Proyector o pantalla con resolución mínima 1280×720 (formato 16:9)</w:t>
      </w:r>
    </w:p>
    <w:p>
      <w:pPr>
        <w:pStyle w:val="ListBullet"/>
        <w:spacing w:before="20" w:after="20"/>
        <w:ind w:left="432"/>
      </w:pPr>
      <w:r>
        <w:rPr>
          <w:rFonts w:ascii="Calibri" w:hAnsi="Calibri"/>
          <w:sz w:val="22"/>
        </w:rPr>
        <w:t>Puntero láser o dispositivo de control remoto de diapositivas (recomendado)</w:t>
      </w:r>
    </w:p>
    <w:p>
      <w:pPr>
        <w:spacing w:before="280" w:after="60"/>
      </w:pPr>
      <w:r>
        <w:rPr>
          <w:rFonts w:ascii="Calibri" w:hAnsi="Calibri"/>
          <w:b/>
          <w:color w:val="1E1E1E"/>
          <w:sz w:val="26"/>
        </w:rPr>
        <w:t>Configuración técnica</w:t>
      </w:r>
    </w:p>
    <w:p>
      <w:pPr>
        <w:spacing w:before="40" w:after="80"/>
      </w:pPr>
      <w:r>
        <w:rPr>
          <w:rFonts w:ascii="Calibri" w:hAnsi="Calibri"/>
          <w:sz w:val="22"/>
        </w:rPr>
        <w:t>Antes de comenzar, verificar:</w:t>
      </w:r>
    </w:p>
    <w:p>
      <w:pPr>
        <w:pStyle w:val="ListBullet"/>
        <w:spacing w:before="20" w:after="20"/>
        <w:ind w:left="432"/>
      </w:pPr>
      <w:r>
        <w:rPr>
          <w:rFonts w:ascii="Calibri" w:hAnsi="Calibri"/>
          <w:sz w:val="22"/>
        </w:rPr>
        <w:t>Abrir el PPT y poner en modo presentación (F5 o Vista → Presentación con diapositivas).</w:t>
      </w:r>
    </w:p>
    <w:p>
      <w:pPr>
        <w:pStyle w:val="ListBullet"/>
        <w:spacing w:before="20" w:after="20"/>
        <w:ind w:left="432"/>
      </w:pPr>
      <w:r>
        <w:rPr>
          <w:rFonts w:ascii="Calibri" w:hAnsi="Calibri"/>
          <w:sz w:val="22"/>
        </w:rPr>
        <w:t>Revisar que los colores oscuros del fondo se visualicen correctamente en el proyector.</w:t>
      </w:r>
    </w:p>
    <w:p>
      <w:pPr>
        <w:pStyle w:val="ListBullet"/>
        <w:spacing w:before="20" w:after="20"/>
        <w:ind w:left="432"/>
      </w:pPr>
      <w:r>
        <w:rPr>
          <w:rFonts w:ascii="Calibri" w:hAnsi="Calibri"/>
          <w:sz w:val="22"/>
        </w:rPr>
        <w:t>Si se hará demo en vivo: tener abierta la pestaña del sistema en el navegador con la sesión iniciada.</w:t>
      </w:r>
    </w:p>
    <w:p>
      <w:pPr>
        <w:pStyle w:val="ListBullet"/>
        <w:spacing w:before="20" w:after="20"/>
        <w:ind w:left="432"/>
      </w:pPr>
      <w:r>
        <w:rPr>
          <w:rFonts w:ascii="Calibri" w:hAnsi="Calibri"/>
          <w:sz w:val="22"/>
        </w:rPr>
        <w:t>Configurar el Panel de notas (Vista → Panel de notas) para usar esta guía durante la exposición.</w:t>
      </w:r>
    </w:p>
    <w:p>
      <w:pPr>
        <w:spacing w:before="280" w:after="60"/>
      </w:pPr>
      <w:r>
        <w:rPr>
          <w:rFonts w:ascii="Calibri" w:hAnsi="Calibri"/>
          <w:b/>
          <w:color w:val="1E1E1E"/>
          <w:sz w:val="26"/>
        </w:rPr>
        <w:t>Tiempo estimado por sección</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e1e1e"/>
          </w:tcPr>
          <w:p>
            <w:pPr>
              <w:jc w:val="center"/>
            </w:pPr>
            <w:r>
              <w:rPr>
                <w:rFonts w:ascii="Calibri" w:hAnsi="Calibri"/>
                <w:b/>
                <w:color w:val="FBBF24"/>
                <w:sz w:val="22"/>
              </w:rPr>
              <w:t>Sección</w:t>
            </w:r>
          </w:p>
        </w:tc>
        <w:tc>
          <w:tcPr>
            <w:tcW w:type="dxa" w:w="3135"/>
            <w:shd w:val="clear" w:color="auto" w:fill="1e1e1e"/>
          </w:tcPr>
          <w:p>
            <w:pPr>
              <w:jc w:val="center"/>
            </w:pPr>
            <w:r>
              <w:rPr>
                <w:rFonts w:ascii="Calibri" w:hAnsi="Calibri"/>
                <w:b/>
                <w:color w:val="FBBF24"/>
                <w:sz w:val="22"/>
              </w:rPr>
              <w:t>Slides</w:t>
            </w:r>
          </w:p>
        </w:tc>
        <w:tc>
          <w:tcPr>
            <w:tcW w:type="dxa" w:w="3135"/>
            <w:shd w:val="clear" w:color="auto" w:fill="1e1e1e"/>
          </w:tcPr>
          <w:p>
            <w:pPr>
              <w:jc w:val="center"/>
            </w:pPr>
            <w:r>
              <w:rPr>
                <w:rFonts w:ascii="Calibri" w:hAnsi="Calibri"/>
                <w:b/>
                <w:color w:val="FBBF24"/>
                <w:sz w:val="22"/>
              </w:rPr>
              <w:t>Duración</w:t>
            </w:r>
          </w:p>
        </w:tc>
      </w:tr>
      <w:tr>
        <w:tc>
          <w:tcPr>
            <w:tcW w:type="dxa" w:w="3135"/>
            <w:shd w:val="clear" w:color="auto" w:fill="141414"/>
          </w:tcPr>
          <w:p>
            <w:pPr>
              <w:jc w:val="left"/>
            </w:pPr>
            <w:r>
              <w:rPr>
                <w:rFonts w:ascii="Calibri" w:hAnsi="Calibri"/>
                <w:color w:val="FFFFFF"/>
                <w:sz w:val="22"/>
              </w:rPr>
              <w:t>Introducción y contexto</w:t>
            </w:r>
          </w:p>
        </w:tc>
        <w:tc>
          <w:tcPr>
            <w:tcW w:type="dxa" w:w="3135"/>
            <w:shd w:val="clear" w:color="auto" w:fill="141414"/>
          </w:tcPr>
          <w:p>
            <w:pPr>
              <w:jc w:val="center"/>
            </w:pPr>
            <w:r>
              <w:rPr>
                <w:rFonts w:ascii="Calibri" w:hAnsi="Calibri"/>
                <w:color w:val="FBBF24"/>
                <w:sz w:val="22"/>
              </w:rPr>
              <w:t>1–3</w:t>
            </w:r>
          </w:p>
        </w:tc>
        <w:tc>
          <w:tcPr>
            <w:tcW w:type="dxa" w:w="3135"/>
            <w:shd w:val="clear" w:color="auto" w:fill="141414"/>
          </w:tcPr>
          <w:p>
            <w:pPr>
              <w:jc w:val="center"/>
            </w:pPr>
            <w:r>
              <w:rPr>
                <w:rFonts w:ascii="Calibri" w:hAnsi="Calibri"/>
                <w:color w:val="FBBF24"/>
                <w:sz w:val="22"/>
              </w:rPr>
              <w:t>4–5 min</w:t>
            </w:r>
          </w:p>
        </w:tc>
      </w:tr>
      <w:tr>
        <w:tc>
          <w:tcPr>
            <w:tcW w:type="dxa" w:w="3135"/>
            <w:shd w:val="clear" w:color="auto" w:fill="1a1a1a"/>
          </w:tcPr>
          <w:p>
            <w:pPr>
              <w:jc w:val="left"/>
            </w:pPr>
            <w:r>
              <w:rPr>
                <w:rFonts w:ascii="Calibri" w:hAnsi="Calibri"/>
                <w:color w:val="FFFFFF"/>
                <w:sz w:val="22"/>
              </w:rPr>
              <w:t>La solución y arquitectura</w:t>
            </w:r>
          </w:p>
        </w:tc>
        <w:tc>
          <w:tcPr>
            <w:tcW w:type="dxa" w:w="3135"/>
            <w:shd w:val="clear" w:color="auto" w:fill="1a1a1a"/>
          </w:tcPr>
          <w:p>
            <w:pPr>
              <w:jc w:val="center"/>
            </w:pPr>
            <w:r>
              <w:rPr>
                <w:rFonts w:ascii="Calibri" w:hAnsi="Calibri"/>
                <w:color w:val="FBBF24"/>
                <w:sz w:val="22"/>
              </w:rPr>
              <w:t>4–5</w:t>
            </w:r>
          </w:p>
        </w:tc>
        <w:tc>
          <w:tcPr>
            <w:tcW w:type="dxa" w:w="3135"/>
            <w:shd w:val="clear" w:color="auto" w:fill="1a1a1a"/>
          </w:tcPr>
          <w:p>
            <w:pPr>
              <w:jc w:val="center"/>
            </w:pPr>
            <w:r>
              <w:rPr>
                <w:rFonts w:ascii="Calibri" w:hAnsi="Calibri"/>
                <w:color w:val="FBBF24"/>
                <w:sz w:val="22"/>
              </w:rPr>
              <w:t>4–5 min</w:t>
            </w:r>
          </w:p>
        </w:tc>
      </w:tr>
      <w:tr>
        <w:tc>
          <w:tcPr>
            <w:tcW w:type="dxa" w:w="3135"/>
            <w:shd w:val="clear" w:color="auto" w:fill="141414"/>
          </w:tcPr>
          <w:p>
            <w:pPr>
              <w:jc w:val="left"/>
            </w:pPr>
            <w:r>
              <w:rPr>
                <w:rFonts w:ascii="Calibri" w:hAnsi="Calibri"/>
                <w:color w:val="FFFFFF"/>
                <w:sz w:val="22"/>
              </w:rPr>
              <w:t>Datos y KPIs</w:t>
            </w:r>
          </w:p>
        </w:tc>
        <w:tc>
          <w:tcPr>
            <w:tcW w:type="dxa" w:w="3135"/>
            <w:shd w:val="clear" w:color="auto" w:fill="141414"/>
          </w:tcPr>
          <w:p>
            <w:pPr>
              <w:jc w:val="center"/>
            </w:pPr>
            <w:r>
              <w:rPr>
                <w:rFonts w:ascii="Calibri" w:hAnsi="Calibri"/>
                <w:color w:val="FBBF24"/>
                <w:sz w:val="22"/>
              </w:rPr>
              <w:t>6–7</w:t>
            </w:r>
          </w:p>
        </w:tc>
        <w:tc>
          <w:tcPr>
            <w:tcW w:type="dxa" w:w="3135"/>
            <w:shd w:val="clear" w:color="auto" w:fill="141414"/>
          </w:tcPr>
          <w:p>
            <w:pPr>
              <w:jc w:val="center"/>
            </w:pPr>
            <w:r>
              <w:rPr>
                <w:rFonts w:ascii="Calibri" w:hAnsi="Calibri"/>
                <w:color w:val="FBBF24"/>
                <w:sz w:val="22"/>
              </w:rPr>
              <w:t>5–7 min</w:t>
            </w:r>
          </w:p>
        </w:tc>
      </w:tr>
      <w:tr>
        <w:tc>
          <w:tcPr>
            <w:tcW w:type="dxa" w:w="3135"/>
            <w:shd w:val="clear" w:color="auto" w:fill="1a1a1a"/>
          </w:tcPr>
          <w:p>
            <w:pPr>
              <w:jc w:val="left"/>
            </w:pPr>
            <w:r>
              <w:rPr>
                <w:rFonts w:ascii="Calibri" w:hAnsi="Calibri"/>
                <w:color w:val="FFFFFF"/>
                <w:sz w:val="22"/>
              </w:rPr>
              <w:t>Análisis de costos</w:t>
            </w:r>
          </w:p>
        </w:tc>
        <w:tc>
          <w:tcPr>
            <w:tcW w:type="dxa" w:w="3135"/>
            <w:shd w:val="clear" w:color="auto" w:fill="1a1a1a"/>
          </w:tcPr>
          <w:p>
            <w:pPr>
              <w:jc w:val="center"/>
            </w:pPr>
            <w:r>
              <w:rPr>
                <w:rFonts w:ascii="Calibri" w:hAnsi="Calibri"/>
                <w:color w:val="FBBF24"/>
                <w:sz w:val="22"/>
              </w:rPr>
              <w:t>8–11</w:t>
            </w:r>
          </w:p>
        </w:tc>
        <w:tc>
          <w:tcPr>
            <w:tcW w:type="dxa" w:w="3135"/>
            <w:shd w:val="clear" w:color="auto" w:fill="1a1a1a"/>
          </w:tcPr>
          <w:p>
            <w:pPr>
              <w:jc w:val="center"/>
            </w:pPr>
            <w:r>
              <w:rPr>
                <w:rFonts w:ascii="Calibri" w:hAnsi="Calibri"/>
                <w:color w:val="FBBF24"/>
                <w:sz w:val="22"/>
              </w:rPr>
              <w:t>8–10 min</w:t>
            </w:r>
          </w:p>
        </w:tc>
      </w:tr>
      <w:tr>
        <w:tc>
          <w:tcPr>
            <w:tcW w:type="dxa" w:w="3135"/>
            <w:shd w:val="clear" w:color="auto" w:fill="141414"/>
          </w:tcPr>
          <w:p>
            <w:pPr>
              <w:jc w:val="left"/>
            </w:pPr>
            <w:r>
              <w:rPr>
                <w:rFonts w:ascii="Calibri" w:hAnsi="Calibri"/>
                <w:color w:val="FFFFFF"/>
                <w:sz w:val="22"/>
              </w:rPr>
              <w:t>Hallazgos y cierre</w:t>
            </w:r>
          </w:p>
        </w:tc>
        <w:tc>
          <w:tcPr>
            <w:tcW w:type="dxa" w:w="3135"/>
            <w:shd w:val="clear" w:color="auto" w:fill="141414"/>
          </w:tcPr>
          <w:p>
            <w:pPr>
              <w:jc w:val="center"/>
            </w:pPr>
            <w:r>
              <w:rPr>
                <w:rFonts w:ascii="Calibri" w:hAnsi="Calibri"/>
                <w:color w:val="FBBF24"/>
                <w:sz w:val="22"/>
              </w:rPr>
              <w:t>12–13</w:t>
            </w:r>
          </w:p>
        </w:tc>
        <w:tc>
          <w:tcPr>
            <w:tcW w:type="dxa" w:w="3135"/>
            <w:shd w:val="clear" w:color="auto" w:fill="141414"/>
          </w:tcPr>
          <w:p>
            <w:pPr>
              <w:jc w:val="center"/>
            </w:pPr>
            <w:r>
              <w:rPr>
                <w:rFonts w:ascii="Calibri" w:hAnsi="Calibri"/>
                <w:color w:val="FBBF24"/>
                <w:sz w:val="22"/>
              </w:rPr>
              <w:t>4–5 min</w:t>
            </w:r>
          </w:p>
        </w:tc>
      </w:tr>
    </w:tbl>
    <w:p/>
    <w:p>
      <w:r>
        <w:br w:type="page"/>
      </w:r>
    </w:p>
    <w:p>
      <w:pPr>
        <w:spacing w:before="360" w:after="80"/>
      </w:pPr>
      <w:r>
        <w:rPr>
          <w:rFonts w:ascii="Calibri" w:hAnsi="Calibri"/>
          <w:b/>
          <w:color w:val="FBBF24"/>
          <w:sz w:val="32"/>
        </w:rPr>
        <w:t>2.  Guía Slide por Slide</w:t>
      </w:r>
    </w:p>
    <w:p>
      <w:pPr>
        <w:spacing w:before="40" w:after="80"/>
      </w:pPr>
      <w:r>
        <w:rPr>
          <w:rFonts w:ascii="Calibri" w:hAnsi="Calibri"/>
          <w:sz w:val="22"/>
        </w:rPr>
        <w:t>Cada bloque indica el objetivo del slide, los puntos clave a mencionar, cifras de apoyo y consejos para el presentador.</w:t>
      </w:r>
    </w:p>
    <w:p>
      <w:pPr>
        <w:spacing w:before="80" w:after="80"/>
      </w:pPr>
      <w:r>
        <w:rPr>
          <w:rFonts w:ascii="Calibri" w:hAnsi="Calibri"/>
          <w:color w:val="D1D5DB"/>
          <w:sz w:val="16"/>
        </w:rPr>
        <w:t>──────────────────────────────────────────────────────────────────────────────────────────</w:t>
      </w:r>
    </w:p>
    <w:tbl>
      <w:tblPr>
        <w:tblStyle w:val="TableGrid"/>
        <w:tblW w:type="auto" w:w="0"/>
        <w:jc w:val="left"/>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c>
          <w:tcPr>
            <w:tcW w:type="dxa" w:w="1568"/>
            <w:gridSpan w:val="2"/>
            <w:shd w:val="clear" w:color="auto" w:fill="1e1e1e"/>
          </w:tcPr>
          <w:p>
            <w:pPr>
              <w:jc w:val="center"/>
            </w:pPr>
            <w:r>
              <w:rPr>
                <w:rFonts w:ascii="Calibri" w:hAnsi="Calibri"/>
                <w:b/>
                <w:color w:val="FBBF24"/>
                <w:sz w:val="28"/>
              </w:rPr>
              <w:t>SLIDE</w:t>
              <w:br/>
              <w:t>01</w:t>
            </w:r>
          </w:p>
        </w:tc>
        <w:tc>
          <w:tcPr>
            <w:tcW w:type="dxa" w:w="5488"/>
            <w:gridSpan w:val="7"/>
            <w:shd w:val="clear" w:color="auto" w:fill="141414"/>
          </w:tcPr>
          <w:p>
            <w:r>
              <w:rPr>
                <w:rFonts w:ascii="Calibri" w:hAnsi="Calibri"/>
                <w:b/>
                <w:color w:val="FFFFFF"/>
                <w:sz w:val="26"/>
              </w:rPr>
              <w:t>PORTADA — Sistema de Costos Gastronómicos</w:t>
            </w:r>
          </w:p>
        </w:tc>
        <w:tc>
          <w:tcPr>
            <w:tcW w:type="dxa" w:w="2352"/>
            <w:gridSpan w:val="3"/>
            <w:shd w:val="clear" w:color="auto" w:fill="292929"/>
          </w:tcPr>
          <w:p>
            <w:pPr>
              <w:jc w:val="right"/>
            </w:pPr>
            <w:r>
              <w:rPr>
                <w:rFonts w:ascii="Calibri" w:hAnsi="Calibri"/>
                <w:color w:val="FBBF24"/>
                <w:sz w:val="20"/>
              </w:rPr>
              <w:t>⏱ 1–2 min</w:t>
            </w:r>
          </w:p>
        </w:tc>
      </w:tr>
    </w:tbl>
    <w:p>
      <w:pPr>
        <w:spacing w:before="80" w:after="40"/>
        <w:ind w:left="288"/>
      </w:pPr>
      <w:r>
        <w:rPr>
          <w:rFonts w:ascii="Calibri" w:hAnsi="Calibri"/>
          <w:b/>
          <w:color w:val="3B82F6"/>
          <w:sz w:val="20"/>
        </w:rPr>
        <w:t xml:space="preserve">OBJETIVO: </w:t>
      </w:r>
      <w:r>
        <w:rPr>
          <w:rFonts w:ascii="Calibri" w:hAnsi="Calibri"/>
          <w:sz w:val="20"/>
        </w:rPr>
        <w:t>Generar la primera impresión correcta: el sistema tiene identidad institucional, es profesional y pertenece al Instituto Culinary.</w:t>
      </w:r>
    </w:p>
    <w:p>
      <w:pPr>
        <w:spacing w:before="40" w:after="20"/>
        <w:ind w:left="288"/>
      </w:pPr>
      <w:r>
        <w:rPr>
          <w:rFonts w:ascii="Calibri" w:hAnsi="Calibri"/>
          <w:b/>
          <w:color w:val="6B7280"/>
          <w:sz w:val="20"/>
        </w:rPr>
        <w:t>PUNTOS CLAVE A DESTACAR:</w:t>
      </w:r>
    </w:p>
    <w:p>
      <w:pPr>
        <w:spacing w:before="20" w:after="20"/>
        <w:ind w:left="720"/>
      </w:pPr>
      <w:r>
        <w:rPr>
          <w:rFonts w:ascii="Calibri" w:hAnsi="Calibri"/>
          <w:color w:val="FBBF24"/>
          <w:sz w:val="20"/>
        </w:rPr>
        <w:t xml:space="preserve">→  </w:t>
      </w:r>
      <w:r>
        <w:rPr>
          <w:rFonts w:ascii="Calibri" w:hAnsi="Calibri"/>
          <w:sz w:val="20"/>
        </w:rPr>
        <w:t>Presentar el nombre completo del sistema y el campus al que corresponde.</w:t>
      </w:r>
    </w:p>
    <w:p>
      <w:pPr>
        <w:spacing w:before="20" w:after="20"/>
        <w:ind w:left="720"/>
      </w:pPr>
      <w:r>
        <w:rPr>
          <w:rFonts w:ascii="Calibri" w:hAnsi="Calibri"/>
          <w:color w:val="FBBF24"/>
          <w:sz w:val="20"/>
        </w:rPr>
        <w:t xml:space="preserve">→  </w:t>
      </w:r>
      <w:r>
        <w:rPr>
          <w:rFonts w:ascii="Calibri" w:hAnsi="Calibri"/>
          <w:sz w:val="20"/>
        </w:rPr>
        <w:t>Mencionar que es una herramienta de uso interno para gestión académico-administrativa.</w:t>
      </w:r>
    </w:p>
    <w:p>
      <w:pPr>
        <w:spacing w:before="20" w:after="20"/>
        <w:ind w:left="720"/>
      </w:pPr>
      <w:r>
        <w:rPr>
          <w:rFonts w:ascii="Calibri" w:hAnsi="Calibri"/>
          <w:color w:val="FBBF24"/>
          <w:sz w:val="20"/>
        </w:rPr>
        <w:t xml:space="preserve">→  </w:t>
      </w:r>
      <w:r>
        <w:rPr>
          <w:rFonts w:ascii="Calibri" w:hAnsi="Calibri"/>
          <w:sz w:val="20"/>
        </w:rPr>
        <w:t>Indicar el período de análisis: año académico 2026.</w:t>
      </w:r>
    </w:p>
    <w:p>
      <w:pPr>
        <w:spacing w:before="40" w:after="120"/>
        <w:ind w:left="288"/>
      </w:pPr>
      <w:r>
        <w:rPr>
          <w:rFonts w:ascii="Calibri" w:hAnsi="Calibri"/>
          <w:b/>
          <w:color w:val="FBBF24"/>
          <w:sz w:val="20"/>
        </w:rPr>
        <w:t xml:space="preserve">💡 CONSEJO:  </w:t>
      </w:r>
      <w:r>
        <w:rPr>
          <w:rFonts w:ascii="Calibri" w:hAnsi="Calibri"/>
          <w:i/>
          <w:sz w:val="20"/>
        </w:rPr>
        <w:t>No leer el slide. Presentar brevemente quién habla, en qué contexto y cuánto durará la exposición. Crear expectativa.</w:t>
      </w:r>
    </w:p>
    <w:p>
      <w:pPr>
        <w:spacing w:before="80" w:after="80"/>
      </w:pPr>
      <w:r>
        <w:rPr>
          <w:rFonts w:ascii="Calibri" w:hAnsi="Calibri"/>
          <w:color w:val="D1D5DB"/>
          <w:sz w:val="16"/>
        </w:rPr>
        <w:t>──────────────────────────────────────────────────────────────────────────────────────────</w:t>
      </w:r>
    </w:p>
    <w:tbl>
      <w:tblPr>
        <w:tblStyle w:val="TableGrid"/>
        <w:tblW w:type="auto" w:w="0"/>
        <w:jc w:val="left"/>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c>
          <w:tcPr>
            <w:tcW w:type="dxa" w:w="1568"/>
            <w:gridSpan w:val="2"/>
            <w:shd w:val="clear" w:color="auto" w:fill="1e1e1e"/>
          </w:tcPr>
          <w:p>
            <w:pPr>
              <w:jc w:val="center"/>
            </w:pPr>
            <w:r>
              <w:rPr>
                <w:rFonts w:ascii="Calibri" w:hAnsi="Calibri"/>
                <w:b/>
                <w:color w:val="FBBF24"/>
                <w:sz w:val="28"/>
              </w:rPr>
              <w:t>SLIDE</w:t>
              <w:br/>
              <w:t>02</w:t>
            </w:r>
          </w:p>
        </w:tc>
        <w:tc>
          <w:tcPr>
            <w:tcW w:type="dxa" w:w="5488"/>
            <w:gridSpan w:val="7"/>
            <w:shd w:val="clear" w:color="auto" w:fill="141414"/>
          </w:tcPr>
          <w:p>
            <w:r>
              <w:rPr>
                <w:rFonts w:ascii="Calibri" w:hAnsi="Calibri"/>
                <w:b/>
                <w:color w:val="FFFFFF"/>
                <w:sz w:val="26"/>
              </w:rPr>
              <w:t>AGENDA — Contenido de la presentación</w:t>
            </w:r>
          </w:p>
        </w:tc>
        <w:tc>
          <w:tcPr>
            <w:tcW w:type="dxa" w:w="2352"/>
            <w:gridSpan w:val="3"/>
            <w:shd w:val="clear" w:color="auto" w:fill="292929"/>
          </w:tcPr>
          <w:p>
            <w:pPr>
              <w:jc w:val="right"/>
            </w:pPr>
            <w:r>
              <w:rPr>
                <w:rFonts w:ascii="Calibri" w:hAnsi="Calibri"/>
                <w:color w:val="FBBF24"/>
                <w:sz w:val="20"/>
              </w:rPr>
              <w:t>⏱ 1 min</w:t>
            </w:r>
          </w:p>
        </w:tc>
      </w:tr>
    </w:tbl>
    <w:p>
      <w:pPr>
        <w:spacing w:before="80" w:after="40"/>
        <w:ind w:left="288"/>
      </w:pPr>
      <w:r>
        <w:rPr>
          <w:rFonts w:ascii="Calibri" w:hAnsi="Calibri"/>
          <w:b/>
          <w:color w:val="3B82F6"/>
          <w:sz w:val="20"/>
        </w:rPr>
        <w:t xml:space="preserve">OBJETIVO: </w:t>
      </w:r>
      <w:r>
        <w:rPr>
          <w:rFonts w:ascii="Calibri" w:hAnsi="Calibri"/>
          <w:sz w:val="20"/>
        </w:rPr>
        <w:t>Dar al público una hoja de ruta clara para que puedan seguir el hilo de la presentación.</w:t>
      </w:r>
    </w:p>
    <w:p>
      <w:pPr>
        <w:spacing w:before="40" w:after="20"/>
        <w:ind w:left="288"/>
      </w:pPr>
      <w:r>
        <w:rPr>
          <w:rFonts w:ascii="Calibri" w:hAnsi="Calibri"/>
          <w:b/>
          <w:color w:val="6B7280"/>
          <w:sz w:val="20"/>
        </w:rPr>
        <w:t>PUNTOS CLAVE A DESTACAR:</w:t>
      </w:r>
    </w:p>
    <w:p>
      <w:pPr>
        <w:spacing w:before="20" w:after="20"/>
        <w:ind w:left="720"/>
      </w:pPr>
      <w:r>
        <w:rPr>
          <w:rFonts w:ascii="Calibri" w:hAnsi="Calibri"/>
          <w:color w:val="FBBF24"/>
          <w:sz w:val="20"/>
        </w:rPr>
        <w:t xml:space="preserve">→  </w:t>
      </w:r>
      <w:r>
        <w:rPr>
          <w:rFonts w:ascii="Calibri" w:hAnsi="Calibri"/>
          <w:sz w:val="20"/>
        </w:rPr>
        <w:t>Recorrer brevemente los 9 puntos del índice.</w:t>
      </w:r>
    </w:p>
    <w:p>
      <w:pPr>
        <w:spacing w:before="20" w:after="20"/>
        <w:ind w:left="720"/>
      </w:pPr>
      <w:r>
        <w:rPr>
          <w:rFonts w:ascii="Calibri" w:hAnsi="Calibri"/>
          <w:color w:val="FBBF24"/>
          <w:sz w:val="20"/>
        </w:rPr>
        <w:t xml:space="preserve">→  </w:t>
      </w:r>
      <w:r>
        <w:rPr>
          <w:rFonts w:ascii="Calibri" w:hAnsi="Calibri"/>
          <w:sz w:val="20"/>
        </w:rPr>
        <w:t>Señalar que se mostrará demo en vivo del sistema si el tiempo lo permite.</w:t>
      </w:r>
    </w:p>
    <w:p>
      <w:pPr>
        <w:spacing w:before="20" w:after="20"/>
        <w:ind w:left="720"/>
      </w:pPr>
      <w:r>
        <w:rPr>
          <w:rFonts w:ascii="Calibri" w:hAnsi="Calibri"/>
          <w:color w:val="FBBF24"/>
          <w:sz w:val="20"/>
        </w:rPr>
        <w:t xml:space="preserve">→  </w:t>
      </w:r>
      <w:r>
        <w:rPr>
          <w:rFonts w:ascii="Calibri" w:hAnsi="Calibri"/>
          <w:sz w:val="20"/>
        </w:rPr>
        <w:t>Indicar cuándo habrá espacio para preguntas (al final).</w:t>
      </w:r>
    </w:p>
    <w:p>
      <w:pPr>
        <w:spacing w:before="40" w:after="120"/>
        <w:ind w:left="288"/>
      </w:pPr>
      <w:r>
        <w:rPr>
          <w:rFonts w:ascii="Calibri" w:hAnsi="Calibri"/>
          <w:b/>
          <w:color w:val="FBBF24"/>
          <w:sz w:val="20"/>
        </w:rPr>
        <w:t xml:space="preserve">💡 CONSEJO:  </w:t>
      </w:r>
      <w:r>
        <w:rPr>
          <w:rFonts w:ascii="Calibri" w:hAnsi="Calibri"/>
          <w:i/>
          <w:sz w:val="20"/>
        </w:rPr>
        <w:t>No explicar cada punto en detalle. Solo nombrarlos y avanzar. El tiempo es valioso.</w:t>
      </w:r>
    </w:p>
    <w:p>
      <w:pPr>
        <w:spacing w:before="80" w:after="80"/>
      </w:pPr>
      <w:r>
        <w:rPr>
          <w:rFonts w:ascii="Calibri" w:hAnsi="Calibri"/>
          <w:color w:val="D1D5DB"/>
          <w:sz w:val="16"/>
        </w:rPr>
        <w:t>──────────────────────────────────────────────────────────────────────────────────────────</w:t>
      </w:r>
    </w:p>
    <w:tbl>
      <w:tblPr>
        <w:tblStyle w:val="TableGrid"/>
        <w:tblW w:type="auto" w:w="0"/>
        <w:jc w:val="left"/>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c>
          <w:tcPr>
            <w:tcW w:type="dxa" w:w="1568"/>
            <w:gridSpan w:val="2"/>
            <w:shd w:val="clear" w:color="auto" w:fill="1e1e1e"/>
          </w:tcPr>
          <w:p>
            <w:pPr>
              <w:jc w:val="center"/>
            </w:pPr>
            <w:r>
              <w:rPr>
                <w:rFonts w:ascii="Calibri" w:hAnsi="Calibri"/>
                <w:b/>
                <w:color w:val="FBBF24"/>
                <w:sz w:val="28"/>
              </w:rPr>
              <w:t>SLIDE</w:t>
              <w:br/>
              <w:t>03</w:t>
            </w:r>
          </w:p>
        </w:tc>
        <w:tc>
          <w:tcPr>
            <w:tcW w:type="dxa" w:w="5488"/>
            <w:gridSpan w:val="7"/>
            <w:shd w:val="clear" w:color="auto" w:fill="141414"/>
          </w:tcPr>
          <w:p>
            <w:r>
              <w:rPr>
                <w:rFonts w:ascii="Calibri" w:hAnsi="Calibri"/>
                <w:b/>
                <w:color w:val="FFFFFF"/>
                <w:sz w:val="26"/>
              </w:rPr>
              <w:t>CONTEXTO — Problema y necesidad</w:t>
            </w:r>
          </w:p>
        </w:tc>
        <w:tc>
          <w:tcPr>
            <w:tcW w:type="dxa" w:w="2352"/>
            <w:gridSpan w:val="3"/>
            <w:shd w:val="clear" w:color="auto" w:fill="292929"/>
          </w:tcPr>
          <w:p>
            <w:pPr>
              <w:jc w:val="right"/>
            </w:pPr>
            <w:r>
              <w:rPr>
                <w:rFonts w:ascii="Calibri" w:hAnsi="Calibri"/>
                <w:color w:val="FBBF24"/>
                <w:sz w:val="20"/>
              </w:rPr>
              <w:t>⏱ 3–4 min</w:t>
            </w:r>
          </w:p>
        </w:tc>
      </w:tr>
    </w:tbl>
    <w:p>
      <w:pPr>
        <w:spacing w:before="80" w:after="40"/>
        <w:ind w:left="288"/>
      </w:pPr>
      <w:r>
        <w:rPr>
          <w:rFonts w:ascii="Calibri" w:hAnsi="Calibri"/>
          <w:b/>
          <w:color w:val="3B82F6"/>
          <w:sz w:val="20"/>
        </w:rPr>
        <w:t xml:space="preserve">OBJETIVO: </w:t>
      </w:r>
      <w:r>
        <w:rPr>
          <w:rFonts w:ascii="Calibri" w:hAnsi="Calibri"/>
          <w:sz w:val="20"/>
        </w:rPr>
        <w:t>Que el público entienda por qué se desarrolló el sistema: había un vacío real en la gestión de información.</w:t>
      </w:r>
    </w:p>
    <w:p>
      <w:pPr>
        <w:spacing w:before="40" w:after="20"/>
        <w:ind w:left="288"/>
      </w:pPr>
      <w:r>
        <w:rPr>
          <w:rFonts w:ascii="Calibri" w:hAnsi="Calibri"/>
          <w:b/>
          <w:color w:val="6B7280"/>
          <w:sz w:val="20"/>
        </w:rPr>
        <w:t>PUNTOS CLAVE A DESTACAR:</w:t>
      </w:r>
    </w:p>
    <w:p>
      <w:pPr>
        <w:spacing w:before="20" w:after="20"/>
        <w:ind w:left="720"/>
      </w:pPr>
      <w:r>
        <w:rPr>
          <w:rFonts w:ascii="Calibri" w:hAnsi="Calibri"/>
          <w:color w:val="FBBF24"/>
          <w:sz w:val="20"/>
        </w:rPr>
        <w:t xml:space="preserve">→  </w:t>
      </w:r>
      <w:r>
        <w:rPr>
          <w:rFonts w:ascii="Calibri" w:hAnsi="Calibri"/>
          <w:sz w:val="20"/>
        </w:rPr>
        <w:t>Falta de visibilidad: los costos no eran comparables entre talleres ni entre períodos.</w:t>
      </w:r>
    </w:p>
    <w:p>
      <w:pPr>
        <w:spacing w:before="20" w:after="20"/>
        <w:ind w:left="720"/>
      </w:pPr>
      <w:r>
        <w:rPr>
          <w:rFonts w:ascii="Calibri" w:hAnsi="Calibri"/>
          <w:color w:val="FBBF24"/>
          <w:sz w:val="20"/>
        </w:rPr>
        <w:t xml:space="preserve">→  </w:t>
      </w:r>
      <w:r>
        <w:rPr>
          <w:rFonts w:ascii="Calibri" w:hAnsi="Calibri"/>
          <w:sz w:val="20"/>
        </w:rPr>
        <w:t>Cálculos manuales en Excel: propensos a errores, sin trazabilidad ni historial.</w:t>
      </w:r>
    </w:p>
    <w:p>
      <w:pPr>
        <w:spacing w:before="20" w:after="20"/>
        <w:ind w:left="720"/>
      </w:pPr>
      <w:r>
        <w:rPr>
          <w:rFonts w:ascii="Calibri" w:hAnsi="Calibri"/>
          <w:color w:val="FBBF24"/>
          <w:sz w:val="20"/>
        </w:rPr>
        <w:t xml:space="preserve">→  </w:t>
      </w:r>
      <w:r>
        <w:rPr>
          <w:rFonts w:ascii="Calibri" w:hAnsi="Calibri"/>
          <w:sz w:val="20"/>
        </w:rPr>
        <w:t>Sin datos para tomar decisiones presupuestarias informadas.</w:t>
      </w:r>
    </w:p>
    <w:p>
      <w:pPr>
        <w:spacing w:before="20" w:after="20"/>
        <w:ind w:left="720"/>
      </w:pPr>
      <w:r>
        <w:rPr>
          <w:rFonts w:ascii="Calibri" w:hAnsi="Calibri"/>
          <w:color w:val="FBBF24"/>
          <w:sz w:val="20"/>
        </w:rPr>
        <w:t xml:space="preserve">→  </w:t>
      </w:r>
      <w:r>
        <w:rPr>
          <w:rFonts w:ascii="Calibri" w:hAnsi="Calibri"/>
          <w:sz w:val="20"/>
        </w:rPr>
        <w:t>La necesidad era real: la institución no podía responder "¿cuánto cuesta por alumno en TTPIP?"</w:t>
      </w:r>
    </w:p>
    <w:p>
      <w:pPr>
        <w:spacing w:before="40" w:after="120"/>
        <w:ind w:left="288"/>
      </w:pPr>
      <w:r>
        <w:rPr>
          <w:rFonts w:ascii="Calibri" w:hAnsi="Calibri"/>
          <w:b/>
          <w:color w:val="FBBF24"/>
          <w:sz w:val="20"/>
        </w:rPr>
        <w:t xml:space="preserve">💡 CONSEJO:  </w:t>
      </w:r>
      <w:r>
        <w:rPr>
          <w:rFonts w:ascii="Calibri" w:hAnsi="Calibri"/>
          <w:i/>
          <w:sz w:val="20"/>
        </w:rPr>
        <w:t>Hacer énfasis en el impacto práctico. Si el público es directivo, destacar la falta de datos para planificación presupuestaria. Si es técnico, destacar la falta de trazabilidad.</w:t>
      </w:r>
    </w:p>
    <w:p>
      <w:pPr>
        <w:spacing w:before="80" w:after="80"/>
      </w:pPr>
      <w:r>
        <w:rPr>
          <w:rFonts w:ascii="Calibri" w:hAnsi="Calibri"/>
          <w:color w:val="D1D5DB"/>
          <w:sz w:val="16"/>
        </w:rPr>
        <w:t>──────────────────────────────────────────────────────────────────────────────────────────</w:t>
      </w:r>
    </w:p>
    <w:tbl>
      <w:tblPr>
        <w:tblStyle w:val="TableGrid"/>
        <w:tblW w:type="auto" w:w="0"/>
        <w:jc w:val="left"/>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c>
          <w:tcPr>
            <w:tcW w:type="dxa" w:w="1568"/>
            <w:gridSpan w:val="2"/>
            <w:shd w:val="clear" w:color="auto" w:fill="1e1e1e"/>
          </w:tcPr>
          <w:p>
            <w:pPr>
              <w:jc w:val="center"/>
            </w:pPr>
            <w:r>
              <w:rPr>
                <w:rFonts w:ascii="Calibri" w:hAnsi="Calibri"/>
                <w:b/>
                <w:color w:val="FBBF24"/>
                <w:sz w:val="28"/>
              </w:rPr>
              <w:t>SLIDE</w:t>
              <w:br/>
              <w:t>04</w:t>
            </w:r>
          </w:p>
        </w:tc>
        <w:tc>
          <w:tcPr>
            <w:tcW w:type="dxa" w:w="5488"/>
            <w:gridSpan w:val="7"/>
            <w:shd w:val="clear" w:color="auto" w:fill="141414"/>
          </w:tcPr>
          <w:p>
            <w:r>
              <w:rPr>
                <w:rFonts w:ascii="Calibri" w:hAnsi="Calibri"/>
                <w:b/>
                <w:color w:val="FFFFFF"/>
                <w:sz w:val="26"/>
              </w:rPr>
              <w:t>LA SOLUCIÓN — Funciones del sistema</w:t>
            </w:r>
          </w:p>
        </w:tc>
        <w:tc>
          <w:tcPr>
            <w:tcW w:type="dxa" w:w="2352"/>
            <w:gridSpan w:val="3"/>
            <w:shd w:val="clear" w:color="auto" w:fill="292929"/>
          </w:tcPr>
          <w:p>
            <w:pPr>
              <w:jc w:val="right"/>
            </w:pPr>
            <w:r>
              <w:rPr>
                <w:rFonts w:ascii="Calibri" w:hAnsi="Calibri"/>
                <w:color w:val="FBBF24"/>
                <w:sz w:val="20"/>
              </w:rPr>
              <w:t>⏱ 3 min</w:t>
            </w:r>
          </w:p>
        </w:tc>
      </w:tr>
    </w:tbl>
    <w:p>
      <w:pPr>
        <w:spacing w:before="80" w:after="40"/>
        <w:ind w:left="288"/>
      </w:pPr>
      <w:r>
        <w:rPr>
          <w:rFonts w:ascii="Calibri" w:hAnsi="Calibri"/>
          <w:b/>
          <w:color w:val="3B82F6"/>
          <w:sz w:val="20"/>
        </w:rPr>
        <w:t xml:space="preserve">OBJETIVO: </w:t>
      </w:r>
      <w:r>
        <w:rPr>
          <w:rFonts w:ascii="Calibri" w:hAnsi="Calibri"/>
          <w:sz w:val="20"/>
        </w:rPr>
        <w:t>Mostrar qué hace el sistema de forma clara y concisa.</w:t>
      </w:r>
    </w:p>
    <w:p>
      <w:pPr>
        <w:spacing w:before="40" w:after="20"/>
        <w:ind w:left="288"/>
      </w:pPr>
      <w:r>
        <w:rPr>
          <w:rFonts w:ascii="Calibri" w:hAnsi="Calibri"/>
          <w:b/>
          <w:color w:val="6B7280"/>
          <w:sz w:val="20"/>
        </w:rPr>
        <w:t>PUNTOS CLAVE A DESTACAR:</w:t>
      </w:r>
    </w:p>
    <w:p>
      <w:pPr>
        <w:spacing w:before="20" w:after="20"/>
        <w:ind w:left="720"/>
      </w:pPr>
      <w:r>
        <w:rPr>
          <w:rFonts w:ascii="Calibri" w:hAnsi="Calibri"/>
          <w:color w:val="FBBF24"/>
          <w:sz w:val="20"/>
        </w:rPr>
        <w:t xml:space="preserve">→  </w:t>
      </w:r>
      <w:r>
        <w:rPr>
          <w:rFonts w:ascii="Calibri" w:hAnsi="Calibri"/>
          <w:sz w:val="20"/>
        </w:rPr>
        <w:t>Es una plataforma web: no requiere instalación, funciona desde cualquier navegador.</w:t>
      </w:r>
    </w:p>
    <w:p>
      <w:pPr>
        <w:spacing w:before="20" w:after="20"/>
        <w:ind w:left="720"/>
      </w:pPr>
      <w:r>
        <w:rPr>
          <w:rFonts w:ascii="Calibri" w:hAnsi="Calibri"/>
          <w:color w:val="FBBF24"/>
          <w:sz w:val="20"/>
        </w:rPr>
        <w:t xml:space="preserve">→  </w:t>
      </w:r>
      <w:r>
        <w:rPr>
          <w:rFonts w:ascii="Calibri" w:hAnsi="Calibri"/>
          <w:sz w:val="20"/>
        </w:rPr>
        <w:t>Las 6 funciones principales están integradas en una sola herramienta.</w:t>
      </w:r>
    </w:p>
    <w:p>
      <w:pPr>
        <w:spacing w:before="20" w:after="20"/>
        <w:ind w:left="720"/>
      </w:pPr>
      <w:r>
        <w:rPr>
          <w:rFonts w:ascii="Calibri" w:hAnsi="Calibri"/>
          <w:color w:val="FBBF24"/>
          <w:sz w:val="20"/>
        </w:rPr>
        <w:t xml:space="preserve">→  </w:t>
      </w:r>
      <w:r>
        <w:rPr>
          <w:rFonts w:ascii="Calibri" w:hAnsi="Calibri"/>
          <w:sz w:val="20"/>
        </w:rPr>
        <w:t>El sistema centraliza todo: ingredientes, sesiones, carreras, compras e informes.</w:t>
      </w:r>
    </w:p>
    <w:p>
      <w:pPr>
        <w:spacing w:before="20" w:after="20"/>
        <w:ind w:left="720"/>
      </w:pPr>
      <w:r>
        <w:rPr>
          <w:rFonts w:ascii="Calibri" w:hAnsi="Calibri"/>
          <w:color w:val="FBBF24"/>
          <w:sz w:val="20"/>
        </w:rPr>
        <w:t xml:space="preserve">→  </w:t>
      </w:r>
      <w:r>
        <w:rPr>
          <w:rFonts w:ascii="Calibri" w:hAnsi="Calibri"/>
          <w:sz w:val="20"/>
        </w:rPr>
        <w:t>Mencionar que permite exportar a Excel y PDF para reportes institucionales.</w:t>
      </w:r>
    </w:p>
    <w:p>
      <w:pPr>
        <w:spacing w:before="40" w:after="120"/>
        <w:ind w:left="288"/>
      </w:pPr>
      <w:r>
        <w:rPr>
          <w:rFonts w:ascii="Calibri" w:hAnsi="Calibri"/>
          <w:b/>
          <w:color w:val="FBBF24"/>
          <w:sz w:val="20"/>
        </w:rPr>
        <w:t xml:space="preserve">💡 CONSEJO:  </w:t>
      </w:r>
      <w:r>
        <w:rPr>
          <w:rFonts w:ascii="Calibri" w:hAnsi="Calibri"/>
          <w:i/>
          <w:sz w:val="20"/>
        </w:rPr>
        <w:t>Puedes abrir el sistema en vivo aquí si hay conectividad. Mostrar el dashboard brevemente refuerza mucho el mensaje.</w:t>
      </w:r>
    </w:p>
    <w:p>
      <w:pPr>
        <w:spacing w:before="80" w:after="80"/>
      </w:pPr>
      <w:r>
        <w:rPr>
          <w:rFonts w:ascii="Calibri" w:hAnsi="Calibri"/>
          <w:color w:val="D1D5DB"/>
          <w:sz w:val="16"/>
        </w:rPr>
        <w:t>──────────────────────────────────────────────────────────────────────────────────────────</w:t>
      </w:r>
    </w:p>
    <w:tbl>
      <w:tblPr>
        <w:tblStyle w:val="TableGrid"/>
        <w:tblW w:type="auto" w:w="0"/>
        <w:jc w:val="left"/>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c>
          <w:tcPr>
            <w:tcW w:type="dxa" w:w="1568"/>
            <w:gridSpan w:val="2"/>
            <w:shd w:val="clear" w:color="auto" w:fill="1e1e1e"/>
          </w:tcPr>
          <w:p>
            <w:pPr>
              <w:jc w:val="center"/>
            </w:pPr>
            <w:r>
              <w:rPr>
                <w:rFonts w:ascii="Calibri" w:hAnsi="Calibri"/>
                <w:b/>
                <w:color w:val="FBBF24"/>
                <w:sz w:val="28"/>
              </w:rPr>
              <w:t>SLIDE</w:t>
              <w:br/>
              <w:t>05</w:t>
            </w:r>
          </w:p>
        </w:tc>
        <w:tc>
          <w:tcPr>
            <w:tcW w:type="dxa" w:w="5488"/>
            <w:gridSpan w:val="7"/>
            <w:shd w:val="clear" w:color="auto" w:fill="141414"/>
          </w:tcPr>
          <w:p>
            <w:r>
              <w:rPr>
                <w:rFonts w:ascii="Calibri" w:hAnsi="Calibri"/>
                <w:b/>
                <w:color w:val="FFFFFF"/>
                <w:sz w:val="26"/>
              </w:rPr>
              <w:t>ARQUITECTURA — Stack tecnológico</w:t>
            </w:r>
          </w:p>
        </w:tc>
        <w:tc>
          <w:tcPr>
            <w:tcW w:type="dxa" w:w="2352"/>
            <w:gridSpan w:val="3"/>
            <w:shd w:val="clear" w:color="auto" w:fill="292929"/>
          </w:tcPr>
          <w:p>
            <w:pPr>
              <w:jc w:val="right"/>
            </w:pPr>
            <w:r>
              <w:rPr>
                <w:rFonts w:ascii="Calibri" w:hAnsi="Calibri"/>
                <w:color w:val="FBBF24"/>
                <w:sz w:val="20"/>
              </w:rPr>
              <w:t>⏱ 2–3 min</w:t>
            </w:r>
          </w:p>
        </w:tc>
      </w:tr>
    </w:tbl>
    <w:p>
      <w:pPr>
        <w:spacing w:before="80" w:after="40"/>
        <w:ind w:left="288"/>
      </w:pPr>
      <w:r>
        <w:rPr>
          <w:rFonts w:ascii="Calibri" w:hAnsi="Calibri"/>
          <w:b/>
          <w:color w:val="3B82F6"/>
          <w:sz w:val="20"/>
        </w:rPr>
        <w:t xml:space="preserve">OBJETIVO: </w:t>
      </w:r>
      <w:r>
        <w:rPr>
          <w:rFonts w:ascii="Calibri" w:hAnsi="Calibri"/>
          <w:sz w:val="20"/>
        </w:rPr>
        <w:t>Generar confianza técnica: el sistema usa tecnologías modernas, estables y de bajo costo.</w:t>
      </w:r>
    </w:p>
    <w:p>
      <w:pPr>
        <w:spacing w:before="40" w:after="20"/>
        <w:ind w:left="288"/>
      </w:pPr>
      <w:r>
        <w:rPr>
          <w:rFonts w:ascii="Calibri" w:hAnsi="Calibri"/>
          <w:b/>
          <w:color w:val="6B7280"/>
          <w:sz w:val="20"/>
        </w:rPr>
        <w:t>PUNTOS CLAVE A DESTACAR:</w:t>
      </w:r>
    </w:p>
    <w:p>
      <w:pPr>
        <w:spacing w:before="20" w:after="20"/>
        <w:ind w:left="720"/>
      </w:pPr>
      <w:r>
        <w:rPr>
          <w:rFonts w:ascii="Calibri" w:hAnsi="Calibri"/>
          <w:color w:val="FBBF24"/>
          <w:sz w:val="20"/>
        </w:rPr>
        <w:t xml:space="preserve">→  </w:t>
      </w:r>
      <w:r>
        <w:rPr>
          <w:rFonts w:ascii="Calibri" w:hAnsi="Calibri"/>
          <w:sz w:val="20"/>
        </w:rPr>
        <w:t>Frontend: un solo archivo HTML. No requiere servidor de aplicaciones complejo.</w:t>
      </w:r>
    </w:p>
    <w:p>
      <w:pPr>
        <w:spacing w:before="20" w:after="20"/>
        <w:ind w:left="720"/>
      </w:pPr>
      <w:r>
        <w:rPr>
          <w:rFonts w:ascii="Calibri" w:hAnsi="Calibri"/>
          <w:color w:val="FBBF24"/>
          <w:sz w:val="20"/>
        </w:rPr>
        <w:t xml:space="preserve">→  </w:t>
      </w:r>
      <w:r>
        <w:rPr>
          <w:rFonts w:ascii="Calibri" w:hAnsi="Calibri"/>
          <w:sz w:val="20"/>
        </w:rPr>
        <w:t>Backend: Supabase (PostgreSQL en la nube). API automática, sin desarrollo adicional.</w:t>
      </w:r>
    </w:p>
    <w:p>
      <w:pPr>
        <w:spacing w:before="20" w:after="20"/>
        <w:ind w:left="720"/>
      </w:pPr>
      <w:r>
        <w:rPr>
          <w:rFonts w:ascii="Calibri" w:hAnsi="Calibri"/>
          <w:color w:val="FBBF24"/>
          <w:sz w:val="20"/>
        </w:rPr>
        <w:t xml:space="preserve">→  </w:t>
      </w:r>
      <w:r>
        <w:rPr>
          <w:rFonts w:ascii="Calibri" w:hAnsi="Calibri"/>
          <w:sz w:val="20"/>
        </w:rPr>
        <w:t>Despliegue: PythonAnywhere. Costo mínimo, disponible 24/7.</w:t>
      </w:r>
    </w:p>
    <w:p>
      <w:pPr>
        <w:spacing w:before="20" w:after="20"/>
        <w:ind w:left="720"/>
      </w:pPr>
      <w:r>
        <w:rPr>
          <w:rFonts w:ascii="Calibri" w:hAnsi="Calibri"/>
          <w:color w:val="FBBF24"/>
          <w:sz w:val="20"/>
        </w:rPr>
        <w:t xml:space="preserve">→  </w:t>
      </w:r>
      <w:r>
        <w:rPr>
          <w:rFonts w:ascii="Calibri" w:hAnsi="Calibri"/>
          <w:sz w:val="20"/>
        </w:rPr>
        <w:t>Toda la lógica de cálculo está en vistas SQL: rápida, consistente, auditable.</w:t>
      </w:r>
    </w:p>
    <w:p>
      <w:pPr>
        <w:spacing w:before="40"/>
        <w:ind w:left="288"/>
      </w:pPr>
      <w:r>
        <w:rPr>
          <w:rFonts w:ascii="Calibri" w:hAnsi="Calibri"/>
          <w:b/>
          <w:color w:val="22C55E"/>
          <w:sz w:val="20"/>
        </w:rPr>
        <w:t xml:space="preserve">CIFRAS CLAVE:  </w:t>
      </w:r>
      <w:r>
        <w:rPr>
          <w:rFonts w:ascii="Calibri" w:hAnsi="Calibri"/>
          <w:sz w:val="20"/>
        </w:rPr>
        <w:t>Costo estimado de infraestructura: &lt; USD 50/mes. Sin costos de desarrollo de backend.</w:t>
      </w:r>
    </w:p>
    <w:p>
      <w:pPr>
        <w:spacing w:before="40" w:after="120"/>
        <w:ind w:left="288"/>
      </w:pPr>
      <w:r>
        <w:rPr>
          <w:rFonts w:ascii="Calibri" w:hAnsi="Calibri"/>
          <w:b/>
          <w:color w:val="FBBF24"/>
          <w:sz w:val="20"/>
        </w:rPr>
        <w:t xml:space="preserve">💡 CONSEJO:  </w:t>
      </w:r>
      <w:r>
        <w:rPr>
          <w:rFonts w:ascii="Calibri" w:hAnsi="Calibri"/>
          <w:i/>
          <w:sz w:val="20"/>
        </w:rPr>
        <w:t>Para audiencias no técnicas, simplificar: "Es una aplicación web en la nube, segura y accesible desde cualquier dispositivo." Para audiencias técnicas, profundizar en la arquitectura SPA + PostgREST.</w:t>
      </w:r>
    </w:p>
    <w:p>
      <w:pPr>
        <w:spacing w:before="80" w:after="80"/>
      </w:pPr>
      <w:r>
        <w:rPr>
          <w:rFonts w:ascii="Calibri" w:hAnsi="Calibri"/>
          <w:color w:val="D1D5DB"/>
          <w:sz w:val="16"/>
        </w:rPr>
        <w:t>──────────────────────────────────────────────────────────────────────────────────────────</w:t>
      </w:r>
    </w:p>
    <w:tbl>
      <w:tblPr>
        <w:tblStyle w:val="TableGrid"/>
        <w:tblW w:type="auto" w:w="0"/>
        <w:jc w:val="left"/>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c>
          <w:tcPr>
            <w:tcW w:type="dxa" w:w="1568"/>
            <w:gridSpan w:val="2"/>
            <w:shd w:val="clear" w:color="auto" w:fill="1e1e1e"/>
          </w:tcPr>
          <w:p>
            <w:pPr>
              <w:jc w:val="center"/>
            </w:pPr>
            <w:r>
              <w:rPr>
                <w:rFonts w:ascii="Calibri" w:hAnsi="Calibri"/>
                <w:b/>
                <w:color w:val="FBBF24"/>
                <w:sz w:val="28"/>
              </w:rPr>
              <w:t>SLIDE</w:t>
              <w:br/>
              <w:t>06</w:t>
            </w:r>
          </w:p>
        </w:tc>
        <w:tc>
          <w:tcPr>
            <w:tcW w:type="dxa" w:w="5488"/>
            <w:gridSpan w:val="7"/>
            <w:shd w:val="clear" w:color="auto" w:fill="141414"/>
          </w:tcPr>
          <w:p>
            <w:r>
              <w:rPr>
                <w:rFonts w:ascii="Calibri" w:hAnsi="Calibri"/>
                <w:b/>
                <w:color w:val="FFFFFF"/>
                <w:sz w:val="26"/>
              </w:rPr>
              <w:t>DATOS DEL PERÍODO — Carga real 2026</w:t>
            </w:r>
          </w:p>
        </w:tc>
        <w:tc>
          <w:tcPr>
            <w:tcW w:type="dxa" w:w="2352"/>
            <w:gridSpan w:val="3"/>
            <w:shd w:val="clear" w:color="auto" w:fill="292929"/>
          </w:tcPr>
          <w:p>
            <w:pPr>
              <w:jc w:val="right"/>
            </w:pPr>
            <w:r>
              <w:rPr>
                <w:rFonts w:ascii="Calibri" w:hAnsi="Calibri"/>
                <w:color w:val="FBBF24"/>
                <w:sz w:val="20"/>
              </w:rPr>
              <w:t>⏱ 3–4 min</w:t>
            </w:r>
          </w:p>
        </w:tc>
      </w:tr>
    </w:tbl>
    <w:p>
      <w:pPr>
        <w:spacing w:before="80" w:after="40"/>
        <w:ind w:left="288"/>
      </w:pPr>
      <w:r>
        <w:rPr>
          <w:rFonts w:ascii="Calibri" w:hAnsi="Calibri"/>
          <w:b/>
          <w:color w:val="3B82F6"/>
          <w:sz w:val="20"/>
        </w:rPr>
        <w:t xml:space="preserve">OBJETIVO: </w:t>
      </w:r>
      <w:r>
        <w:rPr>
          <w:rFonts w:ascii="Calibri" w:hAnsi="Calibri"/>
          <w:sz w:val="20"/>
        </w:rPr>
        <w:t>Dimensionar el volumen de información que gestiona el sistema y generar confianza en la calidad de los datos.</w:t>
      </w:r>
    </w:p>
    <w:p>
      <w:pPr>
        <w:spacing w:before="40" w:after="20"/>
        <w:ind w:left="288"/>
      </w:pPr>
      <w:r>
        <w:rPr>
          <w:rFonts w:ascii="Calibri" w:hAnsi="Calibri"/>
          <w:b/>
          <w:color w:val="6B7280"/>
          <w:sz w:val="20"/>
        </w:rPr>
        <w:t>PUNTOS CLAVE A DESTACAR:</w:t>
      </w:r>
    </w:p>
    <w:p>
      <w:pPr>
        <w:spacing w:before="20" w:after="20"/>
        <w:ind w:left="720"/>
      </w:pPr>
      <w:r>
        <w:rPr>
          <w:rFonts w:ascii="Calibri" w:hAnsi="Calibri"/>
          <w:color w:val="FBBF24"/>
          <w:sz w:val="20"/>
        </w:rPr>
        <w:t xml:space="preserve">→  </w:t>
      </w:r>
      <w:r>
        <w:rPr>
          <w:rFonts w:ascii="Calibri" w:hAnsi="Calibri"/>
          <w:sz w:val="20"/>
        </w:rPr>
        <w:t>613 ingredientes con precio, unidad y categoría estandarizados.</w:t>
      </w:r>
    </w:p>
    <w:p>
      <w:pPr>
        <w:spacing w:before="20" w:after="20"/>
        <w:ind w:left="720"/>
      </w:pPr>
      <w:r>
        <w:rPr>
          <w:rFonts w:ascii="Calibri" w:hAnsi="Calibri"/>
          <w:color w:val="FBBF24"/>
          <w:sz w:val="20"/>
        </w:rPr>
        <w:t xml:space="preserve">→  </w:t>
      </w:r>
      <w:r>
        <w:rPr>
          <w:rFonts w:ascii="Calibri" w:hAnsi="Calibri"/>
          <w:sz w:val="20"/>
        </w:rPr>
        <w:t>179 OPs únicas del año académico, generando 1.135 registros de sesión con recetas detalladas.</w:t>
      </w:r>
    </w:p>
    <w:p>
      <w:pPr>
        <w:spacing w:before="20" w:after="20"/>
        <w:ind w:left="720"/>
      </w:pPr>
      <w:r>
        <w:rPr>
          <w:rFonts w:ascii="Calibri" w:hAnsi="Calibri"/>
          <w:color w:val="FBBF24"/>
          <w:sz w:val="20"/>
        </w:rPr>
        <w:t xml:space="preserve">→  </w:t>
      </w:r>
      <w:r>
        <w:rPr>
          <w:rFonts w:ascii="Calibri" w:hAnsi="Calibri"/>
          <w:sz w:val="20"/>
        </w:rPr>
        <w:t>23.213 registros de ingrediente por sesión: la granularidad del análisis.</w:t>
      </w:r>
    </w:p>
    <w:p>
      <w:pPr>
        <w:spacing w:before="20" w:after="20"/>
        <w:ind w:left="720"/>
      </w:pPr>
      <w:r>
        <w:rPr>
          <w:rFonts w:ascii="Calibri" w:hAnsi="Calibri"/>
          <w:color w:val="FBBF24"/>
          <w:sz w:val="20"/>
        </w:rPr>
        <w:t xml:space="preserve">→  </w:t>
      </w:r>
      <w:r>
        <w:rPr>
          <w:rFonts w:ascii="Calibri" w:hAnsi="Calibri"/>
          <w:sz w:val="20"/>
        </w:rPr>
        <w:t>Todos los datos provienen del Excel operacional del Instituto, validados al 100%.</w:t>
      </w:r>
    </w:p>
    <w:p>
      <w:pPr>
        <w:spacing w:before="20" w:after="20"/>
        <w:ind w:left="720"/>
      </w:pPr>
      <w:r>
        <w:rPr>
          <w:rFonts w:ascii="Calibri" w:hAnsi="Calibri"/>
          <w:color w:val="FBBF24"/>
          <w:sz w:val="20"/>
        </w:rPr>
        <w:t xml:space="preserve">→  </w:t>
      </w:r>
      <w:r>
        <w:rPr>
          <w:rFonts w:ascii="Calibri" w:hAnsi="Calibri"/>
          <w:sz w:val="20"/>
        </w:rPr>
        <w:t>44 semanas del calendario 2026 programadas en el sistema.</w:t>
      </w:r>
    </w:p>
    <w:p>
      <w:pPr>
        <w:spacing w:before="40"/>
        <w:ind w:left="288"/>
      </w:pPr>
      <w:r>
        <w:rPr>
          <w:rFonts w:ascii="Calibri" w:hAnsi="Calibri"/>
          <w:b/>
          <w:color w:val="22C55E"/>
          <w:sz w:val="20"/>
        </w:rPr>
        <w:t xml:space="preserve">CIFRAS CLAVE:  </w:t>
      </w:r>
      <w:r>
        <w:rPr>
          <w:rFonts w:ascii="Calibri" w:hAnsi="Calibri"/>
          <w:sz w:val="20"/>
        </w:rPr>
        <w:t>23.213 registros de recetas → 7.075.872 CLP gasto total calculado automáticamente.</w:t>
      </w:r>
    </w:p>
    <w:p>
      <w:pPr>
        <w:spacing w:before="40" w:after="120"/>
        <w:ind w:left="288"/>
      </w:pPr>
      <w:r>
        <w:rPr>
          <w:rFonts w:ascii="Calibri" w:hAnsi="Calibri"/>
          <w:b/>
          <w:color w:val="FBBF24"/>
          <w:sz w:val="20"/>
        </w:rPr>
        <w:t xml:space="preserve">💡 CONSEJO:  </w:t>
      </w:r>
      <w:r>
        <w:rPr>
          <w:rFonts w:ascii="Calibri" w:hAnsi="Calibri"/>
          <w:i/>
          <w:sz w:val="20"/>
        </w:rPr>
        <w:t>Destacar la validación: los totales del sistema coinciden exactamente con el Excel de referencia. Esto genera confianza en la calidad del dato.</w:t>
      </w:r>
    </w:p>
    <w:p>
      <w:pPr>
        <w:spacing w:before="80" w:after="80"/>
      </w:pPr>
      <w:r>
        <w:rPr>
          <w:rFonts w:ascii="Calibri" w:hAnsi="Calibri"/>
          <w:color w:val="D1D5DB"/>
          <w:sz w:val="16"/>
        </w:rPr>
        <w:t>──────────────────────────────────────────────────────────────────────────────────────────</w:t>
      </w:r>
    </w:p>
    <w:tbl>
      <w:tblPr>
        <w:tblStyle w:val="TableGrid"/>
        <w:tblW w:type="auto" w:w="0"/>
        <w:jc w:val="left"/>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c>
          <w:tcPr>
            <w:tcW w:type="dxa" w:w="1568"/>
            <w:gridSpan w:val="2"/>
            <w:shd w:val="clear" w:color="auto" w:fill="1e1e1e"/>
          </w:tcPr>
          <w:p>
            <w:pPr>
              <w:jc w:val="center"/>
            </w:pPr>
            <w:r>
              <w:rPr>
                <w:rFonts w:ascii="Calibri" w:hAnsi="Calibri"/>
                <w:b/>
                <w:color w:val="FBBF24"/>
                <w:sz w:val="28"/>
              </w:rPr>
              <w:t>SLIDE</w:t>
              <w:br/>
              <w:t>07</w:t>
            </w:r>
          </w:p>
        </w:tc>
        <w:tc>
          <w:tcPr>
            <w:tcW w:type="dxa" w:w="5488"/>
            <w:gridSpan w:val="7"/>
            <w:shd w:val="clear" w:color="auto" w:fill="141414"/>
          </w:tcPr>
          <w:p>
            <w:r>
              <w:rPr>
                <w:rFonts w:ascii="Calibri" w:hAnsi="Calibri"/>
                <w:b/>
                <w:color w:val="FFFFFF"/>
                <w:sz w:val="26"/>
              </w:rPr>
              <w:t>DASHBOARD — KPIs principales</w:t>
            </w:r>
          </w:p>
        </w:tc>
        <w:tc>
          <w:tcPr>
            <w:tcW w:type="dxa" w:w="2352"/>
            <w:gridSpan w:val="3"/>
            <w:shd w:val="clear" w:color="auto" w:fill="292929"/>
          </w:tcPr>
          <w:p>
            <w:pPr>
              <w:jc w:val="right"/>
            </w:pPr>
            <w:r>
              <w:rPr>
                <w:rFonts w:ascii="Calibri" w:hAnsi="Calibri"/>
                <w:color w:val="FBBF24"/>
                <w:sz w:val="20"/>
              </w:rPr>
              <w:t>⏱ 4–5 min</w:t>
            </w:r>
          </w:p>
        </w:tc>
      </w:tr>
    </w:tbl>
    <w:p>
      <w:pPr>
        <w:spacing w:before="80" w:after="40"/>
        <w:ind w:left="288"/>
      </w:pPr>
      <w:r>
        <w:rPr>
          <w:rFonts w:ascii="Calibri" w:hAnsi="Calibri"/>
          <w:b/>
          <w:color w:val="3B82F6"/>
          <w:sz w:val="20"/>
        </w:rPr>
        <w:t xml:space="preserve">OBJETIVO: </w:t>
      </w:r>
      <w:r>
        <w:rPr>
          <w:rFonts w:ascii="Calibri" w:hAnsi="Calibri"/>
          <w:sz w:val="20"/>
        </w:rPr>
        <w:t>Comunicar los resultados más importantes del análisis: el costo total y el costo por alumno.</w:t>
      </w:r>
    </w:p>
    <w:p>
      <w:pPr>
        <w:spacing w:before="40" w:after="20"/>
        <w:ind w:left="288"/>
      </w:pPr>
      <w:r>
        <w:rPr>
          <w:rFonts w:ascii="Calibri" w:hAnsi="Calibri"/>
          <w:b/>
          <w:color w:val="6B7280"/>
          <w:sz w:val="20"/>
        </w:rPr>
        <w:t>PUNTOS CLAVE A DESTACAR:</w:t>
      </w:r>
    </w:p>
    <w:p>
      <w:pPr>
        <w:spacing w:before="20" w:after="20"/>
        <w:ind w:left="720"/>
      </w:pPr>
      <w:r>
        <w:rPr>
          <w:rFonts w:ascii="Calibri" w:hAnsi="Calibri"/>
          <w:color w:val="FBBF24"/>
          <w:sz w:val="20"/>
        </w:rPr>
        <w:t xml:space="preserve">→  </w:t>
      </w:r>
      <w:r>
        <w:rPr>
          <w:rFonts w:ascii="Calibri" w:hAnsi="Calibri"/>
          <w:sz w:val="20"/>
        </w:rPr>
        <w:t>Gasto total materia prima: $7.075.872 para el año 2026.</w:t>
      </w:r>
    </w:p>
    <w:p>
      <w:pPr>
        <w:spacing w:before="20" w:after="20"/>
        <w:ind w:left="720"/>
      </w:pPr>
      <w:r>
        <w:rPr>
          <w:rFonts w:ascii="Calibri" w:hAnsi="Calibri"/>
          <w:color w:val="FBBF24"/>
          <w:sz w:val="20"/>
        </w:rPr>
        <w:t xml:space="preserve">→  </w:t>
      </w:r>
      <w:r>
        <w:rPr>
          <w:rFonts w:ascii="Calibri" w:hAnsi="Calibri"/>
          <w:sz w:val="20"/>
        </w:rPr>
        <w:t>Costo promedio por alumno por sesión: $328 CLP.</w:t>
      </w:r>
    </w:p>
    <w:p>
      <w:pPr>
        <w:spacing w:before="20" w:after="20"/>
        <w:ind w:left="720"/>
      </w:pPr>
      <w:r>
        <w:rPr>
          <w:rFonts w:ascii="Calibri" w:hAnsi="Calibri"/>
          <w:color w:val="FBBF24"/>
          <w:sz w:val="20"/>
        </w:rPr>
        <w:t xml:space="preserve">→  </w:t>
      </w:r>
      <w:r>
        <w:rPr>
          <w:rFonts w:ascii="Calibri" w:hAnsi="Calibri"/>
          <w:sz w:val="20"/>
        </w:rPr>
        <w:t>El gráfico de barras mensual muestra la distribución: mayo es el mes más costoso.</w:t>
      </w:r>
    </w:p>
    <w:p>
      <w:pPr>
        <w:spacing w:before="20" w:after="20"/>
        <w:ind w:left="720"/>
      </w:pPr>
      <w:r>
        <w:rPr>
          <w:rFonts w:ascii="Calibri" w:hAnsi="Calibri"/>
          <w:color w:val="FBBF24"/>
          <w:sz w:val="20"/>
        </w:rPr>
        <w:t xml:space="preserve">→  </w:t>
      </w:r>
      <w:r>
        <w:rPr>
          <w:rFonts w:ascii="Calibri" w:hAnsi="Calibri"/>
          <w:sz w:val="20"/>
        </w:rPr>
        <w:t>Julio tiene el menor gasto, posiblemente por pausa académica.</w:t>
      </w:r>
    </w:p>
    <w:p>
      <w:pPr>
        <w:spacing w:before="20" w:after="20"/>
        <w:ind w:left="720"/>
      </w:pPr>
      <w:r>
        <w:rPr>
          <w:rFonts w:ascii="Calibri" w:hAnsi="Calibri"/>
          <w:color w:val="FBBF24"/>
          <w:sz w:val="20"/>
        </w:rPr>
        <w:t xml:space="preserve">→  </w:t>
      </w:r>
      <w:r>
        <w:rPr>
          <w:rFonts w:ascii="Calibri" w:hAnsi="Calibri"/>
          <w:sz w:val="20"/>
        </w:rPr>
        <w:t>El dashboard permite filtrar por taller, mes, semana y año en tiempo real.</w:t>
      </w:r>
    </w:p>
    <w:p>
      <w:pPr>
        <w:spacing w:before="40"/>
        <w:ind w:left="288"/>
      </w:pPr>
      <w:r>
        <w:rPr>
          <w:rFonts w:ascii="Calibri" w:hAnsi="Calibri"/>
          <w:b/>
          <w:color w:val="22C55E"/>
          <w:sz w:val="20"/>
        </w:rPr>
        <w:t xml:space="preserve">CIFRAS CLAVE:  </w:t>
      </w:r>
      <w:r>
        <w:rPr>
          <w:rFonts w:ascii="Calibri" w:hAnsi="Calibri"/>
          <w:sz w:val="20"/>
        </w:rPr>
        <w:t>$7.075.872 total  ·  $328 CPA promedio  ·  1.067 alumnos matriculados  ·  mayo: $1.178.684 (16,7%)</w:t>
      </w:r>
    </w:p>
    <w:p>
      <w:pPr>
        <w:spacing w:before="40" w:after="120"/>
        <w:ind w:left="288"/>
      </w:pPr>
      <w:r>
        <w:rPr>
          <w:rFonts w:ascii="Calibri" w:hAnsi="Calibri"/>
          <w:b/>
          <w:color w:val="FBBF24"/>
          <w:sz w:val="20"/>
        </w:rPr>
        <w:t xml:space="preserve">💡 CONSEJO:  </w:t>
      </w:r>
      <w:r>
        <w:rPr>
          <w:rFonts w:ascii="Calibri" w:hAnsi="Calibri"/>
          <w:i/>
          <w:sz w:val="20"/>
        </w:rPr>
        <w:t>Este es el slide más importante de la presentación. Hablar despacio. Dar tiempo para que el público procese las cifras. Si hay preguntas aquí, es una buena señal.</w:t>
      </w:r>
    </w:p>
    <w:p>
      <w:pPr>
        <w:spacing w:before="80" w:after="80"/>
      </w:pPr>
      <w:r>
        <w:rPr>
          <w:rFonts w:ascii="Calibri" w:hAnsi="Calibri"/>
          <w:color w:val="D1D5DB"/>
          <w:sz w:val="16"/>
        </w:rPr>
        <w:t>──────────────────────────────────────────────────────────────────────────────────────────</w:t>
      </w:r>
    </w:p>
    <w:tbl>
      <w:tblPr>
        <w:tblStyle w:val="TableGrid"/>
        <w:tblW w:type="auto" w:w="0"/>
        <w:jc w:val="left"/>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c>
          <w:tcPr>
            <w:tcW w:type="dxa" w:w="1568"/>
            <w:gridSpan w:val="2"/>
            <w:shd w:val="clear" w:color="auto" w:fill="1e1e1e"/>
          </w:tcPr>
          <w:p>
            <w:pPr>
              <w:jc w:val="center"/>
            </w:pPr>
            <w:r>
              <w:rPr>
                <w:rFonts w:ascii="Calibri" w:hAnsi="Calibri"/>
                <w:b/>
                <w:color w:val="FBBF24"/>
                <w:sz w:val="28"/>
              </w:rPr>
              <w:t>SLIDE</w:t>
              <w:br/>
              <w:t>08</w:t>
            </w:r>
          </w:p>
        </w:tc>
        <w:tc>
          <w:tcPr>
            <w:tcW w:type="dxa" w:w="5488"/>
            <w:gridSpan w:val="7"/>
            <w:shd w:val="clear" w:color="auto" w:fill="141414"/>
          </w:tcPr>
          <w:p>
            <w:r>
              <w:rPr>
                <w:rFonts w:ascii="Calibri" w:hAnsi="Calibri"/>
                <w:b/>
                <w:color w:val="FFFFFF"/>
                <w:sz w:val="26"/>
              </w:rPr>
              <w:t>ANÁLISIS — Costos por categoría</w:t>
            </w:r>
          </w:p>
        </w:tc>
        <w:tc>
          <w:tcPr>
            <w:tcW w:type="dxa" w:w="2352"/>
            <w:gridSpan w:val="3"/>
            <w:shd w:val="clear" w:color="auto" w:fill="292929"/>
          </w:tcPr>
          <w:p>
            <w:pPr>
              <w:jc w:val="right"/>
            </w:pPr>
            <w:r>
              <w:rPr>
                <w:rFonts w:ascii="Calibri" w:hAnsi="Calibri"/>
                <w:color w:val="FBBF24"/>
                <w:sz w:val="20"/>
              </w:rPr>
              <w:t>⏱ 3–4 min</w:t>
            </w:r>
          </w:p>
        </w:tc>
      </w:tr>
    </w:tbl>
    <w:p>
      <w:pPr>
        <w:spacing w:before="80" w:after="40"/>
        <w:ind w:left="288"/>
      </w:pPr>
      <w:r>
        <w:rPr>
          <w:rFonts w:ascii="Calibri" w:hAnsi="Calibri"/>
          <w:b/>
          <w:color w:val="3B82F6"/>
          <w:sz w:val="20"/>
        </w:rPr>
        <w:t xml:space="preserve">OBJETIVO: </w:t>
      </w:r>
      <w:r>
        <w:rPr>
          <w:rFonts w:ascii="Calibri" w:hAnsi="Calibri"/>
          <w:sz w:val="20"/>
        </w:rPr>
        <w:t>Mostrar en qué tipos de ingredientes se concentra el gasto y qué oportunidades de optimización existen.</w:t>
      </w:r>
    </w:p>
    <w:p>
      <w:pPr>
        <w:spacing w:before="40" w:after="20"/>
        <w:ind w:left="288"/>
      </w:pPr>
      <w:r>
        <w:rPr>
          <w:rFonts w:ascii="Calibri" w:hAnsi="Calibri"/>
          <w:b/>
          <w:color w:val="6B7280"/>
          <w:sz w:val="20"/>
        </w:rPr>
        <w:t>PUNTOS CLAVE A DESTACAR:</w:t>
      </w:r>
    </w:p>
    <w:p>
      <w:pPr>
        <w:spacing w:before="20" w:after="20"/>
        <w:ind w:left="720"/>
      </w:pPr>
      <w:r>
        <w:rPr>
          <w:rFonts w:ascii="Calibri" w:hAnsi="Calibri"/>
          <w:color w:val="FBBF24"/>
          <w:sz w:val="20"/>
        </w:rPr>
        <w:t xml:space="preserve">→  </w:t>
      </w:r>
      <w:r>
        <w:rPr>
          <w:rFonts w:ascii="Calibri" w:hAnsi="Calibri"/>
          <w:sz w:val="20"/>
        </w:rPr>
        <w:t>Abarrote (28,8%) + Lácteo (17,5%) + Chocolate (11,6%) = 57,9% del gasto total.</w:t>
      </w:r>
    </w:p>
    <w:p>
      <w:pPr>
        <w:spacing w:before="20" w:after="20"/>
        <w:ind w:left="720"/>
      </w:pPr>
      <w:r>
        <w:rPr>
          <w:rFonts w:ascii="Calibri" w:hAnsi="Calibri"/>
          <w:color w:val="FBBF24"/>
          <w:sz w:val="20"/>
        </w:rPr>
        <w:t xml:space="preserve">→  </w:t>
      </w:r>
      <w:r>
        <w:rPr>
          <w:rFonts w:ascii="Calibri" w:hAnsi="Calibri"/>
          <w:sz w:val="20"/>
        </w:rPr>
        <w:t>Los tres primeros grupos son el foco natural de negociación con proveedores.</w:t>
      </w:r>
    </w:p>
    <w:p>
      <w:pPr>
        <w:spacing w:before="20" w:after="20"/>
        <w:ind w:left="720"/>
      </w:pPr>
      <w:r>
        <w:rPr>
          <w:rFonts w:ascii="Calibri" w:hAnsi="Calibri"/>
          <w:color w:val="FBBF24"/>
          <w:sz w:val="20"/>
        </w:rPr>
        <w:t xml:space="preserve">→  </w:t>
      </w:r>
      <w:r>
        <w:rPr>
          <w:rFonts w:ascii="Calibri" w:hAnsi="Calibri"/>
          <w:sz w:val="20"/>
        </w:rPr>
        <w:t>La alta participación de chocolate refleja el énfasis del programa en pastelería premium.</w:t>
      </w:r>
    </w:p>
    <w:p>
      <w:pPr>
        <w:spacing w:before="20" w:after="20"/>
        <w:ind w:left="720"/>
      </w:pPr>
      <w:r>
        <w:rPr>
          <w:rFonts w:ascii="Calibri" w:hAnsi="Calibri"/>
          <w:color w:val="FBBF24"/>
          <w:sz w:val="20"/>
        </w:rPr>
        <w:t xml:space="preserve">→  </w:t>
      </w:r>
      <w:r>
        <w:rPr>
          <w:rFonts w:ascii="Calibri" w:hAnsi="Calibri"/>
          <w:sz w:val="20"/>
        </w:rPr>
        <w:t>Las 25 categorías restantes representan solo el 8,7%: impacto individual menor.</w:t>
      </w:r>
    </w:p>
    <w:p>
      <w:pPr>
        <w:spacing w:before="40"/>
        <w:ind w:left="288"/>
      </w:pPr>
      <w:r>
        <w:rPr>
          <w:rFonts w:ascii="Calibri" w:hAnsi="Calibri"/>
          <w:b/>
          <w:color w:val="22C55E"/>
          <w:sz w:val="20"/>
        </w:rPr>
        <w:t xml:space="preserve">CIFRAS CLAVE:  </w:t>
      </w:r>
      <w:r>
        <w:rPr>
          <w:rFonts w:ascii="Calibri" w:hAnsi="Calibri"/>
          <w:sz w:val="20"/>
        </w:rPr>
        <w:t>Top 3 categorías concentran el 57,9% del gasto.</w:t>
      </w:r>
    </w:p>
    <w:p>
      <w:pPr>
        <w:spacing w:before="40" w:after="120"/>
        <w:ind w:left="288"/>
      </w:pPr>
      <w:r>
        <w:rPr>
          <w:rFonts w:ascii="Calibri" w:hAnsi="Calibri"/>
          <w:b/>
          <w:color w:val="FBBF24"/>
          <w:sz w:val="20"/>
        </w:rPr>
        <w:t xml:space="preserve">💡 CONSEJO:  </w:t>
      </w:r>
      <w:r>
        <w:rPr>
          <w:rFonts w:ascii="Calibri" w:hAnsi="Calibri"/>
          <w:i/>
          <w:sz w:val="20"/>
        </w:rPr>
        <w:t>Las barras horizontales permiten comparar visualmente. Señalar con el puntero las barras de ABARROTE y LACTEO para reforzar el mensaje sobre optimización.</w:t>
      </w:r>
    </w:p>
    <w:p>
      <w:pPr>
        <w:spacing w:before="80" w:after="80"/>
      </w:pPr>
      <w:r>
        <w:rPr>
          <w:rFonts w:ascii="Calibri" w:hAnsi="Calibri"/>
          <w:color w:val="D1D5DB"/>
          <w:sz w:val="16"/>
        </w:rPr>
        <w:t>──────────────────────────────────────────────────────────────────────────────────────────</w:t>
      </w:r>
    </w:p>
    <w:tbl>
      <w:tblPr>
        <w:tblStyle w:val="TableGrid"/>
        <w:tblW w:type="auto" w:w="0"/>
        <w:jc w:val="left"/>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c>
          <w:tcPr>
            <w:tcW w:type="dxa" w:w="1568"/>
            <w:gridSpan w:val="2"/>
            <w:shd w:val="clear" w:color="auto" w:fill="1e1e1e"/>
          </w:tcPr>
          <w:p>
            <w:pPr>
              <w:jc w:val="center"/>
            </w:pPr>
            <w:r>
              <w:rPr>
                <w:rFonts w:ascii="Calibri" w:hAnsi="Calibri"/>
                <w:b/>
                <w:color w:val="FBBF24"/>
                <w:sz w:val="28"/>
              </w:rPr>
              <w:t>SLIDE</w:t>
              <w:br/>
              <w:t>09</w:t>
            </w:r>
          </w:p>
        </w:tc>
        <w:tc>
          <w:tcPr>
            <w:tcW w:type="dxa" w:w="5488"/>
            <w:gridSpan w:val="7"/>
            <w:shd w:val="clear" w:color="auto" w:fill="141414"/>
          </w:tcPr>
          <w:p>
            <w:r>
              <w:rPr>
                <w:rFonts w:ascii="Calibri" w:hAnsi="Calibri"/>
                <w:b/>
                <w:color w:val="FFFFFF"/>
                <w:sz w:val="26"/>
              </w:rPr>
              <w:t>ANÁLISIS — Costos por tipo de taller</w:t>
            </w:r>
          </w:p>
        </w:tc>
        <w:tc>
          <w:tcPr>
            <w:tcW w:type="dxa" w:w="2352"/>
            <w:gridSpan w:val="3"/>
            <w:shd w:val="clear" w:color="auto" w:fill="292929"/>
          </w:tcPr>
          <w:p>
            <w:pPr>
              <w:jc w:val="right"/>
            </w:pPr>
            <w:r>
              <w:rPr>
                <w:rFonts w:ascii="Calibri" w:hAnsi="Calibri"/>
                <w:color w:val="FBBF24"/>
                <w:sz w:val="20"/>
              </w:rPr>
              <w:t>⏱ 4–5 min</w:t>
            </w:r>
          </w:p>
        </w:tc>
      </w:tr>
    </w:tbl>
    <w:p>
      <w:pPr>
        <w:spacing w:before="80" w:after="40"/>
        <w:ind w:left="288"/>
      </w:pPr>
      <w:r>
        <w:rPr>
          <w:rFonts w:ascii="Calibri" w:hAnsi="Calibri"/>
          <w:b/>
          <w:color w:val="3B82F6"/>
          <w:sz w:val="20"/>
        </w:rPr>
        <w:t xml:space="preserve">OBJETIVO: </w:t>
      </w:r>
      <w:r>
        <w:rPr>
          <w:rFonts w:ascii="Calibri" w:hAnsi="Calibri"/>
          <w:sz w:val="20"/>
        </w:rPr>
        <w:t>Comparar el desempeño de costo entre talleres para identificar los de mayor y menor eficiencia en uso de insumos.</w:t>
      </w:r>
    </w:p>
    <w:p>
      <w:pPr>
        <w:spacing w:before="40" w:after="20"/>
        <w:ind w:left="288"/>
      </w:pPr>
      <w:r>
        <w:rPr>
          <w:rFonts w:ascii="Calibri" w:hAnsi="Calibri"/>
          <w:b/>
          <w:color w:val="6B7280"/>
          <w:sz w:val="20"/>
        </w:rPr>
        <w:t>PUNTOS CLAVE A DESTACAR:</w:t>
      </w:r>
    </w:p>
    <w:p>
      <w:pPr>
        <w:spacing w:before="20" w:after="20"/>
        <w:ind w:left="720"/>
      </w:pPr>
      <w:r>
        <w:rPr>
          <w:rFonts w:ascii="Calibri" w:hAnsi="Calibri"/>
          <w:color w:val="FBBF24"/>
          <w:sz w:val="20"/>
        </w:rPr>
        <w:t xml:space="preserve">→  </w:t>
      </w:r>
      <w:r>
        <w:rPr>
          <w:rFonts w:ascii="Calibri" w:hAnsi="Calibri"/>
          <w:sz w:val="20"/>
        </w:rPr>
        <w:t>TIP (Introductorio Pastelería) tiene el mayor costo total: $1.119.984 en 140 sesiones.</w:t>
      </w:r>
    </w:p>
    <w:p>
      <w:pPr>
        <w:spacing w:before="20" w:after="20"/>
        <w:ind w:left="720"/>
      </w:pPr>
      <w:r>
        <w:rPr>
          <w:rFonts w:ascii="Calibri" w:hAnsi="Calibri"/>
          <w:color w:val="FBBF24"/>
          <w:sz w:val="20"/>
        </w:rPr>
        <w:t xml:space="preserve">→  </w:t>
      </w:r>
      <w:r>
        <w:rPr>
          <w:rFonts w:ascii="Calibri" w:hAnsi="Calibri"/>
          <w:sz w:val="20"/>
        </w:rPr>
        <w:t>TTPIP tiene el mayor costo POR ALUMNO: $1.106, casi el doble del promedio.</w:t>
      </w:r>
    </w:p>
    <w:p>
      <w:pPr>
        <w:spacing w:before="20" w:after="20"/>
        <w:ind w:left="720"/>
      </w:pPr>
      <w:r>
        <w:rPr>
          <w:rFonts w:ascii="Calibri" w:hAnsi="Calibri"/>
          <w:color w:val="FBBF24"/>
          <w:sz w:val="20"/>
        </w:rPr>
        <w:t xml:space="preserve">→  </w:t>
      </w:r>
      <w:r>
        <w:rPr>
          <w:rFonts w:ascii="Calibri" w:hAnsi="Calibri"/>
          <w:sz w:val="20"/>
        </w:rPr>
        <w:t>TPE y TIC son los más eficientes por alumno ($254 y $275 respectivamente).</w:t>
      </w:r>
    </w:p>
    <w:p>
      <w:pPr>
        <w:spacing w:before="20" w:after="20"/>
        <w:ind w:left="720"/>
      </w:pPr>
      <w:r>
        <w:rPr>
          <w:rFonts w:ascii="Calibri" w:hAnsi="Calibri"/>
          <w:color w:val="FBBF24"/>
          <w:sz w:val="20"/>
        </w:rPr>
        <w:t xml:space="preserve">→  </w:t>
      </w:r>
      <w:r>
        <w:rPr>
          <w:rFonts w:ascii="Calibri" w:hAnsi="Calibri"/>
          <w:sz w:val="20"/>
        </w:rPr>
        <w:t>La diferencia de CPA entre talleres avanzados e introductorios es esperable y legítima.</w:t>
      </w:r>
    </w:p>
    <w:p>
      <w:pPr>
        <w:spacing w:before="20" w:after="20"/>
        <w:ind w:left="720"/>
      </w:pPr>
      <w:r>
        <w:rPr>
          <w:rFonts w:ascii="Calibri" w:hAnsi="Calibri"/>
          <w:color w:val="FBBF24"/>
          <w:sz w:val="20"/>
        </w:rPr>
        <w:t xml:space="preserve">→  </w:t>
      </w:r>
      <w:r>
        <w:rPr>
          <w:rFonts w:ascii="Calibri" w:hAnsi="Calibri"/>
          <w:sz w:val="20"/>
        </w:rPr>
        <w:t>Cinco talleres no tienen recetas → su costo real es desconocido todavía.</w:t>
      </w:r>
    </w:p>
    <w:p>
      <w:pPr>
        <w:spacing w:before="40"/>
        <w:ind w:left="288"/>
      </w:pPr>
      <w:r>
        <w:rPr>
          <w:rFonts w:ascii="Calibri" w:hAnsi="Calibri"/>
          <w:b/>
          <w:color w:val="22C55E"/>
          <w:sz w:val="20"/>
        </w:rPr>
        <w:t xml:space="preserve">CIFRAS CLAVE:  </w:t>
      </w:r>
      <w:r>
        <w:rPr>
          <w:rFonts w:ascii="Calibri" w:hAnsi="Calibri"/>
          <w:sz w:val="20"/>
        </w:rPr>
        <w:t>Rango de CPA: $254 (TPE) → $1.106 (TTPIP). Promedio general: $328.</w:t>
      </w:r>
    </w:p>
    <w:p>
      <w:pPr>
        <w:spacing w:before="40" w:after="120"/>
        <w:ind w:left="288"/>
      </w:pPr>
      <w:r>
        <w:rPr>
          <w:rFonts w:ascii="Calibri" w:hAnsi="Calibri"/>
          <w:b/>
          <w:color w:val="FBBF24"/>
          <w:sz w:val="20"/>
        </w:rPr>
        <w:t xml:space="preserve">💡 CONSEJO:  </w:t>
      </w:r>
      <w:r>
        <w:rPr>
          <w:rFonts w:ascii="Calibri" w:hAnsi="Calibri"/>
          <w:i/>
          <w:sz w:val="20"/>
        </w:rPr>
        <w:t>Usar la escala de colores verde/amarillo/rojo del slide para guiar la interpretación. Remarcar que el costo alto de TTPIP no es necesariamente malo, sino propio de una especialización premium.</w:t>
      </w:r>
    </w:p>
    <w:p>
      <w:pPr>
        <w:spacing w:before="80" w:after="80"/>
      </w:pPr>
      <w:r>
        <w:rPr>
          <w:rFonts w:ascii="Calibri" w:hAnsi="Calibri"/>
          <w:color w:val="D1D5DB"/>
          <w:sz w:val="16"/>
        </w:rPr>
        <w:t>──────────────────────────────────────────────────────────────────────────────────────────</w:t>
      </w:r>
    </w:p>
    <w:tbl>
      <w:tblPr>
        <w:tblStyle w:val="TableGrid"/>
        <w:tblW w:type="auto" w:w="0"/>
        <w:jc w:val="left"/>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c>
          <w:tcPr>
            <w:tcW w:type="dxa" w:w="1568"/>
            <w:gridSpan w:val="2"/>
            <w:shd w:val="clear" w:color="auto" w:fill="1e1e1e"/>
          </w:tcPr>
          <w:p>
            <w:pPr>
              <w:jc w:val="center"/>
            </w:pPr>
            <w:r>
              <w:rPr>
                <w:rFonts w:ascii="Calibri" w:hAnsi="Calibri"/>
                <w:b/>
                <w:color w:val="FBBF24"/>
                <w:sz w:val="28"/>
              </w:rPr>
              <w:t>SLIDE</w:t>
              <w:br/>
              <w:t>10</w:t>
            </w:r>
          </w:p>
        </w:tc>
        <w:tc>
          <w:tcPr>
            <w:tcW w:type="dxa" w:w="5488"/>
            <w:gridSpan w:val="7"/>
            <w:shd w:val="clear" w:color="auto" w:fill="141414"/>
          </w:tcPr>
          <w:p>
            <w:r>
              <w:rPr>
                <w:rFonts w:ascii="Calibri" w:hAnsi="Calibri"/>
                <w:b/>
                <w:color w:val="FFFFFF"/>
                <w:sz w:val="26"/>
              </w:rPr>
              <w:t>TOP 5 SESIONES — Más costosas del período</w:t>
            </w:r>
          </w:p>
        </w:tc>
        <w:tc>
          <w:tcPr>
            <w:tcW w:type="dxa" w:w="2352"/>
            <w:gridSpan w:val="3"/>
            <w:shd w:val="clear" w:color="auto" w:fill="292929"/>
          </w:tcPr>
          <w:p>
            <w:pPr>
              <w:jc w:val="right"/>
            </w:pPr>
            <w:r>
              <w:rPr>
                <w:rFonts w:ascii="Calibri" w:hAnsi="Calibri"/>
                <w:color w:val="FBBF24"/>
                <w:sz w:val="20"/>
              </w:rPr>
              <w:t>⏱ 2–3 min</w:t>
            </w:r>
          </w:p>
        </w:tc>
      </w:tr>
    </w:tbl>
    <w:p>
      <w:pPr>
        <w:spacing w:before="80" w:after="40"/>
        <w:ind w:left="288"/>
      </w:pPr>
      <w:r>
        <w:rPr>
          <w:rFonts w:ascii="Calibri" w:hAnsi="Calibri"/>
          <w:b/>
          <w:color w:val="3B82F6"/>
          <w:sz w:val="20"/>
        </w:rPr>
        <w:t xml:space="preserve">OBJETIVO: </w:t>
      </w:r>
      <w:r>
        <w:rPr>
          <w:rFonts w:ascii="Calibri" w:hAnsi="Calibri"/>
          <w:sz w:val="20"/>
        </w:rPr>
        <w:t>Mostrar ejemplos concretos de las sesiones con mayor gasto, para dar contexto al análisis.</w:t>
      </w:r>
    </w:p>
    <w:p>
      <w:pPr>
        <w:spacing w:before="40" w:after="20"/>
        <w:ind w:left="288"/>
      </w:pPr>
      <w:r>
        <w:rPr>
          <w:rFonts w:ascii="Calibri" w:hAnsi="Calibri"/>
          <w:b/>
          <w:color w:val="6B7280"/>
          <w:sz w:val="20"/>
        </w:rPr>
        <w:t>PUNTOS CLAVE A DESTACAR:</w:t>
      </w:r>
    </w:p>
    <w:p>
      <w:pPr>
        <w:spacing w:before="20" w:after="20"/>
        <w:ind w:left="720"/>
      </w:pPr>
      <w:r>
        <w:rPr>
          <w:rFonts w:ascii="Calibri" w:hAnsi="Calibri"/>
          <w:color w:val="FBBF24"/>
          <w:sz w:val="20"/>
        </w:rPr>
        <w:t xml:space="preserve">→  </w:t>
      </w:r>
      <w:r>
        <w:rPr>
          <w:rFonts w:ascii="Calibri" w:hAnsi="Calibri"/>
          <w:sz w:val="20"/>
        </w:rPr>
        <w:t>Todas las top 5 pertenecen a TTPIC y TBS: talleres de técnicas avanzadas.</w:t>
      </w:r>
    </w:p>
    <w:p>
      <w:pPr>
        <w:spacing w:before="20" w:after="20"/>
        <w:ind w:left="720"/>
      </w:pPr>
      <w:r>
        <w:rPr>
          <w:rFonts w:ascii="Calibri" w:hAnsi="Calibri"/>
          <w:color w:val="FBBF24"/>
          <w:sz w:val="20"/>
        </w:rPr>
        <w:t xml:space="preserve">→  </w:t>
      </w:r>
      <w:r>
        <w:rPr>
          <w:rFonts w:ascii="Calibri" w:hAnsi="Calibri"/>
          <w:sz w:val="20"/>
        </w:rPr>
        <w:t>El costo total por sesión de TTPICSES3 es de $27.846, con 16–19 alumnos.</w:t>
      </w:r>
    </w:p>
    <w:p>
      <w:pPr>
        <w:spacing w:before="20" w:after="20"/>
        <w:ind w:left="720"/>
      </w:pPr>
      <w:r>
        <w:rPr>
          <w:rFonts w:ascii="Calibri" w:hAnsi="Calibri"/>
          <w:color w:val="FBBF24"/>
          <w:sz w:val="20"/>
        </w:rPr>
        <w:t xml:space="preserve">→  </w:t>
      </w:r>
      <w:r>
        <w:rPr>
          <w:rFonts w:ascii="Calibri" w:hAnsi="Calibri"/>
          <w:sz w:val="20"/>
        </w:rPr>
        <w:t>El CPA de estas sesiones ($1.295–$1.740) está muy por sobre el promedio.</w:t>
      </w:r>
    </w:p>
    <w:p>
      <w:pPr>
        <w:spacing w:before="20" w:after="20"/>
        <w:ind w:left="720"/>
      </w:pPr>
      <w:r>
        <w:rPr>
          <w:rFonts w:ascii="Calibri" w:hAnsi="Calibri"/>
          <w:color w:val="FBBF24"/>
          <w:sz w:val="20"/>
        </w:rPr>
        <w:t xml:space="preserve">→  </w:t>
      </w:r>
      <w:r>
        <w:rPr>
          <w:rFonts w:ascii="Calibri" w:hAnsi="Calibri"/>
          <w:sz w:val="20"/>
        </w:rPr>
        <w:t>Estos datos permiten prever el gasto de sesiones similares en futuros períodos.</w:t>
      </w:r>
    </w:p>
    <w:p>
      <w:pPr>
        <w:spacing w:before="40"/>
        <w:ind w:left="288"/>
      </w:pPr>
      <w:r>
        <w:rPr>
          <w:rFonts w:ascii="Calibri" w:hAnsi="Calibri"/>
          <w:b/>
          <w:color w:val="22C55E"/>
          <w:sz w:val="20"/>
        </w:rPr>
        <w:t xml:space="preserve">CIFRAS CLAVE:  </w:t>
      </w:r>
      <w:r>
        <w:rPr>
          <w:rFonts w:ascii="Calibri" w:hAnsi="Calibri"/>
          <w:sz w:val="20"/>
        </w:rPr>
        <w:t>Sesión más cara: TTPICSES3 → $27.846 (CPA $1.740 con 16 alumnos).</w:t>
      </w:r>
    </w:p>
    <w:p>
      <w:pPr>
        <w:spacing w:before="40" w:after="120"/>
        <w:ind w:left="288"/>
      </w:pPr>
      <w:r>
        <w:rPr>
          <w:rFonts w:ascii="Calibri" w:hAnsi="Calibri"/>
          <w:b/>
          <w:color w:val="FBBF24"/>
          <w:sz w:val="20"/>
        </w:rPr>
        <w:t xml:space="preserve">💡 CONSEJO:  </w:t>
      </w:r>
      <w:r>
        <w:rPr>
          <w:rFonts w:ascii="Calibri" w:hAnsi="Calibri"/>
          <w:i/>
          <w:sz w:val="20"/>
        </w:rPr>
        <w:t>Este slide es especialmente útil para la dirección académica. La granularidad del dato ($27.846 por sesión específica) demuestra el valor real del sistema.</w:t>
      </w:r>
    </w:p>
    <w:p>
      <w:pPr>
        <w:spacing w:before="80" w:after="80"/>
      </w:pPr>
      <w:r>
        <w:rPr>
          <w:rFonts w:ascii="Calibri" w:hAnsi="Calibri"/>
          <w:color w:val="D1D5DB"/>
          <w:sz w:val="16"/>
        </w:rPr>
        <w:t>──────────────────────────────────────────────────────────────────────────────────────────</w:t>
      </w:r>
    </w:p>
    <w:tbl>
      <w:tblPr>
        <w:tblStyle w:val="TableGrid"/>
        <w:tblW w:type="auto" w:w="0"/>
        <w:jc w:val="left"/>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c>
          <w:tcPr>
            <w:tcW w:type="dxa" w:w="1568"/>
            <w:gridSpan w:val="2"/>
            <w:shd w:val="clear" w:color="auto" w:fill="1e1e1e"/>
          </w:tcPr>
          <w:p>
            <w:pPr>
              <w:jc w:val="center"/>
            </w:pPr>
            <w:r>
              <w:rPr>
                <w:rFonts w:ascii="Calibri" w:hAnsi="Calibri"/>
                <w:b/>
                <w:color w:val="FBBF24"/>
                <w:sz w:val="28"/>
              </w:rPr>
              <w:t>SLIDE</w:t>
              <w:br/>
              <w:t>11</w:t>
            </w:r>
          </w:p>
        </w:tc>
        <w:tc>
          <w:tcPr>
            <w:tcW w:type="dxa" w:w="5488"/>
            <w:gridSpan w:val="7"/>
            <w:shd w:val="clear" w:color="auto" w:fill="141414"/>
          </w:tcPr>
          <w:p>
            <w:r>
              <w:rPr>
                <w:rFonts w:ascii="Calibri" w:hAnsi="Calibri"/>
                <w:b/>
                <w:color w:val="FFFFFF"/>
                <w:sz w:val="26"/>
              </w:rPr>
              <w:t>TOP 10 INGREDIENTES — Por gasto acumulado</w:t>
            </w:r>
          </w:p>
        </w:tc>
        <w:tc>
          <w:tcPr>
            <w:tcW w:type="dxa" w:w="2352"/>
            <w:gridSpan w:val="3"/>
            <w:shd w:val="clear" w:color="auto" w:fill="292929"/>
          </w:tcPr>
          <w:p>
            <w:pPr>
              <w:jc w:val="right"/>
            </w:pPr>
            <w:r>
              <w:rPr>
                <w:rFonts w:ascii="Calibri" w:hAnsi="Calibri"/>
                <w:color w:val="FBBF24"/>
                <w:sz w:val="20"/>
              </w:rPr>
              <w:t>⏱ 2–3 min</w:t>
            </w:r>
          </w:p>
        </w:tc>
      </w:tr>
    </w:tbl>
    <w:p>
      <w:pPr>
        <w:spacing w:before="80" w:after="40"/>
        <w:ind w:left="288"/>
      </w:pPr>
      <w:r>
        <w:rPr>
          <w:rFonts w:ascii="Calibri" w:hAnsi="Calibri"/>
          <w:b/>
          <w:color w:val="3B82F6"/>
          <w:sz w:val="20"/>
        </w:rPr>
        <w:t xml:space="preserve">OBJETIVO: </w:t>
      </w:r>
      <w:r>
        <w:rPr>
          <w:rFonts w:ascii="Calibri" w:hAnsi="Calibri"/>
          <w:sz w:val="20"/>
        </w:rPr>
        <w:t>Identificar los ingredientes que más impactan en el costo total y que son el foco de gestión de compras.</w:t>
      </w:r>
    </w:p>
    <w:p>
      <w:pPr>
        <w:spacing w:before="40" w:after="20"/>
        <w:ind w:left="288"/>
      </w:pPr>
      <w:r>
        <w:rPr>
          <w:rFonts w:ascii="Calibri" w:hAnsi="Calibri"/>
          <w:b/>
          <w:color w:val="6B7280"/>
          <w:sz w:val="20"/>
        </w:rPr>
        <w:t>PUNTOS CLAVE A DESTACAR:</w:t>
      </w:r>
    </w:p>
    <w:p>
      <w:pPr>
        <w:spacing w:before="20" w:after="20"/>
        <w:ind w:left="720"/>
      </w:pPr>
      <w:r>
        <w:rPr>
          <w:rFonts w:ascii="Calibri" w:hAnsi="Calibri"/>
          <w:color w:val="FBBF24"/>
          <w:sz w:val="20"/>
        </w:rPr>
        <w:t xml:space="preserve">→  </w:t>
      </w:r>
      <w:r>
        <w:rPr>
          <w:rFonts w:ascii="Calibri" w:hAnsi="Calibri"/>
          <w:sz w:val="20"/>
        </w:rPr>
        <w:t>Mantequilla sin sal es el ingrediente más usado en costo: $341.058.</w:t>
      </w:r>
    </w:p>
    <w:p>
      <w:pPr>
        <w:spacing w:before="20" w:after="20"/>
        <w:ind w:left="720"/>
      </w:pPr>
      <w:r>
        <w:rPr>
          <w:rFonts w:ascii="Calibri" w:hAnsi="Calibri"/>
          <w:color w:val="FBBF24"/>
          <w:sz w:val="20"/>
        </w:rPr>
        <w:t xml:space="preserve">→  </w:t>
      </w:r>
      <w:r>
        <w:rPr>
          <w:rFonts w:ascii="Calibri" w:hAnsi="Calibri"/>
          <w:sz w:val="20"/>
        </w:rPr>
        <w:t>Los lácteos dominan el top: mantequilla, crema y leche en posiciones 1, 3 y 5.</w:t>
      </w:r>
    </w:p>
    <w:p>
      <w:pPr>
        <w:spacing w:before="20" w:after="20"/>
        <w:ind w:left="720"/>
      </w:pPr>
      <w:r>
        <w:rPr>
          <w:rFonts w:ascii="Calibri" w:hAnsi="Calibri"/>
          <w:color w:val="FBBF24"/>
          <w:sz w:val="20"/>
        </w:rPr>
        <w:t xml:space="preserve">→  </w:t>
      </w:r>
      <w:r>
        <w:rPr>
          <w:rFonts w:ascii="Calibri" w:hAnsi="Calibri"/>
          <w:sz w:val="20"/>
        </w:rPr>
        <w:t>El huevo es el ingrediente de mayor volumen en unidades.</w:t>
      </w:r>
    </w:p>
    <w:p>
      <w:pPr>
        <w:spacing w:before="20" w:after="20"/>
        <w:ind w:left="720"/>
      </w:pPr>
      <w:r>
        <w:rPr>
          <w:rFonts w:ascii="Calibri" w:hAnsi="Calibri"/>
          <w:color w:val="FBBF24"/>
          <w:sz w:val="20"/>
        </w:rPr>
        <w:t xml:space="preserve">→  </w:t>
      </w:r>
      <w:r>
        <w:rPr>
          <w:rFonts w:ascii="Calibri" w:hAnsi="Calibri"/>
          <w:sz w:val="20"/>
        </w:rPr>
        <w:t>El couverture de chocolate aparece dos veces (chocolate y couverture oscuro).</w:t>
      </w:r>
    </w:p>
    <w:p>
      <w:pPr>
        <w:spacing w:before="20" w:after="20"/>
        <w:ind w:left="720"/>
      </w:pPr>
      <w:r>
        <w:rPr>
          <w:rFonts w:ascii="Calibri" w:hAnsi="Calibri"/>
          <w:color w:val="FBBF24"/>
          <w:sz w:val="20"/>
        </w:rPr>
        <w:t xml:space="preserve">→  </w:t>
      </w:r>
      <w:r>
        <w:rPr>
          <w:rFonts w:ascii="Calibri" w:hAnsi="Calibri"/>
          <w:sz w:val="20"/>
        </w:rPr>
        <w:t>Estos 10 ingredientes explican una parte desproporcionada del gasto total.</w:t>
      </w:r>
    </w:p>
    <w:p>
      <w:pPr>
        <w:spacing w:before="40"/>
        <w:ind w:left="288"/>
      </w:pPr>
      <w:r>
        <w:rPr>
          <w:rFonts w:ascii="Calibri" w:hAnsi="Calibri"/>
          <w:b/>
          <w:color w:val="22C55E"/>
          <w:sz w:val="20"/>
        </w:rPr>
        <w:t xml:space="preserve">CIFRAS CLAVE:  </w:t>
      </w:r>
      <w:r>
        <w:rPr>
          <w:rFonts w:ascii="Calibri" w:hAnsi="Calibri"/>
          <w:sz w:val="20"/>
        </w:rPr>
        <w:t>Top 10 ingredientes: $2.172.094 estimados (30,7% del gasto total).</w:t>
      </w:r>
    </w:p>
    <w:p>
      <w:pPr>
        <w:spacing w:before="40" w:after="120"/>
        <w:ind w:left="288"/>
      </w:pPr>
      <w:r>
        <w:rPr>
          <w:rFonts w:ascii="Calibri" w:hAnsi="Calibri"/>
          <w:b/>
          <w:color w:val="FBBF24"/>
          <w:sz w:val="20"/>
        </w:rPr>
        <w:t xml:space="preserve">💡 CONSEJO:  </w:t>
      </w:r>
      <w:r>
        <w:rPr>
          <w:rFonts w:ascii="Calibri" w:hAnsi="Calibri"/>
          <w:i/>
          <w:sz w:val="20"/>
        </w:rPr>
        <w:t>Este slide conecta directamente con la gestión de compras. Un acuerdo con el proveedor de lácteos y mantequilla puede tener más impacto que optimizar decenas de ingredientes de bajo uso.</w:t>
      </w:r>
    </w:p>
    <w:p>
      <w:pPr>
        <w:spacing w:before="80" w:after="80"/>
      </w:pPr>
      <w:r>
        <w:rPr>
          <w:rFonts w:ascii="Calibri" w:hAnsi="Calibri"/>
          <w:color w:val="D1D5DB"/>
          <w:sz w:val="16"/>
        </w:rPr>
        <w:t>──────────────────────────────────────────────────────────────────────────────────────────</w:t>
      </w:r>
    </w:p>
    <w:tbl>
      <w:tblPr>
        <w:tblStyle w:val="TableGrid"/>
        <w:tblW w:type="auto" w:w="0"/>
        <w:jc w:val="left"/>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c>
          <w:tcPr>
            <w:tcW w:type="dxa" w:w="1568"/>
            <w:gridSpan w:val="2"/>
            <w:shd w:val="clear" w:color="auto" w:fill="1e1e1e"/>
          </w:tcPr>
          <w:p>
            <w:pPr>
              <w:jc w:val="center"/>
            </w:pPr>
            <w:r>
              <w:rPr>
                <w:rFonts w:ascii="Calibri" w:hAnsi="Calibri"/>
                <w:b/>
                <w:color w:val="FBBF24"/>
                <w:sz w:val="28"/>
              </w:rPr>
              <w:t>SLIDE</w:t>
              <w:br/>
              <w:t>12</w:t>
            </w:r>
          </w:p>
        </w:tc>
        <w:tc>
          <w:tcPr>
            <w:tcW w:type="dxa" w:w="5488"/>
            <w:gridSpan w:val="7"/>
            <w:shd w:val="clear" w:color="auto" w:fill="141414"/>
          </w:tcPr>
          <w:p>
            <w:r>
              <w:rPr>
                <w:rFonts w:ascii="Calibri" w:hAnsi="Calibri"/>
                <w:b/>
                <w:color w:val="FFFFFF"/>
                <w:sz w:val="26"/>
              </w:rPr>
              <w:t>HALLAZGOS — Observaciones y conclusiones</w:t>
            </w:r>
          </w:p>
        </w:tc>
        <w:tc>
          <w:tcPr>
            <w:tcW w:type="dxa" w:w="2352"/>
            <w:gridSpan w:val="3"/>
            <w:shd w:val="clear" w:color="auto" w:fill="292929"/>
          </w:tcPr>
          <w:p>
            <w:pPr>
              <w:jc w:val="right"/>
            </w:pPr>
            <w:r>
              <w:rPr>
                <w:rFonts w:ascii="Calibri" w:hAnsi="Calibri"/>
                <w:color w:val="FBBF24"/>
                <w:sz w:val="20"/>
              </w:rPr>
              <w:t>⏱ 3–4 min</w:t>
            </w:r>
          </w:p>
        </w:tc>
      </w:tr>
    </w:tbl>
    <w:p>
      <w:pPr>
        <w:spacing w:before="80" w:after="40"/>
        <w:ind w:left="288"/>
      </w:pPr>
      <w:r>
        <w:rPr>
          <w:rFonts w:ascii="Calibri" w:hAnsi="Calibri"/>
          <w:b/>
          <w:color w:val="3B82F6"/>
          <w:sz w:val="20"/>
        </w:rPr>
        <w:t xml:space="preserve">OBJETIVO: </w:t>
      </w:r>
      <w:r>
        <w:rPr>
          <w:rFonts w:ascii="Calibri" w:hAnsi="Calibri"/>
          <w:sz w:val="20"/>
        </w:rPr>
        <w:t>Sintetizar los aprendizajes más importantes del análisis para que el público los lleve consigo.</w:t>
      </w:r>
    </w:p>
    <w:p>
      <w:pPr>
        <w:spacing w:before="40" w:after="20"/>
        <w:ind w:left="288"/>
      </w:pPr>
      <w:r>
        <w:rPr>
          <w:rFonts w:ascii="Calibri" w:hAnsi="Calibri"/>
          <w:b/>
          <w:color w:val="6B7280"/>
          <w:sz w:val="20"/>
        </w:rPr>
        <w:t>PUNTOS CLAVE A DESTACAR:</w:t>
      </w:r>
    </w:p>
    <w:p>
      <w:pPr>
        <w:spacing w:before="20" w:after="20"/>
        <w:ind w:left="720"/>
      </w:pPr>
      <w:r>
        <w:rPr>
          <w:rFonts w:ascii="Calibri" w:hAnsi="Calibri"/>
          <w:color w:val="FBBF24"/>
          <w:sz w:val="20"/>
        </w:rPr>
        <w:t xml:space="preserve">→  </w:t>
      </w:r>
      <w:r>
        <w:rPr>
          <w:rFonts w:ascii="Calibri" w:hAnsi="Calibri"/>
          <w:sz w:val="20"/>
        </w:rPr>
        <w:t>Hallazgo 1 (verde): el CPA promedio de $328 es razonable y coherente con el mercado.</w:t>
      </w:r>
    </w:p>
    <w:p>
      <w:pPr>
        <w:spacing w:before="20" w:after="20"/>
        <w:ind w:left="720"/>
      </w:pPr>
      <w:r>
        <w:rPr>
          <w:rFonts w:ascii="Calibri" w:hAnsi="Calibri"/>
          <w:color w:val="FBBF24"/>
          <w:sz w:val="20"/>
        </w:rPr>
        <w:t xml:space="preserve">→  </w:t>
      </w:r>
      <w:r>
        <w:rPr>
          <w:rFonts w:ascii="Calibri" w:hAnsi="Calibri"/>
          <w:sz w:val="20"/>
        </w:rPr>
        <w:t>Hallazgo 2 (amarillo): TTPIP y TBD son los talleres de mayor costo unitario → monitoreo recomendado.</w:t>
      </w:r>
    </w:p>
    <w:p>
      <w:pPr>
        <w:spacing w:before="20" w:after="20"/>
        <w:ind w:left="720"/>
      </w:pPr>
      <w:r>
        <w:rPr>
          <w:rFonts w:ascii="Calibri" w:hAnsi="Calibri"/>
          <w:color w:val="FBBF24"/>
          <w:sz w:val="20"/>
        </w:rPr>
        <w:t xml:space="preserve">→  </w:t>
      </w:r>
      <w:r>
        <w:rPr>
          <w:rFonts w:ascii="Calibri" w:hAnsi="Calibri"/>
          <w:sz w:val="20"/>
        </w:rPr>
        <w:t>Hallazgo 3 (azul): mayo concentra el 16,7% del gasto anual → planificación de compras.</w:t>
      </w:r>
    </w:p>
    <w:p>
      <w:pPr>
        <w:spacing w:before="20" w:after="20"/>
        <w:ind w:left="720"/>
      </w:pPr>
      <w:r>
        <w:rPr>
          <w:rFonts w:ascii="Calibri" w:hAnsi="Calibri"/>
          <w:color w:val="FBBF24"/>
          <w:sz w:val="20"/>
        </w:rPr>
        <w:t xml:space="preserve">→  </w:t>
      </w:r>
      <w:r>
        <w:rPr>
          <w:rFonts w:ascii="Calibri" w:hAnsi="Calibri"/>
          <w:sz w:val="20"/>
        </w:rPr>
        <w:t>Hallazgo 4 (gris): 5 talleres sin recetas = costo real subestimado → prioridad de acción.</w:t>
      </w:r>
    </w:p>
    <w:p>
      <w:pPr>
        <w:spacing w:before="40" w:after="120"/>
        <w:ind w:left="288"/>
      </w:pPr>
      <w:r>
        <w:rPr>
          <w:rFonts w:ascii="Calibri" w:hAnsi="Calibri"/>
          <w:b/>
          <w:color w:val="FBBF24"/>
          <w:sz w:val="20"/>
        </w:rPr>
        <w:t xml:space="preserve">💡 CONSEJO:  </w:t>
      </w:r>
      <w:r>
        <w:rPr>
          <w:rFonts w:ascii="Calibri" w:hAnsi="Calibri"/>
          <w:i/>
          <w:sz w:val="20"/>
        </w:rPr>
        <w:t>No necesitas leer los hallazgos. El color y el ícono ya lo dicen. Puedes pausar en cada uno y preguntar al público si generan alguna pregunta o reflexión.</w:t>
      </w:r>
    </w:p>
    <w:p>
      <w:pPr>
        <w:spacing w:before="80" w:after="80"/>
      </w:pPr>
      <w:r>
        <w:rPr>
          <w:rFonts w:ascii="Calibri" w:hAnsi="Calibri"/>
          <w:color w:val="D1D5DB"/>
          <w:sz w:val="16"/>
        </w:rPr>
        <w:t>──────────────────────────────────────────────────────────────────────────────────────────</w:t>
      </w:r>
    </w:p>
    <w:tbl>
      <w:tblPr>
        <w:tblStyle w:val="TableGrid"/>
        <w:tblW w:type="auto" w:w="0"/>
        <w:jc w:val="left"/>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c>
          <w:tcPr>
            <w:tcW w:type="dxa" w:w="1568"/>
            <w:gridSpan w:val="2"/>
            <w:shd w:val="clear" w:color="auto" w:fill="1e1e1e"/>
          </w:tcPr>
          <w:p>
            <w:pPr>
              <w:jc w:val="center"/>
            </w:pPr>
            <w:r>
              <w:rPr>
                <w:rFonts w:ascii="Calibri" w:hAnsi="Calibri"/>
                <w:b/>
                <w:color w:val="FBBF24"/>
                <w:sz w:val="28"/>
              </w:rPr>
              <w:t>SLIDE</w:t>
              <w:br/>
              <w:t>13</w:t>
            </w:r>
          </w:p>
        </w:tc>
        <w:tc>
          <w:tcPr>
            <w:tcW w:type="dxa" w:w="5488"/>
            <w:gridSpan w:val="7"/>
            <w:shd w:val="clear" w:color="auto" w:fill="141414"/>
          </w:tcPr>
          <w:p>
            <w:r>
              <w:rPr>
                <w:rFonts w:ascii="Calibri" w:hAnsi="Calibri"/>
                <w:b/>
                <w:color w:val="FFFFFF"/>
                <w:sz w:val="26"/>
              </w:rPr>
              <w:t>PRÓXIMOS PASOS — Roadmap</w:t>
            </w:r>
          </w:p>
        </w:tc>
        <w:tc>
          <w:tcPr>
            <w:tcW w:type="dxa" w:w="2352"/>
            <w:gridSpan w:val="3"/>
            <w:shd w:val="clear" w:color="auto" w:fill="292929"/>
          </w:tcPr>
          <w:p>
            <w:pPr>
              <w:jc w:val="right"/>
            </w:pPr>
            <w:r>
              <w:rPr>
                <w:rFonts w:ascii="Calibri" w:hAnsi="Calibri"/>
                <w:color w:val="FBBF24"/>
                <w:sz w:val="20"/>
              </w:rPr>
              <w:t>⏱ 2–3 min</w:t>
            </w:r>
          </w:p>
        </w:tc>
      </w:tr>
    </w:tbl>
    <w:p>
      <w:pPr>
        <w:spacing w:before="80" w:after="40"/>
        <w:ind w:left="288"/>
      </w:pPr>
      <w:r>
        <w:rPr>
          <w:rFonts w:ascii="Calibri" w:hAnsi="Calibri"/>
          <w:b/>
          <w:color w:val="3B82F6"/>
          <w:sz w:val="20"/>
        </w:rPr>
        <w:t xml:space="preserve">OBJETIVO: </w:t>
      </w:r>
      <w:r>
        <w:rPr>
          <w:rFonts w:ascii="Calibri" w:hAnsi="Calibri"/>
          <w:sz w:val="20"/>
        </w:rPr>
        <w:t>Dejar al público con una visión clara de hacia dónde va el sistema y qué acciones son prioritarias.</w:t>
      </w:r>
    </w:p>
    <w:p>
      <w:pPr>
        <w:spacing w:before="40" w:after="20"/>
        <w:ind w:left="288"/>
      </w:pPr>
      <w:r>
        <w:rPr>
          <w:rFonts w:ascii="Calibri" w:hAnsi="Calibri"/>
          <w:b/>
          <w:color w:val="6B7280"/>
          <w:sz w:val="20"/>
        </w:rPr>
        <w:t>PUNTOS CLAVE A DESTACAR:</w:t>
      </w:r>
    </w:p>
    <w:p>
      <w:pPr>
        <w:spacing w:before="20" w:after="20"/>
        <w:ind w:left="720"/>
      </w:pPr>
      <w:r>
        <w:rPr>
          <w:rFonts w:ascii="Calibri" w:hAnsi="Calibri"/>
          <w:color w:val="FBBF24"/>
          <w:sz w:val="20"/>
        </w:rPr>
        <w:t xml:space="preserve">→  </w:t>
      </w:r>
      <w:r>
        <w:rPr>
          <w:rFonts w:ascii="Calibri" w:hAnsi="Calibri"/>
          <w:sz w:val="20"/>
        </w:rPr>
        <w:t>Corto plazo: completar recetas de los 5 talleres sin datos (TMA, TAS, TIR, TMI, TEAC).</w:t>
      </w:r>
    </w:p>
    <w:p>
      <w:pPr>
        <w:spacing w:before="20" w:after="20"/>
        <w:ind w:left="720"/>
      </w:pPr>
      <w:r>
        <w:rPr>
          <w:rFonts w:ascii="Calibri" w:hAnsi="Calibri"/>
          <w:color w:val="FBBF24"/>
          <w:sz w:val="20"/>
        </w:rPr>
        <w:t xml:space="preserve">→  </w:t>
      </w:r>
      <w:r>
        <w:rPr>
          <w:rFonts w:ascii="Calibri" w:hAnsi="Calibri"/>
          <w:sz w:val="20"/>
        </w:rPr>
        <w:t>Mediano plazo: módulo de presupuesto vs. real y exportación automática de informes.</w:t>
      </w:r>
    </w:p>
    <w:p>
      <w:pPr>
        <w:spacing w:before="20" w:after="20"/>
        <w:ind w:left="720"/>
      </w:pPr>
      <w:r>
        <w:rPr>
          <w:rFonts w:ascii="Calibri" w:hAnsi="Calibri"/>
          <w:color w:val="FBBF24"/>
          <w:sz w:val="20"/>
        </w:rPr>
        <w:t xml:space="preserve">→  </w:t>
      </w:r>
      <w:r>
        <w:rPr>
          <w:rFonts w:ascii="Calibri" w:hAnsi="Calibri"/>
          <w:sz w:val="20"/>
        </w:rPr>
        <w:t>Largo plazo: extensión a otras sedes para comparativas institucionales.</w:t>
      </w:r>
    </w:p>
    <w:p>
      <w:pPr>
        <w:spacing w:before="20" w:after="20"/>
        <w:ind w:left="720"/>
      </w:pPr>
      <w:r>
        <w:rPr>
          <w:rFonts w:ascii="Calibri" w:hAnsi="Calibri"/>
          <w:color w:val="FBBF24"/>
          <w:sz w:val="20"/>
        </w:rPr>
        <w:t xml:space="preserve">→  </w:t>
      </w:r>
      <w:r>
        <w:rPr>
          <w:rFonts w:ascii="Calibri" w:hAnsi="Calibri"/>
          <w:sz w:val="20"/>
        </w:rPr>
        <w:t>El sistema ya está operativo: los próximos pasos son completar datos, no construir.</w:t>
      </w:r>
    </w:p>
    <w:p>
      <w:pPr>
        <w:spacing w:before="40" w:after="120"/>
        <w:ind w:left="288"/>
      </w:pPr>
      <w:r>
        <w:rPr>
          <w:rFonts w:ascii="Calibri" w:hAnsi="Calibri"/>
          <w:b/>
          <w:color w:val="FBBF24"/>
          <w:sz w:val="20"/>
        </w:rPr>
        <w:t xml:space="preserve">💡 CONSEJO:  </w:t>
      </w:r>
      <w:r>
        <w:rPr>
          <w:rFonts w:ascii="Calibri" w:hAnsi="Calibri"/>
          <w:i/>
          <w:sz w:val="20"/>
        </w:rPr>
        <w:t>Cerrar con energía y confianza. Recordar la URL del sistema: culinary.pythonanywhere.com. Invitar a explorar el sistema y proporcionar credenciales de acceso si corresponde.</w:t>
      </w:r>
    </w:p>
    <w:p>
      <w:pPr>
        <w:spacing w:before="80" w:after="80"/>
      </w:pPr>
      <w:r>
        <w:rPr>
          <w:rFonts w:ascii="Calibri" w:hAnsi="Calibri"/>
          <w:color w:val="D1D5DB"/>
          <w:sz w:val="16"/>
        </w:rPr>
        <w:t>──────────────────────────────────────────────────────────────────────────────────────────</w:t>
      </w:r>
    </w:p>
    <w:p>
      <w:r>
        <w:br w:type="page"/>
      </w:r>
    </w:p>
    <w:p>
      <w:pPr>
        <w:spacing w:before="360" w:after="80"/>
      </w:pPr>
      <w:r>
        <w:rPr>
          <w:rFonts w:ascii="Calibri" w:hAnsi="Calibri"/>
          <w:b/>
          <w:color w:val="FBBF24"/>
          <w:sz w:val="32"/>
        </w:rPr>
        <w:t>3.  Preguntas Frecuentes y Cómo Responderlas</w:t>
      </w:r>
    </w:p>
    <w:p>
      <w:pPr>
        <w:spacing w:before="40" w:after="80"/>
      </w:pPr>
      <w:r>
        <w:rPr>
          <w:rFonts w:ascii="Calibri" w:hAnsi="Calibri"/>
          <w:sz w:val="22"/>
        </w:rPr>
        <w:t>Estas son las preguntas más probables según el perfil del público.</w:t>
      </w:r>
    </w:p>
    <w:p>
      <w:pPr>
        <w:spacing w:before="200" w:after="40"/>
      </w:pPr>
      <w:r>
        <w:rPr>
          <w:rFonts w:ascii="Calibri" w:hAnsi="Calibri"/>
          <w:b/>
          <w:color w:val="3B82F6"/>
          <w:sz w:val="22"/>
        </w:rPr>
        <w:t>❓  ¿Por qué el gasto total es tan bajo? ¿No falta data?</w:t>
      </w:r>
    </w:p>
    <w:p>
      <w:pPr>
        <w:spacing w:before="20" w:after="120"/>
        <w:ind w:left="432"/>
      </w:pPr>
      <w:r>
        <w:rPr>
          <w:rFonts w:ascii="Calibri" w:hAnsi="Calibri"/>
          <w:sz w:val="22"/>
        </w:rPr>
        <w:t>El sistema carga las recetas tal como están en el Excel operacional. Cinco talleres aún no tienen recetas ingresadas (TMA, TAS, TIR, TMI, TEAC), lo que representa 360 sesiones sin costo calculado. Si incluyéramos estimaciones de esos talleres, el total podría ser entre 35–50% mayor. Completar esa carga es la primera prioridad de mejora.</w:t>
      </w:r>
    </w:p>
    <w:p>
      <w:pPr>
        <w:spacing w:before="80" w:after="80"/>
      </w:pPr>
      <w:r>
        <w:rPr>
          <w:rFonts w:ascii="Calibri" w:hAnsi="Calibri"/>
          <w:color w:val="D1D5DB"/>
          <w:sz w:val="16"/>
        </w:rPr>
        <w:t>──────────────────────────────────────────────────────────────────────────────────────────</w:t>
      </w:r>
    </w:p>
    <w:p>
      <w:pPr>
        <w:spacing w:before="200" w:after="40"/>
      </w:pPr>
      <w:r>
        <w:rPr>
          <w:rFonts w:ascii="Calibri" w:hAnsi="Calibri"/>
          <w:b/>
          <w:color w:val="3B82F6"/>
          <w:sz w:val="22"/>
        </w:rPr>
        <w:t>❓  ¿Por qué el CPA de TTPIP es tan alto ($1.106)?</w:t>
      </w:r>
    </w:p>
    <w:p>
      <w:pPr>
        <w:spacing w:before="20" w:after="120"/>
        <w:ind w:left="432"/>
      </w:pPr>
      <w:r>
        <w:rPr>
          <w:rFonts w:ascii="Calibri" w:hAnsi="Calibri"/>
          <w:sz w:val="22"/>
        </w:rPr>
        <w:t>Es propio de la especialización. El Taller de Técnicas y Procesos Innovadores en Pastelería usa ingredientes de alto valor como couverture de chocolate, frutas exóticas y productos de pastelería premium. Es el mismo fenómeno que en un restaurante de alta cocina vs. uno casual: el costo por plato es mayor por la calidad de los insumos.</w:t>
      </w:r>
    </w:p>
    <w:p>
      <w:pPr>
        <w:spacing w:before="80" w:after="80"/>
      </w:pPr>
      <w:r>
        <w:rPr>
          <w:rFonts w:ascii="Calibri" w:hAnsi="Calibri"/>
          <w:color w:val="D1D5DB"/>
          <w:sz w:val="16"/>
        </w:rPr>
        <w:t>──────────────────────────────────────────────────────────────────────────────────────────</w:t>
      </w:r>
    </w:p>
    <w:p>
      <w:pPr>
        <w:spacing w:before="200" w:after="40"/>
      </w:pPr>
      <w:r>
        <w:rPr>
          <w:rFonts w:ascii="Calibri" w:hAnsi="Calibri"/>
          <w:b/>
          <w:color w:val="3B82F6"/>
          <w:sz w:val="22"/>
        </w:rPr>
        <w:t>❓  ¿Los precios son actuales?</w:t>
      </w:r>
    </w:p>
    <w:p>
      <w:pPr>
        <w:spacing w:before="20" w:after="120"/>
        <w:ind w:left="432"/>
      </w:pPr>
      <w:r>
        <w:rPr>
          <w:rFonts w:ascii="Calibri" w:hAnsi="Calibri"/>
          <w:sz w:val="22"/>
        </w:rPr>
        <w:t>Los precios fueron cargados desde el Excel operacional que usa el equipo de compras del Instituto, correspondiente al período 2026. Se aplicaron conversiones de unidad (GR→kg, CC→L) para estandarizar la comparación. El sistema permite actualizar precios individualmente o mediante carga masiva cuando los proveedores actualicen sus tarifas.</w:t>
      </w:r>
    </w:p>
    <w:p>
      <w:pPr>
        <w:spacing w:before="80" w:after="80"/>
      </w:pPr>
      <w:r>
        <w:rPr>
          <w:rFonts w:ascii="Calibri" w:hAnsi="Calibri"/>
          <w:color w:val="D1D5DB"/>
          <w:sz w:val="16"/>
        </w:rPr>
        <w:t>──────────────────────────────────────────────────────────────────────────────────────────</w:t>
      </w:r>
    </w:p>
    <w:p>
      <w:pPr>
        <w:spacing w:before="200" w:after="40"/>
      </w:pPr>
      <w:r>
        <w:rPr>
          <w:rFonts w:ascii="Calibri" w:hAnsi="Calibri"/>
          <w:b/>
          <w:color w:val="3B82F6"/>
          <w:sz w:val="22"/>
        </w:rPr>
        <w:t>❓  ¿Esto reemplaza el ERP o el sistema contable?</w:t>
      </w:r>
    </w:p>
    <w:p>
      <w:pPr>
        <w:spacing w:before="20" w:after="120"/>
        <w:ind w:left="432"/>
      </w:pPr>
      <w:r>
        <w:rPr>
          <w:rFonts w:ascii="Calibri" w:hAnsi="Calibri"/>
          <w:sz w:val="22"/>
        </w:rPr>
        <w:t>No. El Sistema de Costos Gastronómicos es una herramienta específica para la gestión operativa de insumos culinarios. No maneja contabilidad, nómina, ni finanzas. Es complementario a cualquier sistema administrativo existente y puede exportar datos para ser integrados con otros sistemas.</w:t>
      </w:r>
    </w:p>
    <w:p>
      <w:pPr>
        <w:spacing w:before="80" w:after="80"/>
      </w:pPr>
      <w:r>
        <w:rPr>
          <w:rFonts w:ascii="Calibri" w:hAnsi="Calibri"/>
          <w:color w:val="D1D5DB"/>
          <w:sz w:val="16"/>
        </w:rPr>
        <w:t>──────────────────────────────────────────────────────────────────────────────────────────</w:t>
      </w:r>
    </w:p>
    <w:p>
      <w:pPr>
        <w:spacing w:before="200" w:after="40"/>
      </w:pPr>
      <w:r>
        <w:rPr>
          <w:rFonts w:ascii="Calibri" w:hAnsi="Calibri"/>
          <w:b/>
          <w:color w:val="3B82F6"/>
          <w:sz w:val="22"/>
        </w:rPr>
        <w:t>❓  ¿Quién puede usar el sistema? ¿Es seguro?</w:t>
      </w:r>
    </w:p>
    <w:p>
      <w:pPr>
        <w:spacing w:before="20" w:after="120"/>
        <w:ind w:left="432"/>
      </w:pPr>
      <w:r>
        <w:rPr>
          <w:rFonts w:ascii="Calibri" w:hAnsi="Calibri"/>
          <w:sz w:val="22"/>
        </w:rPr>
        <w:t>El sistema tiene autenticación por usuario y contraseña. Actualmente los roles definidos son administrador y consultor. Los datos están almacenados en Supabase (PostgreSQL), que cumple con estándares de seguridad internacionales (SOC 2, ISO 27001). El acceso está protegido con claves de API específicas por proyecto.</w:t>
      </w:r>
    </w:p>
    <w:p>
      <w:pPr>
        <w:spacing w:before="80" w:after="80"/>
      </w:pPr>
      <w:r>
        <w:rPr>
          <w:rFonts w:ascii="Calibri" w:hAnsi="Calibri"/>
          <w:color w:val="D1D5DB"/>
          <w:sz w:val="16"/>
        </w:rPr>
        <w:t>──────────────────────────────────────────────────────────────────────────────────────────</w:t>
      </w:r>
    </w:p>
    <w:p>
      <w:pPr>
        <w:spacing w:before="200" w:after="40"/>
      </w:pPr>
      <w:r>
        <w:rPr>
          <w:rFonts w:ascii="Calibri" w:hAnsi="Calibri"/>
          <w:b/>
          <w:color w:val="3B82F6"/>
          <w:sz w:val="22"/>
        </w:rPr>
        <w:t>❓  ¿Cuánto cuesta mantener el sistema?</w:t>
      </w:r>
    </w:p>
    <w:p>
      <w:pPr>
        <w:spacing w:before="20" w:after="120"/>
        <w:ind w:left="432"/>
      </w:pPr>
      <w:r>
        <w:rPr>
          <w:rFonts w:ascii="Calibri" w:hAnsi="Calibri"/>
          <w:sz w:val="22"/>
        </w:rPr>
        <w:t>La infraestructura actual tiene un costo mensual estimado menor a USD 50 (plan de Supabase + PythonAnywhere). El desarrollo fue interno, sin licencias externas. Las actualizaciones de datos pueden realizarlas usuarios sin conocimientos de programación, usando la interfaz web o las plantillas de importación Excel que provee el mismo sistema.</w:t>
      </w:r>
    </w:p>
    <w:p>
      <w:pPr>
        <w:spacing w:before="80" w:after="80"/>
      </w:pPr>
      <w:r>
        <w:rPr>
          <w:rFonts w:ascii="Calibri" w:hAnsi="Calibri"/>
          <w:color w:val="D1D5DB"/>
          <w:sz w:val="16"/>
        </w:rPr>
        <w:t>──────────────────────────────────────────────────────────────────────────────────────────</w:t>
      </w:r>
    </w:p>
    <w:p>
      <w:pPr>
        <w:spacing w:before="200" w:after="40"/>
      </w:pPr>
      <w:r>
        <w:rPr>
          <w:rFonts w:ascii="Calibri" w:hAnsi="Calibri"/>
          <w:b/>
          <w:color w:val="3B82F6"/>
          <w:sz w:val="22"/>
        </w:rPr>
        <w:t>❓  ¿Se puede extender a otras sedes?</w:t>
      </w:r>
    </w:p>
    <w:p>
      <w:pPr>
        <w:spacing w:before="20" w:after="120"/>
        <w:ind w:left="432"/>
      </w:pPr>
      <w:r>
        <w:rPr>
          <w:rFonts w:ascii="Calibri" w:hAnsi="Calibri"/>
          <w:sz w:val="22"/>
        </w:rPr>
        <w:t>Sí, está previsto en el roadmap de largo plazo. La arquitectura permite crear instancias adicionales (una base de datos por sede) o una base de datos compartida con campo de sede. El sistema fue diseñado para ser escalable desde el inicio.</w:t>
      </w:r>
    </w:p>
    <w:p>
      <w:pPr>
        <w:spacing w:before="80" w:after="80"/>
      </w:pPr>
      <w:r>
        <w:rPr>
          <w:rFonts w:ascii="Calibri" w:hAnsi="Calibri"/>
          <w:color w:val="D1D5DB"/>
          <w:sz w:val="16"/>
        </w:rPr>
        <w:t>──────────────────────────────────────────────────────────────────────────────────────────</w:t>
      </w:r>
    </w:p>
    <w:p>
      <w:r>
        <w:br w:type="page"/>
      </w:r>
    </w:p>
    <w:p>
      <w:pPr>
        <w:spacing w:before="360" w:after="80"/>
      </w:pPr>
      <w:r>
        <w:rPr>
          <w:rFonts w:ascii="Calibri" w:hAnsi="Calibri"/>
          <w:b/>
          <w:color w:val="FBBF24"/>
          <w:sz w:val="32"/>
        </w:rPr>
        <w:t>4.  Adaptación por Tipo de Audiencia</w:t>
      </w:r>
    </w:p>
    <w:p>
      <w:pPr>
        <w:spacing w:before="40" w:after="80"/>
      </w:pPr>
      <w:r>
        <w:rPr>
          <w:rFonts w:ascii="Calibri" w:hAnsi="Calibri"/>
          <w:sz w:val="22"/>
        </w:rPr>
        <w:t>La presentación puede adaptarse según el perfil del público. A continuación, las recomendaciones por audiencia.</w:t>
      </w:r>
    </w:p>
    <w:p>
      <w:pPr>
        <w:spacing w:before="280" w:after="60"/>
      </w:pPr>
      <w:r>
        <w:rPr>
          <w:rFonts w:ascii="Calibri" w:hAnsi="Calibri"/>
          <w:b/>
          <w:color w:val="FBBF24"/>
          <w:sz w:val="26"/>
        </w:rPr>
        <w:t>🎓 Dirección Académica</w:t>
      </w:r>
    </w:p>
    <w:p>
      <w:pPr>
        <w:pStyle w:val="ListBullet"/>
        <w:spacing w:before="20" w:after="20"/>
        <w:ind w:left="432"/>
      </w:pPr>
      <w:r>
        <w:rPr>
          <w:rFonts w:ascii="Calibri" w:hAnsi="Calibri"/>
          <w:sz w:val="22"/>
        </w:rPr>
        <w:t>Énfasis en slides 6, 7 y 9 (datos, KPIs y análisis por taller).</w:t>
      </w:r>
    </w:p>
    <w:p>
      <w:pPr>
        <w:pStyle w:val="ListBullet"/>
        <w:spacing w:before="20" w:after="20"/>
        <w:ind w:left="432"/>
      </w:pPr>
      <w:r>
        <w:rPr>
          <w:rFonts w:ascii="Calibri" w:hAnsi="Calibri"/>
          <w:sz w:val="22"/>
        </w:rPr>
        <w:t>Destacar el análisis de CPA: permite comparar eficiencia de talleres.</w:t>
      </w:r>
    </w:p>
    <w:p>
      <w:pPr>
        <w:pStyle w:val="ListBullet"/>
        <w:spacing w:before="20" w:after="20"/>
        <w:ind w:left="432"/>
      </w:pPr>
      <w:r>
        <w:rPr>
          <w:rFonts w:ascii="Calibri" w:hAnsi="Calibri"/>
          <w:sz w:val="22"/>
        </w:rPr>
        <w:t>Mencionar los 5 talleres sin datos como brecha de gestión.</w:t>
      </w:r>
    </w:p>
    <w:p>
      <w:pPr>
        <w:pStyle w:val="ListBullet"/>
        <w:spacing w:before="20" w:after="20"/>
        <w:ind w:left="432"/>
      </w:pPr>
      <w:r>
        <w:rPr>
          <w:rFonts w:ascii="Calibri" w:hAnsi="Calibri"/>
          <w:sz w:val="22"/>
        </w:rPr>
        <w:t>Conectar con planificación presupuestaria anual.</w:t>
      </w:r>
    </w:p>
    <w:p>
      <w:pPr>
        <w:pStyle w:val="ListBullet"/>
        <w:spacing w:before="20" w:after="20"/>
        <w:ind w:left="432"/>
      </w:pPr>
      <w:r>
        <w:rPr>
          <w:rFonts w:ascii="Calibri" w:hAnsi="Calibri"/>
          <w:sz w:val="22"/>
        </w:rPr>
        <w:t>Duración recomendada: 20 min + 10 min preguntas.</w:t>
      </w:r>
    </w:p>
    <w:p/>
    <w:p>
      <w:pPr>
        <w:spacing w:before="280" w:after="60"/>
      </w:pPr>
      <w:r>
        <w:rPr>
          <w:rFonts w:ascii="Calibri" w:hAnsi="Calibri"/>
          <w:b/>
          <w:color w:val="FBBF24"/>
          <w:sz w:val="26"/>
        </w:rPr>
        <w:t>💼 Administración y Finanzas</w:t>
      </w:r>
    </w:p>
    <w:p>
      <w:pPr>
        <w:pStyle w:val="ListBullet"/>
        <w:spacing w:before="20" w:after="20"/>
        <w:ind w:left="432"/>
      </w:pPr>
      <w:r>
        <w:rPr>
          <w:rFonts w:ascii="Calibri" w:hAnsi="Calibri"/>
          <w:sz w:val="22"/>
        </w:rPr>
        <w:t>Énfasis en slides 6, 7 y 8 (cifras, KPIs y categorías).</w:t>
      </w:r>
    </w:p>
    <w:p>
      <w:pPr>
        <w:pStyle w:val="ListBullet"/>
        <w:spacing w:before="20" w:after="20"/>
        <w:ind w:left="432"/>
      </w:pPr>
      <w:r>
        <w:rPr>
          <w:rFonts w:ascii="Calibri" w:hAnsi="Calibri"/>
          <w:sz w:val="22"/>
        </w:rPr>
        <w:t>Destacar el costo de infraestructura del sistema (&lt; USD 50/mes).</w:t>
      </w:r>
    </w:p>
    <w:p>
      <w:pPr>
        <w:pStyle w:val="ListBullet"/>
        <w:spacing w:before="20" w:after="20"/>
        <w:ind w:left="432"/>
      </w:pPr>
      <w:r>
        <w:rPr>
          <w:rFonts w:ascii="Calibri" w:hAnsi="Calibri"/>
          <w:sz w:val="22"/>
        </w:rPr>
        <w:t>Mostrar la exportación a Excel como herramienta de auditoría.</w:t>
      </w:r>
    </w:p>
    <w:p>
      <w:pPr>
        <w:pStyle w:val="ListBullet"/>
        <w:spacing w:before="20" w:after="20"/>
        <w:ind w:left="432"/>
      </w:pPr>
      <w:r>
        <w:rPr>
          <w:rFonts w:ascii="Calibri" w:hAnsi="Calibri"/>
          <w:sz w:val="22"/>
        </w:rPr>
        <w:t>Conectar con el módulo de presupuesto vs. real (roadmap mediano plazo).</w:t>
      </w:r>
    </w:p>
    <w:p>
      <w:pPr>
        <w:pStyle w:val="ListBullet"/>
        <w:spacing w:before="20" w:after="20"/>
        <w:ind w:left="432"/>
      </w:pPr>
      <w:r>
        <w:rPr>
          <w:rFonts w:ascii="Calibri" w:hAnsi="Calibri"/>
          <w:sz w:val="22"/>
        </w:rPr>
        <w:t>Duración recomendada: 15 min + 5 min preguntas.</w:t>
      </w:r>
    </w:p>
    <w:p/>
    <w:p>
      <w:pPr>
        <w:spacing w:before="280" w:after="60"/>
      </w:pPr>
      <w:r>
        <w:rPr>
          <w:rFonts w:ascii="Calibri" w:hAnsi="Calibri"/>
          <w:b/>
          <w:color w:val="FBBF24"/>
          <w:sz w:val="26"/>
        </w:rPr>
        <w:t>👨‍🍳 Coordinadores de Taller</w:t>
      </w:r>
    </w:p>
    <w:p>
      <w:pPr>
        <w:pStyle w:val="ListBullet"/>
        <w:spacing w:before="20" w:after="20"/>
        <w:ind w:left="432"/>
      </w:pPr>
      <w:r>
        <w:rPr>
          <w:rFonts w:ascii="Calibri" w:hAnsi="Calibri"/>
          <w:sz w:val="22"/>
        </w:rPr>
        <w:t>Énfasis en slides 9 y 10 (análisis por taller y top sesiones).</w:t>
      </w:r>
    </w:p>
    <w:p>
      <w:pPr>
        <w:pStyle w:val="ListBullet"/>
        <w:spacing w:before="20" w:after="20"/>
        <w:ind w:left="432"/>
      </w:pPr>
      <w:r>
        <w:rPr>
          <w:rFonts w:ascii="Calibri" w:hAnsi="Calibri"/>
          <w:sz w:val="22"/>
        </w:rPr>
        <w:t>Mostrar demo en vivo: navegación por sesiones, filtros y detalle de recetas.</w:t>
      </w:r>
    </w:p>
    <w:p>
      <w:pPr>
        <w:pStyle w:val="ListBullet"/>
        <w:spacing w:before="20" w:after="20"/>
        <w:ind w:left="432"/>
      </w:pPr>
      <w:r>
        <w:rPr>
          <w:rFonts w:ascii="Calibri" w:hAnsi="Calibri"/>
          <w:sz w:val="22"/>
        </w:rPr>
        <w:t>Explicar cómo se ingresan recetas y se actualizan cantidades.</w:t>
      </w:r>
    </w:p>
    <w:p>
      <w:pPr>
        <w:pStyle w:val="ListBullet"/>
        <w:spacing w:before="20" w:after="20"/>
        <w:ind w:left="432"/>
      </w:pPr>
      <w:r>
        <w:rPr>
          <w:rFonts w:ascii="Calibri" w:hAnsi="Calibri"/>
          <w:sz w:val="22"/>
        </w:rPr>
        <w:t>Destacar la plantilla Excel de importación masiva.</w:t>
      </w:r>
    </w:p>
    <w:p>
      <w:pPr>
        <w:pStyle w:val="ListBullet"/>
        <w:spacing w:before="20" w:after="20"/>
        <w:ind w:left="432"/>
      </w:pPr>
      <w:r>
        <w:rPr>
          <w:rFonts w:ascii="Calibri" w:hAnsi="Calibri"/>
          <w:sz w:val="22"/>
        </w:rPr>
        <w:t>Duración recomendada: 15 min demo + 10 min práctica.</w:t>
      </w:r>
    </w:p>
    <w:p/>
    <w:p>
      <w:pPr>
        <w:spacing w:before="280" w:after="60"/>
      </w:pPr>
      <w:r>
        <w:rPr>
          <w:rFonts w:ascii="Calibri" w:hAnsi="Calibri"/>
          <w:b/>
          <w:color w:val="FBBF24"/>
          <w:sz w:val="26"/>
        </w:rPr>
        <w:t>🔧 Equipo Técnico / TI</w:t>
      </w:r>
    </w:p>
    <w:p>
      <w:pPr>
        <w:pStyle w:val="ListBullet"/>
        <w:spacing w:before="20" w:after="20"/>
        <w:ind w:left="432"/>
      </w:pPr>
      <w:r>
        <w:rPr>
          <w:rFonts w:ascii="Calibri" w:hAnsi="Calibri"/>
          <w:sz w:val="22"/>
        </w:rPr>
        <w:t>Énfasis en slide 5 (arquitectura técnica).</w:t>
      </w:r>
    </w:p>
    <w:p>
      <w:pPr>
        <w:pStyle w:val="ListBullet"/>
        <w:spacing w:before="20" w:after="20"/>
        <w:ind w:left="432"/>
      </w:pPr>
      <w:r>
        <w:rPr>
          <w:rFonts w:ascii="Calibri" w:hAnsi="Calibri"/>
          <w:sz w:val="22"/>
        </w:rPr>
        <w:t>Compartir repositorio o código fuente del sistema.</w:t>
      </w:r>
    </w:p>
    <w:p>
      <w:pPr>
        <w:pStyle w:val="ListBullet"/>
        <w:spacing w:before="20" w:after="20"/>
        <w:ind w:left="432"/>
      </w:pPr>
      <w:r>
        <w:rPr>
          <w:rFonts w:ascii="Calibri" w:hAnsi="Calibri"/>
          <w:sz w:val="22"/>
        </w:rPr>
        <w:t>Explicar la estructura de tablas y vistas en Supabase.</w:t>
      </w:r>
    </w:p>
    <w:p>
      <w:pPr>
        <w:pStyle w:val="ListBullet"/>
        <w:spacing w:before="20" w:after="20"/>
        <w:ind w:left="432"/>
      </w:pPr>
      <w:r>
        <w:rPr>
          <w:rFonts w:ascii="Calibri" w:hAnsi="Calibri"/>
          <w:sz w:val="22"/>
        </w:rPr>
        <w:t>Discutir estrategia de backup, monitoreo y escalabilidad.</w:t>
      </w:r>
    </w:p>
    <w:p>
      <w:pPr>
        <w:pStyle w:val="ListBullet"/>
        <w:spacing w:before="20" w:after="20"/>
        <w:ind w:left="432"/>
      </w:pPr>
      <w:r>
        <w:rPr>
          <w:rFonts w:ascii="Calibri" w:hAnsi="Calibri"/>
          <w:sz w:val="22"/>
        </w:rPr>
        <w:t>Duración recomendada: 30 min + 15 min preguntas técnicas.</w:t>
      </w:r>
    </w:p>
    <w:p/>
    <w:p>
      <w:r>
        <w:br w:type="page"/>
      </w:r>
    </w:p>
    <w:p>
      <w:pPr>
        <w:spacing w:before="360" w:after="80"/>
      </w:pPr>
      <w:r>
        <w:rPr>
          <w:rFonts w:ascii="Calibri" w:hAnsi="Calibri"/>
          <w:b/>
          <w:color w:val="FBBF24"/>
          <w:sz w:val="32"/>
        </w:rPr>
        <w:t>5.  Datos Rápidos de Referencia</w:t>
      </w:r>
    </w:p>
    <w:p>
      <w:pPr>
        <w:spacing w:before="40" w:after="80"/>
      </w:pPr>
      <w:r>
        <w:rPr>
          <w:rFonts w:ascii="Calibri" w:hAnsi="Calibri"/>
          <w:sz w:val="22"/>
        </w:rPr>
        <w:t>Para usar durante preguntas o en conversaciones post-presentación.</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e1e1e"/>
          </w:tcPr>
          <w:p>
            <w:pPr>
              <w:jc w:val="center"/>
            </w:pPr>
            <w:r>
              <w:rPr>
                <w:rFonts w:ascii="Calibri" w:hAnsi="Calibri"/>
                <w:b/>
                <w:color w:val="FBBF24"/>
                <w:sz w:val="22"/>
              </w:rPr>
              <w:t>CIFRA</w:t>
            </w:r>
          </w:p>
        </w:tc>
        <w:tc>
          <w:tcPr>
            <w:tcW w:type="dxa" w:w="3135"/>
            <w:shd w:val="clear" w:color="auto" w:fill="1e1e1e"/>
          </w:tcPr>
          <w:p>
            <w:pPr>
              <w:jc w:val="center"/>
            </w:pPr>
            <w:r>
              <w:rPr>
                <w:rFonts w:ascii="Calibri" w:hAnsi="Calibri"/>
                <w:b/>
                <w:color w:val="FBBF24"/>
                <w:sz w:val="22"/>
              </w:rPr>
              <w:t>DATO</w:t>
            </w:r>
          </w:p>
        </w:tc>
        <w:tc>
          <w:tcPr>
            <w:tcW w:type="dxa" w:w="3135"/>
            <w:shd w:val="clear" w:color="auto" w:fill="1e1e1e"/>
          </w:tcPr>
          <w:p>
            <w:pPr>
              <w:jc w:val="left"/>
            </w:pPr>
            <w:r>
              <w:rPr>
                <w:rFonts w:ascii="Calibri" w:hAnsi="Calibri"/>
                <w:b/>
                <w:color w:val="FBBF24"/>
                <w:sz w:val="22"/>
              </w:rPr>
              <w:t>CONTEXTO</w:t>
            </w:r>
          </w:p>
        </w:tc>
      </w:tr>
      <w:tr>
        <w:tc>
          <w:tcPr>
            <w:tcW w:type="dxa" w:w="3135"/>
            <w:shd w:val="clear" w:color="auto" w:fill="1a1a1a"/>
          </w:tcPr>
          <w:p>
            <w:pPr>
              <w:jc w:val="center"/>
            </w:pPr>
            <w:r>
              <w:rPr>
                <w:rFonts w:ascii="Calibri" w:hAnsi="Calibri"/>
                <w:b/>
                <w:color w:val="FBBF24"/>
                <w:sz w:val="20"/>
              </w:rPr>
              <w:t>$7.075.872</w:t>
            </w:r>
          </w:p>
        </w:tc>
        <w:tc>
          <w:tcPr>
            <w:tcW w:type="dxa" w:w="3135"/>
            <w:shd w:val="clear" w:color="auto" w:fill="1a1a1a"/>
          </w:tcPr>
          <w:p>
            <w:pPr>
              <w:jc w:val="center"/>
            </w:pPr>
            <w:r>
              <w:rPr>
                <w:rFonts w:ascii="Calibri" w:hAnsi="Calibri"/>
                <w:b w:val="0"/>
                <w:color w:val="FFFFFF"/>
                <w:sz w:val="20"/>
              </w:rPr>
              <w:t>Gasto total mat. prima 2026</w:t>
            </w:r>
          </w:p>
        </w:tc>
        <w:tc>
          <w:tcPr>
            <w:tcW w:type="dxa" w:w="3135"/>
            <w:shd w:val="clear" w:color="auto" w:fill="1a1a1a"/>
          </w:tcPr>
          <w:p>
            <w:pPr>
              <w:jc w:val="left"/>
            </w:pPr>
            <w:r>
              <w:rPr>
                <w:rFonts w:ascii="Calibri" w:hAnsi="Calibri"/>
                <w:b w:val="0"/>
                <w:color w:val="6B7280"/>
                <w:sz w:val="20"/>
              </w:rPr>
              <w:t>179 OPs · 1.135 sesiones · 9 talleres activos</w:t>
            </w:r>
          </w:p>
        </w:tc>
      </w:tr>
      <w:tr>
        <w:tc>
          <w:tcPr>
            <w:tcW w:type="dxa" w:w="3135"/>
            <w:shd w:val="clear" w:color="auto" w:fill="141414"/>
          </w:tcPr>
          <w:p>
            <w:pPr>
              <w:jc w:val="center"/>
            </w:pPr>
            <w:r>
              <w:rPr>
                <w:rFonts w:ascii="Calibri" w:hAnsi="Calibri"/>
                <w:b/>
                <w:color w:val="FBBF24"/>
                <w:sz w:val="20"/>
              </w:rPr>
              <w:t>$328</w:t>
            </w:r>
          </w:p>
        </w:tc>
        <w:tc>
          <w:tcPr>
            <w:tcW w:type="dxa" w:w="3135"/>
            <w:shd w:val="clear" w:color="auto" w:fill="141414"/>
          </w:tcPr>
          <w:p>
            <w:pPr>
              <w:jc w:val="center"/>
            </w:pPr>
            <w:r>
              <w:rPr>
                <w:rFonts w:ascii="Calibri" w:hAnsi="Calibri"/>
                <w:b w:val="0"/>
                <w:color w:val="FFFFFF"/>
                <w:sz w:val="20"/>
              </w:rPr>
              <w:t>CPA promedio por sesión</w:t>
            </w:r>
          </w:p>
        </w:tc>
        <w:tc>
          <w:tcPr>
            <w:tcW w:type="dxa" w:w="3135"/>
            <w:shd w:val="clear" w:color="auto" w:fill="141414"/>
          </w:tcPr>
          <w:p>
            <w:pPr>
              <w:jc w:val="left"/>
            </w:pPr>
            <w:r>
              <w:rPr>
                <w:rFonts w:ascii="Calibri" w:hAnsi="Calibri"/>
                <w:b w:val="0"/>
                <w:color w:val="6B7280"/>
                <w:sz w:val="20"/>
              </w:rPr>
              <w:t>Rango: $254 (TPE) a $1.106 (TTPIP)</w:t>
            </w:r>
          </w:p>
        </w:tc>
      </w:tr>
      <w:tr>
        <w:tc>
          <w:tcPr>
            <w:tcW w:type="dxa" w:w="3135"/>
            <w:shd w:val="clear" w:color="auto" w:fill="1a1a1a"/>
          </w:tcPr>
          <w:p>
            <w:pPr>
              <w:jc w:val="center"/>
            </w:pPr>
            <w:r>
              <w:rPr>
                <w:rFonts w:ascii="Calibri" w:hAnsi="Calibri"/>
                <w:b/>
                <w:color w:val="FBBF24"/>
                <w:sz w:val="20"/>
              </w:rPr>
              <w:t>$1.106</w:t>
            </w:r>
          </w:p>
        </w:tc>
        <w:tc>
          <w:tcPr>
            <w:tcW w:type="dxa" w:w="3135"/>
            <w:shd w:val="clear" w:color="auto" w:fill="1a1a1a"/>
          </w:tcPr>
          <w:p>
            <w:pPr>
              <w:jc w:val="center"/>
            </w:pPr>
            <w:r>
              <w:rPr>
                <w:rFonts w:ascii="Calibri" w:hAnsi="Calibri"/>
                <w:b w:val="0"/>
                <w:color w:val="FFFFFF"/>
                <w:sz w:val="20"/>
              </w:rPr>
              <w:t>CPA más alto (TTPIP)</w:t>
            </w:r>
          </w:p>
        </w:tc>
        <w:tc>
          <w:tcPr>
            <w:tcW w:type="dxa" w:w="3135"/>
            <w:shd w:val="clear" w:color="auto" w:fill="1a1a1a"/>
          </w:tcPr>
          <w:p>
            <w:pPr>
              <w:jc w:val="left"/>
            </w:pPr>
            <w:r>
              <w:rPr>
                <w:rFonts w:ascii="Calibri" w:hAnsi="Calibri"/>
                <w:b w:val="0"/>
                <w:color w:val="6B7280"/>
                <w:sz w:val="20"/>
              </w:rPr>
              <w:t>40 sesiones · Técnicas Innovadoras Past.</w:t>
            </w:r>
          </w:p>
        </w:tc>
      </w:tr>
      <w:tr>
        <w:tc>
          <w:tcPr>
            <w:tcW w:type="dxa" w:w="3135"/>
            <w:shd w:val="clear" w:color="auto" w:fill="141414"/>
          </w:tcPr>
          <w:p>
            <w:pPr>
              <w:jc w:val="center"/>
            </w:pPr>
            <w:r>
              <w:rPr>
                <w:rFonts w:ascii="Calibri" w:hAnsi="Calibri"/>
                <w:b/>
                <w:color w:val="FBBF24"/>
                <w:sz w:val="20"/>
              </w:rPr>
              <w:t>$254</w:t>
            </w:r>
          </w:p>
        </w:tc>
        <w:tc>
          <w:tcPr>
            <w:tcW w:type="dxa" w:w="3135"/>
            <w:shd w:val="clear" w:color="auto" w:fill="141414"/>
          </w:tcPr>
          <w:p>
            <w:pPr>
              <w:jc w:val="center"/>
            </w:pPr>
            <w:r>
              <w:rPr>
                <w:rFonts w:ascii="Calibri" w:hAnsi="Calibri"/>
                <w:b w:val="0"/>
                <w:color w:val="FFFFFF"/>
                <w:sz w:val="20"/>
              </w:rPr>
              <w:t>CPA más bajo (TPE)</w:t>
            </w:r>
          </w:p>
        </w:tc>
        <w:tc>
          <w:tcPr>
            <w:tcW w:type="dxa" w:w="3135"/>
            <w:shd w:val="clear" w:color="auto" w:fill="141414"/>
          </w:tcPr>
          <w:p>
            <w:pPr>
              <w:jc w:val="left"/>
            </w:pPr>
            <w:r>
              <w:rPr>
                <w:rFonts w:ascii="Calibri" w:hAnsi="Calibri"/>
                <w:b w:val="0"/>
                <w:color w:val="6B7280"/>
                <w:sz w:val="20"/>
              </w:rPr>
              <w:t>76 sesiones · Panadería de Especialidad</w:t>
            </w:r>
          </w:p>
        </w:tc>
      </w:tr>
      <w:tr>
        <w:tc>
          <w:tcPr>
            <w:tcW w:type="dxa" w:w="3135"/>
            <w:shd w:val="clear" w:color="auto" w:fill="1a1a1a"/>
          </w:tcPr>
          <w:p>
            <w:pPr>
              <w:jc w:val="center"/>
            </w:pPr>
            <w:r>
              <w:rPr>
                <w:rFonts w:ascii="Calibri" w:hAnsi="Calibri"/>
                <w:b/>
                <w:color w:val="FBBF24"/>
                <w:sz w:val="20"/>
              </w:rPr>
              <w:t>$1.178.684</w:t>
            </w:r>
          </w:p>
        </w:tc>
        <w:tc>
          <w:tcPr>
            <w:tcW w:type="dxa" w:w="3135"/>
            <w:shd w:val="clear" w:color="auto" w:fill="1a1a1a"/>
          </w:tcPr>
          <w:p>
            <w:pPr>
              <w:jc w:val="center"/>
            </w:pPr>
            <w:r>
              <w:rPr>
                <w:rFonts w:ascii="Calibri" w:hAnsi="Calibri"/>
                <w:b w:val="0"/>
                <w:color w:val="FFFFFF"/>
                <w:sz w:val="20"/>
              </w:rPr>
              <w:t>Mes más costoso (Mayo 2026)</w:t>
            </w:r>
          </w:p>
        </w:tc>
        <w:tc>
          <w:tcPr>
            <w:tcW w:type="dxa" w:w="3135"/>
            <w:shd w:val="clear" w:color="auto" w:fill="1a1a1a"/>
          </w:tcPr>
          <w:p>
            <w:pPr>
              <w:jc w:val="left"/>
            </w:pPr>
            <w:r>
              <w:rPr>
                <w:rFonts w:ascii="Calibri" w:hAnsi="Calibri"/>
                <w:b w:val="0"/>
                <w:color w:val="6B7280"/>
                <w:sz w:val="20"/>
              </w:rPr>
              <w:t>16,7% del gasto anual</w:t>
            </w:r>
          </w:p>
        </w:tc>
      </w:tr>
      <w:tr>
        <w:tc>
          <w:tcPr>
            <w:tcW w:type="dxa" w:w="3135"/>
            <w:shd w:val="clear" w:color="auto" w:fill="141414"/>
          </w:tcPr>
          <w:p>
            <w:pPr>
              <w:jc w:val="center"/>
            </w:pPr>
            <w:r>
              <w:rPr>
                <w:rFonts w:ascii="Calibri" w:hAnsi="Calibri"/>
                <w:b/>
                <w:color w:val="FBBF24"/>
                <w:sz w:val="20"/>
              </w:rPr>
              <w:t>$324.365</w:t>
            </w:r>
          </w:p>
        </w:tc>
        <w:tc>
          <w:tcPr>
            <w:tcW w:type="dxa" w:w="3135"/>
            <w:shd w:val="clear" w:color="auto" w:fill="141414"/>
          </w:tcPr>
          <w:p>
            <w:pPr>
              <w:jc w:val="center"/>
            </w:pPr>
            <w:r>
              <w:rPr>
                <w:rFonts w:ascii="Calibri" w:hAnsi="Calibri"/>
                <w:b w:val="0"/>
                <w:color w:val="FFFFFF"/>
                <w:sz w:val="20"/>
              </w:rPr>
              <w:t>Mes más bajo (Diciembre 2026)</w:t>
            </w:r>
          </w:p>
        </w:tc>
        <w:tc>
          <w:tcPr>
            <w:tcW w:type="dxa" w:w="3135"/>
            <w:shd w:val="clear" w:color="auto" w:fill="141414"/>
          </w:tcPr>
          <w:p>
            <w:pPr>
              <w:jc w:val="left"/>
            </w:pPr>
            <w:r>
              <w:rPr>
                <w:rFonts w:ascii="Calibri" w:hAnsi="Calibri"/>
                <w:b w:val="0"/>
                <w:color w:val="6B7280"/>
                <w:sz w:val="20"/>
              </w:rPr>
              <w:t>4,6% del gasto anual</w:t>
            </w:r>
          </w:p>
        </w:tc>
      </w:tr>
      <w:tr>
        <w:tc>
          <w:tcPr>
            <w:tcW w:type="dxa" w:w="3135"/>
            <w:shd w:val="clear" w:color="auto" w:fill="1a1a1a"/>
          </w:tcPr>
          <w:p>
            <w:pPr>
              <w:jc w:val="center"/>
            </w:pPr>
            <w:r>
              <w:rPr>
                <w:rFonts w:ascii="Calibri" w:hAnsi="Calibri"/>
                <w:b/>
                <w:color w:val="FBBF24"/>
                <w:sz w:val="20"/>
              </w:rPr>
              <w:t>28,8%</w:t>
            </w:r>
          </w:p>
        </w:tc>
        <w:tc>
          <w:tcPr>
            <w:tcW w:type="dxa" w:w="3135"/>
            <w:shd w:val="clear" w:color="auto" w:fill="1a1a1a"/>
          </w:tcPr>
          <w:p>
            <w:pPr>
              <w:jc w:val="center"/>
            </w:pPr>
            <w:r>
              <w:rPr>
                <w:rFonts w:ascii="Calibri" w:hAnsi="Calibri"/>
                <w:b w:val="0"/>
                <w:color w:val="FFFFFF"/>
                <w:sz w:val="20"/>
              </w:rPr>
              <w:t>Participación Abarrote</w:t>
            </w:r>
          </w:p>
        </w:tc>
        <w:tc>
          <w:tcPr>
            <w:tcW w:type="dxa" w:w="3135"/>
            <w:shd w:val="clear" w:color="auto" w:fill="1a1a1a"/>
          </w:tcPr>
          <w:p>
            <w:pPr>
              <w:jc w:val="left"/>
            </w:pPr>
            <w:r>
              <w:rPr>
                <w:rFonts w:ascii="Calibri" w:hAnsi="Calibri"/>
                <w:b w:val="0"/>
                <w:color w:val="6B7280"/>
                <w:sz w:val="20"/>
              </w:rPr>
              <w:t>Categoría de mayor gasto: $2.040.961</w:t>
            </w:r>
          </w:p>
        </w:tc>
      </w:tr>
      <w:tr>
        <w:tc>
          <w:tcPr>
            <w:tcW w:type="dxa" w:w="3135"/>
            <w:shd w:val="clear" w:color="auto" w:fill="141414"/>
          </w:tcPr>
          <w:p>
            <w:pPr>
              <w:jc w:val="center"/>
            </w:pPr>
            <w:r>
              <w:rPr>
                <w:rFonts w:ascii="Calibri" w:hAnsi="Calibri"/>
                <w:b/>
                <w:color w:val="FBBF24"/>
                <w:sz w:val="20"/>
              </w:rPr>
              <w:t>$341.058</w:t>
            </w:r>
          </w:p>
        </w:tc>
        <w:tc>
          <w:tcPr>
            <w:tcW w:type="dxa" w:w="3135"/>
            <w:shd w:val="clear" w:color="auto" w:fill="141414"/>
          </w:tcPr>
          <w:p>
            <w:pPr>
              <w:jc w:val="center"/>
            </w:pPr>
            <w:r>
              <w:rPr>
                <w:rFonts w:ascii="Calibri" w:hAnsi="Calibri"/>
                <w:b w:val="0"/>
                <w:color w:val="FFFFFF"/>
                <w:sz w:val="20"/>
              </w:rPr>
              <w:t>Ingrediente #1: Mantequilla s/sal</w:t>
            </w:r>
          </w:p>
        </w:tc>
        <w:tc>
          <w:tcPr>
            <w:tcW w:type="dxa" w:w="3135"/>
            <w:shd w:val="clear" w:color="auto" w:fill="141414"/>
          </w:tcPr>
          <w:p>
            <w:pPr>
              <w:jc w:val="left"/>
            </w:pPr>
            <w:r>
              <w:rPr>
                <w:rFonts w:ascii="Calibri" w:hAnsi="Calibri"/>
                <w:b w:val="0"/>
                <w:color w:val="6B7280"/>
                <w:sz w:val="20"/>
              </w:rPr>
              <w:t>Ingrediente de mayor gasto acumulado</w:t>
            </w:r>
          </w:p>
        </w:tc>
      </w:tr>
      <w:tr>
        <w:tc>
          <w:tcPr>
            <w:tcW w:type="dxa" w:w="3135"/>
            <w:shd w:val="clear" w:color="auto" w:fill="1a1a1a"/>
          </w:tcPr>
          <w:p>
            <w:pPr>
              <w:jc w:val="center"/>
            </w:pPr>
            <w:r>
              <w:rPr>
                <w:rFonts w:ascii="Calibri" w:hAnsi="Calibri"/>
                <w:b/>
                <w:color w:val="FBBF24"/>
                <w:sz w:val="20"/>
              </w:rPr>
              <w:t>23.213</w:t>
            </w:r>
          </w:p>
        </w:tc>
        <w:tc>
          <w:tcPr>
            <w:tcW w:type="dxa" w:w="3135"/>
            <w:shd w:val="clear" w:color="auto" w:fill="1a1a1a"/>
          </w:tcPr>
          <w:p>
            <w:pPr>
              <w:jc w:val="center"/>
            </w:pPr>
            <w:r>
              <w:rPr>
                <w:rFonts w:ascii="Calibri" w:hAnsi="Calibri"/>
                <w:b w:val="0"/>
                <w:color w:val="FFFFFF"/>
                <w:sz w:val="20"/>
              </w:rPr>
              <w:t>Registros ingrediente-sesión</w:t>
            </w:r>
          </w:p>
        </w:tc>
        <w:tc>
          <w:tcPr>
            <w:tcW w:type="dxa" w:w="3135"/>
            <w:shd w:val="clear" w:color="auto" w:fill="1a1a1a"/>
          </w:tcPr>
          <w:p>
            <w:pPr>
              <w:jc w:val="left"/>
            </w:pPr>
            <w:r>
              <w:rPr>
                <w:rFonts w:ascii="Calibri" w:hAnsi="Calibri"/>
                <w:b w:val="0"/>
                <w:color w:val="6B7280"/>
                <w:sz w:val="20"/>
              </w:rPr>
              <w:t>Nivel de detalle del sistema</w:t>
            </w:r>
          </w:p>
        </w:tc>
      </w:tr>
      <w:tr>
        <w:tc>
          <w:tcPr>
            <w:tcW w:type="dxa" w:w="3135"/>
            <w:shd w:val="clear" w:color="auto" w:fill="141414"/>
          </w:tcPr>
          <w:p>
            <w:pPr>
              <w:jc w:val="center"/>
            </w:pPr>
            <w:r>
              <w:rPr>
                <w:rFonts w:ascii="Calibri" w:hAnsi="Calibri"/>
                <w:b/>
                <w:color w:val="FBBF24"/>
                <w:sz w:val="20"/>
              </w:rPr>
              <w:t>5 de 14</w:t>
            </w:r>
          </w:p>
        </w:tc>
        <w:tc>
          <w:tcPr>
            <w:tcW w:type="dxa" w:w="3135"/>
            <w:shd w:val="clear" w:color="auto" w:fill="141414"/>
          </w:tcPr>
          <w:p>
            <w:pPr>
              <w:jc w:val="center"/>
            </w:pPr>
            <w:r>
              <w:rPr>
                <w:rFonts w:ascii="Calibri" w:hAnsi="Calibri"/>
                <w:b w:val="0"/>
                <w:color w:val="FFFFFF"/>
                <w:sz w:val="20"/>
              </w:rPr>
              <w:t>Talleres sin recetas</w:t>
            </w:r>
          </w:p>
        </w:tc>
        <w:tc>
          <w:tcPr>
            <w:tcW w:type="dxa" w:w="3135"/>
            <w:shd w:val="clear" w:color="auto" w:fill="141414"/>
          </w:tcPr>
          <w:p>
            <w:pPr>
              <w:jc w:val="left"/>
            </w:pPr>
            <w:r>
              <w:rPr>
                <w:rFonts w:ascii="Calibri" w:hAnsi="Calibri"/>
                <w:b w:val="0"/>
                <w:color w:val="6B7280"/>
                <w:sz w:val="20"/>
              </w:rPr>
              <w:t>TMA, TAS, TIR, TMI, TEAC · dato pendiente</w:t>
            </w:r>
          </w:p>
        </w:tc>
      </w:tr>
    </w:tbl>
    <w:p/>
    <w:p>
      <w:pPr>
        <w:spacing w:before="40" w:after="80"/>
      </w:pPr>
      <w:r>
        <w:rPr>
          <w:rFonts w:ascii="Calibri" w:hAnsi="Calibri"/>
          <w:sz w:val="22"/>
        </w:rPr>
        <w:t>URL del sistema:  culinary.pythonanywhere.com</w:t>
      </w:r>
    </w:p>
    <w:p>
      <w:pPr>
        <w:spacing w:before="40" w:after="80"/>
      </w:pPr>
      <w:r>
        <w:rPr>
          <w:rFonts w:ascii="Calibri" w:hAnsi="Calibri"/>
          <w:color w:val="6B7280"/>
          <w:sz w:val="22"/>
        </w:rPr>
        <w:t>Archivo PPT:  Culinary_Sistema_Costos_Presentacion.pptx</w:t>
      </w:r>
    </w:p>
    <w:p>
      <w:pPr>
        <w:spacing w:before="40" w:after="80"/>
      </w:pPr>
      <w:r>
        <w:rPr>
          <w:rFonts w:ascii="Calibri" w:hAnsi="Calibri"/>
          <w:color w:val="6B7280"/>
          <w:sz w:val="22"/>
        </w:rPr>
        <w:t>Informe APA:  Culinary_Informe_APA_Sistema_Costos.docx</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