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after="0" w:before="0"/>
      </w:pPr>
    </w:p>
    <w:p>
      <w:pPr>
        <w:spacing w:line="480" w:lineRule="exact" w:after="0" w:before="0"/>
      </w:pPr>
    </w:p>
    <w:p>
      <w:pPr>
        <w:spacing w:line="480" w:lineRule="exact" w:after="0" w:before="0"/>
      </w:pPr>
    </w:p>
    <w:p>
      <w:pPr>
        <w:spacing w:line="480" w:lineRule="exact" w:after="0" w:before="0"/>
      </w:pPr>
    </w:p>
    <w:p>
      <w:pPr>
        <w:spacing w:line="480" w:lineRule="exact"/>
        <w:jc w:val="center"/>
      </w:pPr>
      <w:r>
        <w:rPr>
          <w:rFonts w:ascii="Times New Roman" w:hAnsi="Times New Roman"/>
          <w:b/>
          <w:sz w:val="24"/>
        </w:rPr>
        <w:t>Implementación de un Sistema de Gestión de Costos de Materia Prima</w:t>
        <w:br/>
        <w:t>para Programas de Formación Culinaria:</w:t>
        <w:br/>
        <w:t>Caso Instituto Culinary, Sede Santiago</w:t>
      </w:r>
    </w:p>
    <w:p>
      <w:pPr>
        <w:spacing w:line="480" w:lineRule="exact" w:after="0" w:before="0"/>
      </w:pPr>
    </w:p>
    <w:p>
      <w:pPr>
        <w:spacing w:line="480" w:lineRule="exact" w:after="0" w:before="0"/>
      </w:pPr>
    </w:p>
    <w:p>
      <w:pPr>
        <w:spacing w:line="480" w:lineRule="exact"/>
        <w:jc w:val="center"/>
      </w:pPr>
      <w:r>
        <w:rPr>
          <w:rFonts w:ascii="Times New Roman" w:hAnsi="Times New Roman"/>
          <w:sz w:val="24"/>
        </w:rPr>
        <w:t>Área de Gestión Académica y Administración</w:t>
      </w:r>
    </w:p>
    <w:p>
      <w:pPr>
        <w:spacing w:line="480" w:lineRule="exact"/>
        <w:jc w:val="center"/>
      </w:pPr>
      <w:r>
        <w:rPr>
          <w:rFonts w:ascii="Times New Roman" w:hAnsi="Times New Roman"/>
          <w:sz w:val="24"/>
        </w:rPr>
        <w:t>Instituto Culinary</w:t>
      </w:r>
    </w:p>
    <w:p>
      <w:pPr>
        <w:spacing w:line="480" w:lineRule="exact"/>
        <w:jc w:val="center"/>
      </w:pPr>
      <w:r>
        <w:rPr>
          <w:rFonts w:ascii="Times New Roman" w:hAnsi="Times New Roman"/>
          <w:sz w:val="24"/>
        </w:rPr>
        <w:t>Departamento de Planificación y Costos</w:t>
      </w:r>
    </w:p>
    <w:p>
      <w:pPr>
        <w:spacing w:line="480" w:lineRule="exact"/>
        <w:jc w:val="center"/>
      </w:pPr>
      <w:r>
        <w:rPr>
          <w:rFonts w:ascii="Times New Roman" w:hAnsi="Times New Roman"/>
          <w:sz w:val="24"/>
        </w:rPr>
        <w:t>Santiago, Chile</w:t>
      </w:r>
    </w:p>
    <w:p>
      <w:pPr>
        <w:spacing w:line="480" w:lineRule="exact" w:after="0" w:before="0"/>
      </w:pPr>
    </w:p>
    <w:p>
      <w:pPr>
        <w:spacing w:line="480" w:lineRule="exact" w:after="0" w:before="0"/>
      </w:pPr>
    </w:p>
    <w:p>
      <w:pPr>
        <w:spacing w:line="480" w:lineRule="exact"/>
        <w:jc w:val="center"/>
      </w:pPr>
      <w:r>
        <w:rPr>
          <w:rFonts w:ascii="Times New Roman" w:hAnsi="Times New Roman"/>
          <w:sz w:val="24"/>
        </w:rPr>
        <w:t>Junio de 2026</w:t>
      </w:r>
    </w:p>
    <w:p>
      <w:r>
        <w:br w:type="page"/>
      </w:r>
    </w:p>
    <w:p>
      <w:pPr>
        <w:spacing w:before="480" w:after="0"/>
        <w:jc w:val="center"/>
      </w:pPr>
      <w:r>
        <w:rPr>
          <w:rFonts w:ascii="Times New Roman" w:hAnsi="Times New Roman"/>
          <w:b/>
          <w:sz w:val="24"/>
        </w:rPr>
        <w:t>RESUMEN</w:t>
      </w:r>
    </w:p>
    <w:p>
      <w:pPr>
        <w:spacing w:line="480" w:lineRule="exact"/>
        <w:ind w:firstLine="720"/>
        <w:jc w:val="both"/>
      </w:pPr>
      <w:r>
        <w:rPr>
          <w:rFonts w:ascii="Times New Roman" w:hAnsi="Times New Roman"/>
          <w:sz w:val="24"/>
        </w:rPr>
        <w:t>El presente informe describe el diseño, desarrollo e implementación del Sistema de Costos Gastronómicos del Instituto Culinary, sede Santiago. El sistema fue desarrollado como una aplicación web de página única (SPA) con almacenamiento en la nube mediante Supabase (PostgreSQL), con el objetivo de centralizar el registro, cálculo y análisis de los costos de materia prima generados en los talleres culinarios de la institución. El período de análisis corresponde al año académico 2026, compuesto por 44 semanas lectivas. Los resultados muestran un gasto total de materia prima de $7.075.872 CLP para 179 órdenes de producto (OPs) únicas, distribuidas en 1.135 registros de sesión y nueve tipos de taller activos, con 1.067 alumnos matriculados y un costo promedio por alumno de $328 CLP por sesión. El taller de mayor costo unitario fue el Taller de Técnicas y Procesos Innovadores en Pastelería (TTPIP) con $1.106 por alumno, mientras que el Taller de Panadería de Especialidad (TPE) registró el menor costo con $254 por alumno. El sistema permite filtrar, exportar e integrar datos de 613 ingredientes, 22 proveedores, 14 tipos de taller y múltiples estructuras curriculares. Se identificaron cinco talleres sin registros de recetas, los cuales representan una oportunidad de mejora para completar la trazabilidad del sistema.</w:t>
      </w:r>
    </w:p>
    <w:p>
      <w:pPr>
        <w:spacing w:line="480" w:lineRule="exact" w:after="0" w:before="0"/>
      </w:pPr>
    </w:p>
    <w:p>
      <w:pPr>
        <w:spacing w:line="480" w:lineRule="exact"/>
        <w:ind w:firstLine="720"/>
        <w:jc w:val="both"/>
      </w:pPr>
      <w:r>
        <w:rPr>
          <w:rFonts w:ascii="Times New Roman" w:hAnsi="Times New Roman"/>
          <w:i/>
          <w:sz w:val="24"/>
        </w:rPr>
        <w:t xml:space="preserve">Palabras clave: </w:t>
      </w:r>
      <w:r>
        <w:rPr>
          <w:rFonts w:ascii="Times New Roman" w:hAnsi="Times New Roman"/>
          <w:sz w:val="24"/>
        </w:rPr>
        <w:t>costos gastronómicos, gestión de costos educativos, materia prima, sistema de información, formación culinaria</w:t>
      </w:r>
    </w:p>
    <w:p>
      <w:r>
        <w:br w:type="page"/>
      </w:r>
    </w:p>
    <w:p>
      <w:pPr>
        <w:spacing w:before="480" w:after="0"/>
        <w:jc w:val="center"/>
      </w:pPr>
      <w:r>
        <w:rPr>
          <w:rFonts w:ascii="Times New Roman" w:hAnsi="Times New Roman"/>
          <w:b/>
          <w:sz w:val="24"/>
        </w:rPr>
        <w:t>INTRODUCCIÓN</w:t>
      </w:r>
    </w:p>
    <w:p>
      <w:pPr>
        <w:spacing w:line="480" w:lineRule="exact"/>
        <w:ind w:firstLine="720"/>
        <w:jc w:val="both"/>
      </w:pPr>
      <w:r>
        <w:rPr>
          <w:rFonts w:ascii="Times New Roman" w:hAnsi="Times New Roman"/>
          <w:sz w:val="24"/>
        </w:rPr>
        <w:t>La gestión eficiente de los costos de insumos en instituciones de educación gastronómica representa un desafío constante para los equipos de administración académica. A diferencia de los entornos de restauración comercial, donde el costeo es una práctica estandarizada y vinculada directamente a la rentabilidad, en el ámbito formativo los costos de materia prima se distribuyen entre múltiples secciones, fechas y grupos de alumnos, lo que dificulta su seguimiento y análisis.</w:t>
      </w:r>
    </w:p>
    <w:p>
      <w:pPr>
        <w:spacing w:line="480" w:lineRule="exact"/>
        <w:ind w:firstLine="720"/>
        <w:jc w:val="both"/>
      </w:pPr>
      <w:r>
        <w:rPr>
          <w:rFonts w:ascii="Times New Roman" w:hAnsi="Times New Roman"/>
          <w:sz w:val="24"/>
        </w:rPr>
        <w:t>El Instituto Culinary, institución de formación culinaria con sede en Santiago de Chile, identificó la necesidad de contar con una herramienta digital que permitiera centralizar el registro de ingredientes utilizados en sus talleres prácticos, calcular automáticamente los costos asociados y generar reportes para la toma de decisiones académico-administrativas.</w:t>
      </w:r>
    </w:p>
    <w:p>
      <w:pPr>
        <w:spacing w:line="480" w:lineRule="exact"/>
        <w:ind w:firstLine="720"/>
        <w:jc w:val="both"/>
      </w:pPr>
      <w:r>
        <w:rPr>
          <w:rFonts w:ascii="Times New Roman" w:hAnsi="Times New Roman"/>
          <w:sz w:val="24"/>
        </w:rPr>
        <w:t>En respuesta a esta necesidad, se desarrolló el Sistema de Costos Gastronómicos, una aplicación web que integra una base de datos relacional en la nube con una interfaz de usuario moderna y accesible desde cualquier dispositivo. El presente informe documenta los objetivos, la arquitectura técnica, los datos procesados y los principales hallazgos derivados del uso del sistema durante el período académico 2026.</w:t>
      </w:r>
    </w:p>
    <w:p>
      <w:pPr>
        <w:spacing w:before="480" w:after="0"/>
        <w:jc w:val="center"/>
      </w:pPr>
      <w:r>
        <w:rPr>
          <w:rFonts w:ascii="Times New Roman" w:hAnsi="Times New Roman"/>
          <w:b/>
          <w:sz w:val="24"/>
        </w:rPr>
        <w:t>OBJETIVOS</w:t>
      </w:r>
    </w:p>
    <w:p>
      <w:pPr>
        <w:spacing w:before="480" w:after="0"/>
        <w:jc w:val="left"/>
      </w:pPr>
      <w:r>
        <w:rPr>
          <w:rFonts w:ascii="Times New Roman" w:hAnsi="Times New Roman"/>
          <w:b/>
          <w:sz w:val="24"/>
        </w:rPr>
        <w:t>Objetivo General</w:t>
      </w:r>
    </w:p>
    <w:p>
      <w:pPr>
        <w:spacing w:line="480" w:lineRule="exact"/>
        <w:ind w:firstLine="720"/>
        <w:jc w:val="both"/>
      </w:pPr>
      <w:r>
        <w:rPr>
          <w:rFonts w:ascii="Times New Roman" w:hAnsi="Times New Roman"/>
          <w:sz w:val="24"/>
        </w:rPr>
        <w:t>Desarrollar e implementar un sistema digital de gestión de costos de materia prima para los talleres culinarios del Instituto Culinary, sede Santiago, que permita el registro sistemático, el cálculo automatizado y el análisis visual de los gastos de insumos durante el período académico 2026.</w:t>
      </w:r>
    </w:p>
    <w:p>
      <w:pPr>
        <w:spacing w:before="480" w:after="0"/>
        <w:jc w:val="left"/>
      </w:pPr>
      <w:r>
        <w:rPr>
          <w:rFonts w:ascii="Times New Roman" w:hAnsi="Times New Roman"/>
          <w:b/>
          <w:sz w:val="24"/>
        </w:rPr>
        <w:t>Objetivos Específicos</w:t>
      </w:r>
    </w:p>
    <w:p>
      <w:pPr>
        <w:pStyle w:val="ListBullet"/>
        <w:spacing w:line="480" w:lineRule="exact"/>
        <w:ind w:left="720"/>
      </w:pPr>
      <w:r>
        <w:rPr>
          <w:rFonts w:ascii="Times New Roman" w:hAnsi="Times New Roman"/>
          <w:sz w:val="24"/>
        </w:rPr>
        <w:t>Centralizar el maestro de ingredientes con precios actualizados, unidades de medida estandarizadas y categorización por tipo de insumo.</w:t>
      </w:r>
    </w:p>
    <w:p>
      <w:pPr>
        <w:pStyle w:val="ListBullet"/>
        <w:spacing w:line="480" w:lineRule="exact"/>
        <w:ind w:left="720"/>
      </w:pPr>
      <w:r>
        <w:rPr>
          <w:rFonts w:ascii="Times New Roman" w:hAnsi="Times New Roman"/>
          <w:sz w:val="24"/>
        </w:rPr>
        <w:t>Registrar las recetas utilizadas en cada sesión de taller, asociando cantidades e ingredientes a las sesiones correspondientes del calendario académico.</w:t>
      </w:r>
    </w:p>
    <w:p>
      <w:pPr>
        <w:pStyle w:val="ListBullet"/>
        <w:spacing w:line="480" w:lineRule="exact"/>
        <w:ind w:left="720"/>
      </w:pPr>
      <w:r>
        <w:rPr>
          <w:rFonts w:ascii="Times New Roman" w:hAnsi="Times New Roman"/>
          <w:sz w:val="24"/>
        </w:rPr>
        <w:t>Calcular automáticamente el costo total de materia prima por sesión y el costo promedio por alumno.</w:t>
      </w:r>
    </w:p>
    <w:p>
      <w:pPr>
        <w:pStyle w:val="ListBullet"/>
        <w:spacing w:line="480" w:lineRule="exact"/>
        <w:ind w:left="720"/>
      </w:pPr>
      <w:r>
        <w:rPr>
          <w:rFonts w:ascii="Times New Roman" w:hAnsi="Times New Roman"/>
          <w:sz w:val="24"/>
        </w:rPr>
        <w:t>Generar reportes visuales e indicadores clave de desempeño (KPIs) para la gestión académica y presupuestaria.</w:t>
      </w:r>
    </w:p>
    <w:p>
      <w:pPr>
        <w:pStyle w:val="ListBullet"/>
        <w:spacing w:line="480" w:lineRule="exact"/>
        <w:ind w:left="720"/>
      </w:pPr>
      <w:r>
        <w:rPr>
          <w:rFonts w:ascii="Times New Roman" w:hAnsi="Times New Roman"/>
          <w:sz w:val="24"/>
        </w:rPr>
        <w:t>Facilitar la exportación de datos para auditorías, informes institucionales y carga masiva de información.</w:t>
      </w:r>
    </w:p>
    <w:p>
      <w:pPr>
        <w:spacing w:before="480" w:after="0"/>
        <w:jc w:val="center"/>
      </w:pPr>
      <w:r>
        <w:rPr>
          <w:rFonts w:ascii="Times New Roman" w:hAnsi="Times New Roman"/>
          <w:b/>
          <w:sz w:val="24"/>
        </w:rPr>
        <w:t>MARCO TEÓRICO</w:t>
      </w:r>
    </w:p>
    <w:p>
      <w:pPr>
        <w:spacing w:before="480" w:after="0"/>
        <w:jc w:val="left"/>
      </w:pPr>
      <w:r>
        <w:rPr>
          <w:rFonts w:ascii="Times New Roman" w:hAnsi="Times New Roman"/>
          <w:b/>
          <w:sz w:val="24"/>
        </w:rPr>
        <w:t>Costeo de Materia Prima en Educación Culinaria</w:t>
      </w:r>
    </w:p>
    <w:p>
      <w:pPr>
        <w:spacing w:line="480" w:lineRule="exact"/>
        <w:ind w:firstLine="720"/>
        <w:jc w:val="both"/>
      </w:pPr>
      <w:r>
        <w:rPr>
          <w:rFonts w:ascii="Times New Roman" w:hAnsi="Times New Roman"/>
          <w:sz w:val="24"/>
        </w:rPr>
        <w:t>El costo de materia prima (CMP) en contextos de formación culinaria se define como el valor monetario de los ingredientes consumidos en las actividades prácticas de aprendizaje. A diferencia del costo en restaurantes, donde el CMP se relaciona directamente con el precio de venta al público, en la educación el CMP es un costo de operación que debe ser planificado y controlado dentro del presupuesto institucional (Labensky et al., 2019).</w:t>
      </w:r>
    </w:p>
    <w:p>
      <w:pPr>
        <w:spacing w:line="480" w:lineRule="exact"/>
        <w:ind w:firstLine="720"/>
        <w:jc w:val="both"/>
      </w:pPr>
      <w:r>
        <w:rPr>
          <w:rFonts w:ascii="Times New Roman" w:hAnsi="Times New Roman"/>
          <w:sz w:val="24"/>
        </w:rPr>
        <w:t>La literatura en administración de servicios de alimentación señala que una gestión adecuada del CMP requiere tres elementos fundamentales: (a) un maestro de ingredientes con precios actualizados y unidades de medida estandarizadas; (b) recetas estandarizadas que especifiquen con precisión las cantidades requeridas por preparación; y (c) un sistema de seguimiento que permita comparar el costo planificado con el costo real (Ninemeier &amp; Hayes, 2006).</w:t>
      </w:r>
    </w:p>
    <w:p>
      <w:pPr>
        <w:spacing w:before="480" w:after="0"/>
        <w:jc w:val="left"/>
      </w:pPr>
      <w:r>
        <w:rPr>
          <w:rFonts w:ascii="Times New Roman" w:hAnsi="Times New Roman"/>
          <w:b/>
          <w:sz w:val="24"/>
        </w:rPr>
        <w:t>Sistemas de Información para Gestión de Costos</w:t>
      </w:r>
    </w:p>
    <w:p>
      <w:pPr>
        <w:spacing w:line="480" w:lineRule="exact"/>
        <w:ind w:firstLine="720"/>
        <w:jc w:val="both"/>
      </w:pPr>
      <w:r>
        <w:rPr>
          <w:rFonts w:ascii="Times New Roman" w:hAnsi="Times New Roman"/>
          <w:sz w:val="24"/>
        </w:rPr>
        <w:t>Los sistemas de información de gestión (MIS, por sus siglas en inglés) han evolucionado significativamente con la adopción de tecnologías en la nube. En el contexto de pequeñas y medianas instituciones educativas, los sistemas web modernos basados en arquitecturas de página única (SPA) y bases de datos como servicio (DBaaS) representan una alternativa eficiente y de bajo costo frente a soluciones ERP corporativas (O'Brien &amp; Marakas, 2020).</w:t>
      </w:r>
    </w:p>
    <w:p>
      <w:pPr>
        <w:spacing w:line="480" w:lineRule="exact"/>
        <w:ind w:firstLine="720"/>
        <w:jc w:val="both"/>
      </w:pPr>
      <w:r>
        <w:rPr>
          <w:rFonts w:ascii="Times New Roman" w:hAnsi="Times New Roman"/>
          <w:sz w:val="24"/>
        </w:rPr>
        <w:t>Supabase, la plataforma utilizada como backend del sistema, es una solución de código abierto que proporciona una API REST automática sobre PostgreSQL, permitiendo operaciones CRUD sin necesidad de desarrollar un servidor backend independiente. Esta arquitectura reduce significativamente los tiempos y costos de desarrollo (Supabase, 2024).</w:t>
      </w:r>
    </w:p>
    <w:p>
      <w:pPr>
        <w:spacing w:before="480" w:after="0"/>
        <w:jc w:val="center"/>
      </w:pPr>
      <w:r>
        <w:rPr>
          <w:rFonts w:ascii="Times New Roman" w:hAnsi="Times New Roman"/>
          <w:b/>
          <w:sz w:val="24"/>
        </w:rPr>
        <w:t>METODOLOGÍA</w:t>
      </w:r>
    </w:p>
    <w:p>
      <w:pPr>
        <w:spacing w:before="480" w:after="0"/>
        <w:jc w:val="left"/>
      </w:pPr>
      <w:r>
        <w:rPr>
          <w:rFonts w:ascii="Times New Roman" w:hAnsi="Times New Roman"/>
          <w:b/>
          <w:sz w:val="24"/>
        </w:rPr>
        <w:t>Diseño del Sistema</w:t>
      </w:r>
    </w:p>
    <w:p>
      <w:pPr>
        <w:spacing w:line="480" w:lineRule="exact"/>
        <w:ind w:firstLine="720"/>
        <w:jc w:val="both"/>
      </w:pPr>
      <w:r>
        <w:rPr>
          <w:rFonts w:ascii="Times New Roman" w:hAnsi="Times New Roman"/>
          <w:sz w:val="24"/>
        </w:rPr>
        <w:t>El sistema fue desarrollado siguiendo un modelo de desarrollo iterativo. La primera fase consistió en el levantamiento de requerimientos con el equipo de coordinación académica del Instituto Culinary, identificando las entidades principales: ingredientes, proveedores, sesiones de clase, tipos de taller, módulos académicos y semanas del calendario lectivo.</w:t>
      </w:r>
    </w:p>
    <w:p>
      <w:pPr>
        <w:spacing w:line="480" w:lineRule="exact"/>
        <w:ind w:firstLine="720"/>
        <w:jc w:val="both"/>
      </w:pPr>
      <w:r>
        <w:rPr>
          <w:rFonts w:ascii="Times New Roman" w:hAnsi="Times New Roman"/>
          <w:sz w:val="24"/>
        </w:rPr>
        <w:t>La arquitectura elegida corresponde a un modelo de tres capas: (a) capa de presentación: archivo HTML único con JavaScript vanilla y Chart.js para visualizaciones; (b) capa de datos: base de datos PostgreSQL gestionada por Supabase con PostgREST como capa de API; y (c) capa de despliegue: PythonAnywhere para el frontend y los servicios en la nube de Supabase para el backend.</w:t>
      </w:r>
    </w:p>
    <w:p>
      <w:pPr>
        <w:spacing w:before="480" w:after="0"/>
        <w:jc w:val="left"/>
      </w:pPr>
      <w:r>
        <w:rPr>
          <w:rFonts w:ascii="Times New Roman" w:hAnsi="Times New Roman"/>
          <w:b/>
          <w:sz w:val="24"/>
        </w:rPr>
        <w:t>Procesamiento de Datos</w:t>
      </w:r>
    </w:p>
    <w:p>
      <w:pPr>
        <w:spacing w:line="480" w:lineRule="exact"/>
        <w:ind w:firstLine="720"/>
        <w:jc w:val="both"/>
      </w:pPr>
      <w:r>
        <w:rPr>
          <w:rFonts w:ascii="Times New Roman" w:hAnsi="Times New Roman"/>
          <w:sz w:val="24"/>
        </w:rPr>
        <w:t>Los datos iniciales fueron extraídos del archivo "Dashboard Culinary Depurado Santiago.xlsx", que contenía cuatro hojas: ingredientes con precios de proveedor, sesiones del calendario académico, detalle de ingredientes por sesión, y estructura de talleres y secciones. Se desarrollaron scripts en Python para la carga automatizada vía API REST de Supabase.</w:t>
      </w:r>
    </w:p>
    <w:p>
      <w:pPr>
        <w:spacing w:line="480" w:lineRule="exact"/>
        <w:ind w:firstLine="720"/>
        <w:jc w:val="both"/>
      </w:pPr>
      <w:r>
        <w:rPr>
          <w:rFonts w:ascii="Times New Roman" w:hAnsi="Times New Roman"/>
          <w:sz w:val="24"/>
        </w:rPr>
        <w:t>Se aplicó un proceso de conversión de unidades para estandarizar los precios: los insumos comercializados en gramos (GR) o centímetros cúbicos (CC) fueron convertidos a kilogramos (kg) o litros (L) multiplicando el precio unitario por 1.000, cuando el formato del envase era menor a 1.000 unidades. Adicionalmente, se aplicaron factores de conversión peso-unidad para 77 ingredientes que se venden por peso pero se utilizan por pieza (e.g., COLAPEZ: 0,002 kg/hoja; huevos: precio por unidad).</w:t>
      </w:r>
    </w:p>
    <w:p>
      <w:pPr>
        <w:spacing w:before="480" w:after="0"/>
        <w:jc w:val="left"/>
      </w:pPr>
      <w:r>
        <w:rPr>
          <w:rFonts w:ascii="Times New Roman" w:hAnsi="Times New Roman"/>
          <w:b/>
          <w:sz w:val="24"/>
        </w:rPr>
        <w:t>Modelo de Costeo</w:t>
      </w:r>
    </w:p>
    <w:p>
      <w:pPr>
        <w:spacing w:line="480" w:lineRule="exact"/>
        <w:ind w:firstLine="720"/>
        <w:jc w:val="both"/>
      </w:pPr>
      <w:r>
        <w:rPr>
          <w:rFonts w:ascii="Times New Roman" w:hAnsi="Times New Roman"/>
          <w:sz w:val="24"/>
        </w:rPr>
        <w:t>El modelo de costeo adoptado calcula el costo de materia prima por sesión como la suma del producto entre la cantidad utilizada de cada ingrediente y su precio unitario estandarizado. La fórmula es la siguiente:</w:t>
      </w:r>
    </w:p>
    <w:p>
      <w:pPr>
        <w:spacing w:line="480" w:lineRule="exact" w:before="240" w:after="240"/>
        <w:jc w:val="center"/>
      </w:pPr>
      <w:r>
        <w:rPr>
          <w:rFonts w:ascii="Courier New" w:hAnsi="Courier New"/>
          <w:b/>
          <w:sz w:val="22"/>
        </w:rPr>
        <w:t>CMP_sesión = Σ (cantidad_utilizada_i × precio_unitario_i)</w:t>
      </w:r>
    </w:p>
    <w:p>
      <w:pPr>
        <w:spacing w:line="480" w:lineRule="exact"/>
        <w:ind w:firstLine="720"/>
        <w:jc w:val="both"/>
      </w:pPr>
      <w:r>
        <w:rPr>
          <w:rFonts w:ascii="Times New Roman" w:hAnsi="Times New Roman"/>
          <w:sz w:val="24"/>
        </w:rPr>
        <w:t>La cantidad utilizada corresponde a la cantidad de la receta tal como está registrada, sin multiplicar por el número de alumnos de la sección. Este criterio fue validado con el Excel de referencia, verificándose una concordancia del 100% entre los totales calculados por el sistema y los registrados en la planilla de origen.</w:t>
      </w:r>
    </w:p>
    <w:p>
      <w:pPr>
        <w:spacing w:line="480" w:lineRule="exact"/>
        <w:ind w:firstLine="720"/>
        <w:jc w:val="both"/>
      </w:pPr>
      <w:r>
        <w:rPr>
          <w:rFonts w:ascii="Times New Roman" w:hAnsi="Times New Roman"/>
          <w:sz w:val="24"/>
        </w:rPr>
        <w:t>El costo por alumno se calcula dividiendo el costo total de la sesión por el número de alumnos matriculados en esa sección específica, lo que permite comparar la eficiencia de costo entre talleres con distintos tamaños de grupo.</w:t>
      </w:r>
    </w:p>
    <w:p>
      <w:pPr>
        <w:spacing w:before="480" w:after="0"/>
        <w:jc w:val="center"/>
      </w:pPr>
      <w:r>
        <w:rPr>
          <w:rFonts w:ascii="Times New Roman" w:hAnsi="Times New Roman"/>
          <w:b/>
          <w:sz w:val="24"/>
        </w:rPr>
        <w:t>RESULTADOS</w:t>
      </w:r>
    </w:p>
    <w:p>
      <w:pPr>
        <w:spacing w:before="480" w:after="0"/>
        <w:jc w:val="left"/>
      </w:pPr>
      <w:r>
        <w:rPr>
          <w:rFonts w:ascii="Times New Roman" w:hAnsi="Times New Roman"/>
          <w:b/>
          <w:sz w:val="24"/>
        </w:rPr>
        <w:t>Estadísticas Generales del Período 2026</w:t>
      </w:r>
    </w:p>
    <w:p>
      <w:pPr>
        <w:spacing w:line="480" w:lineRule="exact"/>
        <w:ind w:firstLine="720"/>
        <w:jc w:val="both"/>
      </w:pPr>
      <w:r>
        <w:rPr>
          <w:rFonts w:ascii="Times New Roman" w:hAnsi="Times New Roman"/>
          <w:sz w:val="24"/>
        </w:rPr>
        <w:t>Durante el período académico 2026 (marzo a diciembre), el sistema registró un total de 179 órdenes de producto (OPs) únicas, las cuales generan 1.135 registros de sesión distribuidos en 44 semanas lectivas. El total de alumnos matriculados asciende a 1.067, calculado como la suma de alumnos por combinación única de taller y sección. El gasto total de materia prima alcanzó los $7.075.872 CLP, con un costo promedio por alumno por sesión de $328 CLP.</w:t>
      </w:r>
    </w:p>
    <w:p>
      <w:pPr>
        <w:spacing w:before="240" w:after="0"/>
      </w:pPr>
      <w:r>
        <w:rPr>
          <w:rFonts w:ascii="Times New Roman" w:hAnsi="Times New Roman"/>
          <w:i/>
          <w:sz w:val="24"/>
        </w:rPr>
        <w:t xml:space="preserve">Tabla. </w:t>
      </w:r>
      <w:r>
        <w:rPr>
          <w:rFonts w:ascii="Times New Roman" w:hAnsi="Times New Roman"/>
          <w:sz w:val="24"/>
        </w:rPr>
        <w:t>Resumen de indicadores generales del Sistema de Costos Gastronómicos, Sede Santiago 2026</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Indicador</w:t>
            </w:r>
          </w:p>
        </w:tc>
        <w:tc>
          <w:tcPr>
            <w:tcW w:type="dxa" w:w="4680"/>
          </w:tcPr>
          <w:p>
            <w:pPr>
              <w:jc w:val="center"/>
            </w:pPr>
            <w:r>
              <w:rPr>
                <w:rFonts w:ascii="Times New Roman" w:hAnsi="Times New Roman"/>
                <w:b/>
                <w:sz w:val="22"/>
              </w:rPr>
              <w:t>Valor</w:t>
            </w:r>
          </w:p>
        </w:tc>
      </w:tr>
      <w:tr>
        <w:tc>
          <w:tcPr>
            <w:tcW w:type="dxa" w:w="4680"/>
          </w:tcPr>
          <w:p>
            <w:pPr>
              <w:jc w:val="left"/>
            </w:pPr>
            <w:r>
              <w:rPr>
                <w:rFonts w:ascii="Times New Roman" w:hAnsi="Times New Roman"/>
                <w:sz w:val="22"/>
              </w:rPr>
              <w:t>Total OPs únicas</w:t>
            </w:r>
          </w:p>
        </w:tc>
        <w:tc>
          <w:tcPr>
            <w:tcW w:type="dxa" w:w="4680"/>
          </w:tcPr>
          <w:p>
            <w:pPr>
              <w:jc w:val="center"/>
            </w:pPr>
            <w:r>
              <w:rPr>
                <w:rFonts w:ascii="Times New Roman" w:hAnsi="Times New Roman"/>
                <w:sz w:val="22"/>
              </w:rPr>
              <w:t>179</w:t>
            </w:r>
          </w:p>
        </w:tc>
      </w:tr>
      <w:tr>
        <w:tc>
          <w:tcPr>
            <w:tcW w:type="dxa" w:w="4680"/>
          </w:tcPr>
          <w:p>
            <w:pPr>
              <w:jc w:val="left"/>
            </w:pPr>
            <w:r>
              <w:rPr>
                <w:rFonts w:ascii="Times New Roman" w:hAnsi="Times New Roman"/>
                <w:sz w:val="22"/>
              </w:rPr>
              <w:t>Total sesiones registradas</w:t>
            </w:r>
          </w:p>
        </w:tc>
        <w:tc>
          <w:tcPr>
            <w:tcW w:type="dxa" w:w="4680"/>
          </w:tcPr>
          <w:p>
            <w:pPr>
              <w:jc w:val="center"/>
            </w:pPr>
            <w:r>
              <w:rPr>
                <w:rFonts w:ascii="Times New Roman" w:hAnsi="Times New Roman"/>
                <w:sz w:val="22"/>
              </w:rPr>
              <w:t>1.135</w:t>
            </w:r>
          </w:p>
        </w:tc>
      </w:tr>
      <w:tr>
        <w:tc>
          <w:tcPr>
            <w:tcW w:type="dxa" w:w="4680"/>
          </w:tcPr>
          <w:p>
            <w:pPr>
              <w:jc w:val="left"/>
            </w:pPr>
            <w:r>
              <w:rPr>
                <w:rFonts w:ascii="Times New Roman" w:hAnsi="Times New Roman"/>
                <w:sz w:val="22"/>
              </w:rPr>
              <w:t>Total alumnos matriculados</w:t>
            </w:r>
          </w:p>
        </w:tc>
        <w:tc>
          <w:tcPr>
            <w:tcW w:type="dxa" w:w="4680"/>
          </w:tcPr>
          <w:p>
            <w:pPr>
              <w:jc w:val="center"/>
            </w:pPr>
            <w:r>
              <w:rPr>
                <w:rFonts w:ascii="Times New Roman" w:hAnsi="Times New Roman"/>
                <w:sz w:val="22"/>
              </w:rPr>
              <w:t>1.067</w:t>
            </w:r>
          </w:p>
        </w:tc>
      </w:tr>
      <w:tr>
        <w:tc>
          <w:tcPr>
            <w:tcW w:type="dxa" w:w="4680"/>
          </w:tcPr>
          <w:p>
            <w:pPr>
              <w:jc w:val="left"/>
            </w:pPr>
            <w:r>
              <w:rPr>
                <w:rFonts w:ascii="Times New Roman" w:hAnsi="Times New Roman"/>
                <w:sz w:val="22"/>
              </w:rPr>
              <w:t>Total semanas lectivas</w:t>
            </w:r>
          </w:p>
        </w:tc>
        <w:tc>
          <w:tcPr>
            <w:tcW w:type="dxa" w:w="4680"/>
          </w:tcPr>
          <w:p>
            <w:pPr>
              <w:jc w:val="center"/>
            </w:pPr>
            <w:r>
              <w:rPr>
                <w:rFonts w:ascii="Times New Roman" w:hAnsi="Times New Roman"/>
                <w:sz w:val="22"/>
              </w:rPr>
              <w:t>44</w:t>
            </w:r>
          </w:p>
        </w:tc>
      </w:tr>
      <w:tr>
        <w:tc>
          <w:tcPr>
            <w:tcW w:type="dxa" w:w="4680"/>
          </w:tcPr>
          <w:p>
            <w:pPr>
              <w:jc w:val="left"/>
            </w:pPr>
            <w:r>
              <w:rPr>
                <w:rFonts w:ascii="Times New Roman" w:hAnsi="Times New Roman"/>
                <w:sz w:val="22"/>
              </w:rPr>
              <w:t>Total ingredientes en maestro</w:t>
            </w:r>
          </w:p>
        </w:tc>
        <w:tc>
          <w:tcPr>
            <w:tcW w:type="dxa" w:w="4680"/>
          </w:tcPr>
          <w:p>
            <w:pPr>
              <w:jc w:val="center"/>
            </w:pPr>
            <w:r>
              <w:rPr>
                <w:rFonts w:ascii="Times New Roman" w:hAnsi="Times New Roman"/>
                <w:sz w:val="22"/>
              </w:rPr>
              <w:t>613</w:t>
            </w:r>
          </w:p>
        </w:tc>
      </w:tr>
      <w:tr>
        <w:tc>
          <w:tcPr>
            <w:tcW w:type="dxa" w:w="4680"/>
          </w:tcPr>
          <w:p>
            <w:pPr>
              <w:jc w:val="left"/>
            </w:pPr>
            <w:r>
              <w:rPr>
                <w:rFonts w:ascii="Times New Roman" w:hAnsi="Times New Roman"/>
                <w:sz w:val="22"/>
              </w:rPr>
              <w:t>Total proveedores activos</w:t>
            </w:r>
          </w:p>
        </w:tc>
        <w:tc>
          <w:tcPr>
            <w:tcW w:type="dxa" w:w="4680"/>
          </w:tcPr>
          <w:p>
            <w:pPr>
              <w:jc w:val="center"/>
            </w:pPr>
            <w:r>
              <w:rPr>
                <w:rFonts w:ascii="Times New Roman" w:hAnsi="Times New Roman"/>
                <w:sz w:val="22"/>
              </w:rPr>
              <w:t>22</w:t>
            </w:r>
          </w:p>
        </w:tc>
      </w:tr>
      <w:tr>
        <w:tc>
          <w:tcPr>
            <w:tcW w:type="dxa" w:w="4680"/>
          </w:tcPr>
          <w:p>
            <w:pPr>
              <w:jc w:val="left"/>
            </w:pPr>
            <w:r>
              <w:rPr>
                <w:rFonts w:ascii="Times New Roman" w:hAnsi="Times New Roman"/>
                <w:sz w:val="22"/>
              </w:rPr>
              <w:t>Tipos de taller</w:t>
            </w:r>
          </w:p>
        </w:tc>
        <w:tc>
          <w:tcPr>
            <w:tcW w:type="dxa" w:w="4680"/>
          </w:tcPr>
          <w:p>
            <w:pPr>
              <w:jc w:val="center"/>
            </w:pPr>
            <w:r>
              <w:rPr>
                <w:rFonts w:ascii="Times New Roman" w:hAnsi="Times New Roman"/>
                <w:sz w:val="22"/>
              </w:rPr>
              <w:t>14 (9 con recetas)</w:t>
            </w:r>
          </w:p>
        </w:tc>
      </w:tr>
      <w:tr>
        <w:tc>
          <w:tcPr>
            <w:tcW w:type="dxa" w:w="4680"/>
          </w:tcPr>
          <w:p>
            <w:pPr>
              <w:jc w:val="left"/>
            </w:pPr>
            <w:r>
              <w:rPr>
                <w:rFonts w:ascii="Times New Roman" w:hAnsi="Times New Roman"/>
                <w:sz w:val="22"/>
              </w:rPr>
              <w:t>Registros ingrediente-sesión</w:t>
            </w:r>
          </w:p>
        </w:tc>
        <w:tc>
          <w:tcPr>
            <w:tcW w:type="dxa" w:w="4680"/>
          </w:tcPr>
          <w:p>
            <w:pPr>
              <w:jc w:val="center"/>
            </w:pPr>
            <w:r>
              <w:rPr>
                <w:rFonts w:ascii="Times New Roman" w:hAnsi="Times New Roman"/>
                <w:sz w:val="22"/>
              </w:rPr>
              <w:t>23.213</w:t>
            </w:r>
          </w:p>
        </w:tc>
      </w:tr>
      <w:tr>
        <w:tc>
          <w:tcPr>
            <w:tcW w:type="dxa" w:w="4680"/>
          </w:tcPr>
          <w:p>
            <w:pPr>
              <w:jc w:val="left"/>
            </w:pPr>
            <w:r>
              <w:rPr>
                <w:rFonts w:ascii="Times New Roman" w:hAnsi="Times New Roman"/>
                <w:sz w:val="22"/>
              </w:rPr>
              <w:t>Gasto total materia prima</w:t>
            </w:r>
          </w:p>
        </w:tc>
        <w:tc>
          <w:tcPr>
            <w:tcW w:type="dxa" w:w="4680"/>
          </w:tcPr>
          <w:p>
            <w:pPr>
              <w:jc w:val="center"/>
            </w:pPr>
            <w:r>
              <w:rPr>
                <w:rFonts w:ascii="Times New Roman" w:hAnsi="Times New Roman"/>
                <w:sz w:val="22"/>
              </w:rPr>
              <w:t>$7.075.872 CLP</w:t>
            </w:r>
          </w:p>
        </w:tc>
      </w:tr>
      <w:tr>
        <w:tc>
          <w:tcPr>
            <w:tcW w:type="dxa" w:w="4680"/>
          </w:tcPr>
          <w:p>
            <w:pPr>
              <w:jc w:val="left"/>
            </w:pPr>
            <w:r>
              <w:rPr>
                <w:rFonts w:ascii="Times New Roman" w:hAnsi="Times New Roman"/>
                <w:sz w:val="22"/>
              </w:rPr>
              <w:t>Costo promedio por alumno/sesión</w:t>
            </w:r>
          </w:p>
        </w:tc>
        <w:tc>
          <w:tcPr>
            <w:tcW w:type="dxa" w:w="4680"/>
          </w:tcPr>
          <w:p>
            <w:pPr>
              <w:jc w:val="center"/>
            </w:pPr>
            <w:r>
              <w:rPr>
                <w:rFonts w:ascii="Times New Roman" w:hAnsi="Times New Roman"/>
                <w:sz w:val="22"/>
              </w:rPr>
              <w:t>$328 CLP</w:t>
            </w:r>
          </w:p>
        </w:tc>
      </w:tr>
    </w:tbl>
    <w:p>
      <w:pPr>
        <w:spacing w:before="120" w:after="240"/>
      </w:pPr>
      <w:r>
        <w:rPr>
          <w:rFonts w:ascii="Times New Roman" w:hAnsi="Times New Roman"/>
          <w:i/>
          <w:sz w:val="22"/>
        </w:rPr>
        <w:t xml:space="preserve">Nota. </w:t>
      </w:r>
      <w:r>
        <w:rPr>
          <w:rFonts w:ascii="Times New Roman" w:hAnsi="Times New Roman"/>
          <w:sz w:val="22"/>
        </w:rPr>
        <w:t>Los valores corresponden al período académico marzo–diciembre 2026. El costo promedio por alumno/sesión se calcula como el promedio de los cocientes individuales de cada sesión, no como la división del total.</w:t>
      </w:r>
    </w:p>
    <w:p>
      <w:pPr>
        <w:spacing w:before="480" w:after="0"/>
        <w:jc w:val="left"/>
      </w:pPr>
      <w:r>
        <w:rPr>
          <w:rFonts w:ascii="Times New Roman" w:hAnsi="Times New Roman"/>
          <w:b/>
          <w:sz w:val="24"/>
        </w:rPr>
        <w:t>Análisis por Categoría de Ingrediente</w:t>
      </w:r>
    </w:p>
    <w:p>
      <w:pPr>
        <w:spacing w:line="480" w:lineRule="exact"/>
        <w:ind w:firstLine="720"/>
        <w:jc w:val="both"/>
      </w:pPr>
      <w:r>
        <w:rPr>
          <w:rFonts w:ascii="Times New Roman" w:hAnsi="Times New Roman"/>
          <w:sz w:val="24"/>
        </w:rPr>
        <w:t>El análisis de costos por categoría de ingrediente revela que los abarrotes (harinas, aceites, azúcar, sal y productos secos en general) constituyen el mayor gasto, representando el 28,8% del total. Le siguen los lácteos (17,5%) y el chocolate (11,6%), lo que refleja la orientación del programa hacia la pastelería y repostería. La Tabla 2 presenta el detalle por categoría.</w:t>
      </w:r>
    </w:p>
    <w:p>
      <w:pPr>
        <w:spacing w:before="240" w:after="0"/>
      </w:pPr>
      <w:r>
        <w:rPr>
          <w:rFonts w:ascii="Times New Roman" w:hAnsi="Times New Roman"/>
          <w:i/>
          <w:sz w:val="24"/>
        </w:rPr>
        <w:t xml:space="preserve">Tabla. </w:t>
      </w:r>
      <w:r>
        <w:rPr>
          <w:rFonts w:ascii="Times New Roman" w:hAnsi="Times New Roman"/>
          <w:sz w:val="24"/>
        </w:rPr>
        <w:t>Gasto de materia prima por categoría de ingrediente, período 2026</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Categoría</w:t>
            </w:r>
          </w:p>
        </w:tc>
        <w:tc>
          <w:tcPr>
            <w:tcW w:type="dxa" w:w="3120"/>
          </w:tcPr>
          <w:p>
            <w:pPr>
              <w:jc w:val="center"/>
            </w:pPr>
            <w:r>
              <w:rPr>
                <w:rFonts w:ascii="Times New Roman" w:hAnsi="Times New Roman"/>
                <w:b/>
                <w:sz w:val="22"/>
              </w:rPr>
              <w:t>Gasto Total (CLP)</w:t>
            </w:r>
          </w:p>
        </w:tc>
        <w:tc>
          <w:tcPr>
            <w:tcW w:type="dxa" w:w="3120"/>
          </w:tcPr>
          <w:p>
            <w:pPr>
              <w:jc w:val="center"/>
            </w:pPr>
            <w:r>
              <w:rPr>
                <w:rFonts w:ascii="Times New Roman" w:hAnsi="Times New Roman"/>
                <w:b/>
                <w:sz w:val="22"/>
              </w:rPr>
              <w:t>Participación (%)</w:t>
            </w:r>
          </w:p>
        </w:tc>
      </w:tr>
      <w:tr>
        <w:tc>
          <w:tcPr>
            <w:tcW w:type="dxa" w:w="3120"/>
          </w:tcPr>
          <w:p>
            <w:pPr>
              <w:jc w:val="left"/>
            </w:pPr>
            <w:r>
              <w:rPr>
                <w:rFonts w:ascii="Times New Roman" w:hAnsi="Times New Roman"/>
                <w:sz w:val="22"/>
              </w:rPr>
              <w:t>Abarrote</w:t>
            </w:r>
          </w:p>
        </w:tc>
        <w:tc>
          <w:tcPr>
            <w:tcW w:type="dxa" w:w="3120"/>
          </w:tcPr>
          <w:p>
            <w:pPr>
              <w:jc w:val="center"/>
            </w:pPr>
            <w:r>
              <w:rPr>
                <w:rFonts w:ascii="Times New Roman" w:hAnsi="Times New Roman"/>
                <w:sz w:val="22"/>
              </w:rPr>
              <w:t>$2.040.961</w:t>
            </w:r>
          </w:p>
        </w:tc>
        <w:tc>
          <w:tcPr>
            <w:tcW w:type="dxa" w:w="3120"/>
          </w:tcPr>
          <w:p>
            <w:pPr>
              <w:jc w:val="center"/>
            </w:pPr>
            <w:r>
              <w:rPr>
                <w:rFonts w:ascii="Times New Roman" w:hAnsi="Times New Roman"/>
                <w:sz w:val="22"/>
              </w:rPr>
              <w:t>28,8%</w:t>
            </w:r>
          </w:p>
        </w:tc>
      </w:tr>
      <w:tr>
        <w:tc>
          <w:tcPr>
            <w:tcW w:type="dxa" w:w="3120"/>
          </w:tcPr>
          <w:p>
            <w:pPr>
              <w:jc w:val="left"/>
            </w:pPr>
            <w:r>
              <w:rPr>
                <w:rFonts w:ascii="Times New Roman" w:hAnsi="Times New Roman"/>
                <w:sz w:val="22"/>
              </w:rPr>
              <w:t>Lácteo</w:t>
            </w:r>
          </w:p>
        </w:tc>
        <w:tc>
          <w:tcPr>
            <w:tcW w:type="dxa" w:w="3120"/>
          </w:tcPr>
          <w:p>
            <w:pPr>
              <w:jc w:val="center"/>
            </w:pPr>
            <w:r>
              <w:rPr>
                <w:rFonts w:ascii="Times New Roman" w:hAnsi="Times New Roman"/>
                <w:sz w:val="22"/>
              </w:rPr>
              <w:t>$1.241.601</w:t>
            </w:r>
          </w:p>
        </w:tc>
        <w:tc>
          <w:tcPr>
            <w:tcW w:type="dxa" w:w="3120"/>
          </w:tcPr>
          <w:p>
            <w:pPr>
              <w:jc w:val="center"/>
            </w:pPr>
            <w:r>
              <w:rPr>
                <w:rFonts w:ascii="Times New Roman" w:hAnsi="Times New Roman"/>
                <w:sz w:val="22"/>
              </w:rPr>
              <w:t>17,5%</w:t>
            </w:r>
          </w:p>
        </w:tc>
      </w:tr>
      <w:tr>
        <w:tc>
          <w:tcPr>
            <w:tcW w:type="dxa" w:w="3120"/>
          </w:tcPr>
          <w:p>
            <w:pPr>
              <w:jc w:val="left"/>
            </w:pPr>
            <w:r>
              <w:rPr>
                <w:rFonts w:ascii="Times New Roman" w:hAnsi="Times New Roman"/>
                <w:sz w:val="22"/>
              </w:rPr>
              <w:t>Chocolate</w:t>
            </w:r>
          </w:p>
        </w:tc>
        <w:tc>
          <w:tcPr>
            <w:tcW w:type="dxa" w:w="3120"/>
          </w:tcPr>
          <w:p>
            <w:pPr>
              <w:jc w:val="center"/>
            </w:pPr>
            <w:r>
              <w:rPr>
                <w:rFonts w:ascii="Times New Roman" w:hAnsi="Times New Roman"/>
                <w:sz w:val="22"/>
              </w:rPr>
              <w:t>$824.444</w:t>
            </w:r>
          </w:p>
        </w:tc>
        <w:tc>
          <w:tcPr>
            <w:tcW w:type="dxa" w:w="3120"/>
          </w:tcPr>
          <w:p>
            <w:pPr>
              <w:jc w:val="center"/>
            </w:pPr>
            <w:r>
              <w:rPr>
                <w:rFonts w:ascii="Times New Roman" w:hAnsi="Times New Roman"/>
                <w:sz w:val="22"/>
              </w:rPr>
              <w:t>11,6%</w:t>
            </w:r>
          </w:p>
        </w:tc>
      </w:tr>
      <w:tr>
        <w:tc>
          <w:tcPr>
            <w:tcW w:type="dxa" w:w="3120"/>
          </w:tcPr>
          <w:p>
            <w:pPr>
              <w:jc w:val="left"/>
            </w:pPr>
            <w:r>
              <w:rPr>
                <w:rFonts w:ascii="Times New Roman" w:hAnsi="Times New Roman"/>
                <w:sz w:val="22"/>
              </w:rPr>
              <w:t>Fruta y Verdura</w:t>
            </w:r>
          </w:p>
        </w:tc>
        <w:tc>
          <w:tcPr>
            <w:tcW w:type="dxa" w:w="3120"/>
          </w:tcPr>
          <w:p>
            <w:pPr>
              <w:jc w:val="center"/>
            </w:pPr>
            <w:r>
              <w:rPr>
                <w:rFonts w:ascii="Times New Roman" w:hAnsi="Times New Roman"/>
                <w:sz w:val="22"/>
              </w:rPr>
              <w:t>$705.926</w:t>
            </w:r>
          </w:p>
        </w:tc>
        <w:tc>
          <w:tcPr>
            <w:tcW w:type="dxa" w:w="3120"/>
          </w:tcPr>
          <w:p>
            <w:pPr>
              <w:jc w:val="center"/>
            </w:pPr>
            <w:r>
              <w:rPr>
                <w:rFonts w:ascii="Times New Roman" w:hAnsi="Times New Roman"/>
                <w:sz w:val="22"/>
              </w:rPr>
              <w:t>10,0%</w:t>
            </w:r>
          </w:p>
        </w:tc>
      </w:tr>
      <w:tr>
        <w:tc>
          <w:tcPr>
            <w:tcW w:type="dxa" w:w="3120"/>
          </w:tcPr>
          <w:p>
            <w:pPr>
              <w:jc w:val="left"/>
            </w:pPr>
            <w:r>
              <w:rPr>
                <w:rFonts w:ascii="Times New Roman" w:hAnsi="Times New Roman"/>
                <w:sz w:val="22"/>
              </w:rPr>
              <w:t>Pescado/Marisco</w:t>
            </w:r>
          </w:p>
        </w:tc>
        <w:tc>
          <w:tcPr>
            <w:tcW w:type="dxa" w:w="3120"/>
          </w:tcPr>
          <w:p>
            <w:pPr>
              <w:jc w:val="center"/>
            </w:pPr>
            <w:r>
              <w:rPr>
                <w:rFonts w:ascii="Times New Roman" w:hAnsi="Times New Roman"/>
                <w:sz w:val="22"/>
              </w:rPr>
              <w:t>$389.899</w:t>
            </w:r>
          </w:p>
        </w:tc>
        <w:tc>
          <w:tcPr>
            <w:tcW w:type="dxa" w:w="3120"/>
          </w:tcPr>
          <w:p>
            <w:pPr>
              <w:jc w:val="center"/>
            </w:pPr>
            <w:r>
              <w:rPr>
                <w:rFonts w:ascii="Times New Roman" w:hAnsi="Times New Roman"/>
                <w:sz w:val="22"/>
              </w:rPr>
              <w:t>5,5%</w:t>
            </w:r>
          </w:p>
        </w:tc>
      </w:tr>
      <w:tr>
        <w:tc>
          <w:tcPr>
            <w:tcW w:type="dxa" w:w="3120"/>
          </w:tcPr>
          <w:p>
            <w:pPr>
              <w:jc w:val="left"/>
            </w:pPr>
            <w:r>
              <w:rPr>
                <w:rFonts w:ascii="Times New Roman" w:hAnsi="Times New Roman"/>
                <w:sz w:val="22"/>
              </w:rPr>
              <w:t>Vacuno</w:t>
            </w:r>
          </w:p>
        </w:tc>
        <w:tc>
          <w:tcPr>
            <w:tcW w:type="dxa" w:w="3120"/>
          </w:tcPr>
          <w:p>
            <w:pPr>
              <w:jc w:val="center"/>
            </w:pPr>
            <w:r>
              <w:rPr>
                <w:rFonts w:ascii="Times New Roman" w:hAnsi="Times New Roman"/>
                <w:sz w:val="22"/>
              </w:rPr>
              <w:t>$346.539</w:t>
            </w:r>
          </w:p>
        </w:tc>
        <w:tc>
          <w:tcPr>
            <w:tcW w:type="dxa" w:w="3120"/>
          </w:tcPr>
          <w:p>
            <w:pPr>
              <w:jc w:val="center"/>
            </w:pPr>
            <w:r>
              <w:rPr>
                <w:rFonts w:ascii="Times New Roman" w:hAnsi="Times New Roman"/>
                <w:sz w:val="22"/>
              </w:rPr>
              <w:t>4,9%</w:t>
            </w:r>
          </w:p>
        </w:tc>
      </w:tr>
      <w:tr>
        <w:tc>
          <w:tcPr>
            <w:tcW w:type="dxa" w:w="3120"/>
          </w:tcPr>
          <w:p>
            <w:pPr>
              <w:jc w:val="left"/>
            </w:pPr>
            <w:r>
              <w:rPr>
                <w:rFonts w:ascii="Times New Roman" w:hAnsi="Times New Roman"/>
                <w:sz w:val="22"/>
              </w:rPr>
              <w:t>Huevo</w:t>
            </w:r>
          </w:p>
        </w:tc>
        <w:tc>
          <w:tcPr>
            <w:tcW w:type="dxa" w:w="3120"/>
          </w:tcPr>
          <w:p>
            <w:pPr>
              <w:jc w:val="center"/>
            </w:pPr>
            <w:r>
              <w:rPr>
                <w:rFonts w:ascii="Times New Roman" w:hAnsi="Times New Roman"/>
                <w:sz w:val="22"/>
              </w:rPr>
              <w:t>$332.590</w:t>
            </w:r>
          </w:p>
        </w:tc>
        <w:tc>
          <w:tcPr>
            <w:tcW w:type="dxa" w:w="3120"/>
          </w:tcPr>
          <w:p>
            <w:pPr>
              <w:jc w:val="center"/>
            </w:pPr>
            <w:r>
              <w:rPr>
                <w:rFonts w:ascii="Times New Roman" w:hAnsi="Times New Roman"/>
                <w:sz w:val="22"/>
              </w:rPr>
              <w:t>4,7%</w:t>
            </w:r>
          </w:p>
        </w:tc>
      </w:tr>
      <w:tr>
        <w:tc>
          <w:tcPr>
            <w:tcW w:type="dxa" w:w="3120"/>
          </w:tcPr>
          <w:p>
            <w:pPr>
              <w:jc w:val="left"/>
            </w:pPr>
            <w:r>
              <w:rPr>
                <w:rFonts w:ascii="Times New Roman" w:hAnsi="Times New Roman"/>
                <w:sz w:val="22"/>
              </w:rPr>
              <w:t>Congelado</w:t>
            </w:r>
          </w:p>
        </w:tc>
        <w:tc>
          <w:tcPr>
            <w:tcW w:type="dxa" w:w="3120"/>
          </w:tcPr>
          <w:p>
            <w:pPr>
              <w:jc w:val="center"/>
            </w:pPr>
            <w:r>
              <w:rPr>
                <w:rFonts w:ascii="Times New Roman" w:hAnsi="Times New Roman"/>
                <w:sz w:val="22"/>
              </w:rPr>
              <w:t>$303.393</w:t>
            </w:r>
          </w:p>
        </w:tc>
        <w:tc>
          <w:tcPr>
            <w:tcW w:type="dxa" w:w="3120"/>
          </w:tcPr>
          <w:p>
            <w:pPr>
              <w:jc w:val="center"/>
            </w:pPr>
            <w:r>
              <w:rPr>
                <w:rFonts w:ascii="Times New Roman" w:hAnsi="Times New Roman"/>
                <w:sz w:val="22"/>
              </w:rPr>
              <w:t>4,3%</w:t>
            </w:r>
          </w:p>
        </w:tc>
      </w:tr>
      <w:tr>
        <w:tc>
          <w:tcPr>
            <w:tcW w:type="dxa" w:w="3120"/>
          </w:tcPr>
          <w:p>
            <w:pPr>
              <w:jc w:val="left"/>
            </w:pPr>
            <w:r>
              <w:rPr>
                <w:rFonts w:ascii="Times New Roman" w:hAnsi="Times New Roman"/>
                <w:sz w:val="22"/>
              </w:rPr>
              <w:t>Art. de Cocina</w:t>
            </w:r>
          </w:p>
        </w:tc>
        <w:tc>
          <w:tcPr>
            <w:tcW w:type="dxa" w:w="3120"/>
          </w:tcPr>
          <w:p>
            <w:pPr>
              <w:jc w:val="center"/>
            </w:pPr>
            <w:r>
              <w:rPr>
                <w:rFonts w:ascii="Times New Roman" w:hAnsi="Times New Roman"/>
                <w:sz w:val="22"/>
              </w:rPr>
              <w:t>$273.737</w:t>
            </w:r>
          </w:p>
        </w:tc>
        <w:tc>
          <w:tcPr>
            <w:tcW w:type="dxa" w:w="3120"/>
          </w:tcPr>
          <w:p>
            <w:pPr>
              <w:jc w:val="center"/>
            </w:pPr>
            <w:r>
              <w:rPr>
                <w:rFonts w:ascii="Times New Roman" w:hAnsi="Times New Roman"/>
                <w:sz w:val="22"/>
              </w:rPr>
              <w:t>3,9%</w:t>
            </w:r>
          </w:p>
        </w:tc>
      </w:tr>
      <w:tr>
        <w:tc>
          <w:tcPr>
            <w:tcW w:type="dxa" w:w="3120"/>
          </w:tcPr>
          <w:p>
            <w:pPr>
              <w:jc w:val="left"/>
            </w:pPr>
            <w:r>
              <w:rPr>
                <w:rFonts w:ascii="Times New Roman" w:hAnsi="Times New Roman"/>
                <w:sz w:val="22"/>
              </w:rPr>
              <w:t>Resto (25 cat.)</w:t>
            </w:r>
          </w:p>
        </w:tc>
        <w:tc>
          <w:tcPr>
            <w:tcW w:type="dxa" w:w="3120"/>
          </w:tcPr>
          <w:p>
            <w:pPr>
              <w:jc w:val="center"/>
            </w:pPr>
            <w:r>
              <w:rPr>
                <w:rFonts w:ascii="Times New Roman" w:hAnsi="Times New Roman"/>
                <w:sz w:val="22"/>
              </w:rPr>
              <w:t>$617.278</w:t>
            </w:r>
          </w:p>
        </w:tc>
        <w:tc>
          <w:tcPr>
            <w:tcW w:type="dxa" w:w="3120"/>
          </w:tcPr>
          <w:p>
            <w:pPr>
              <w:jc w:val="center"/>
            </w:pPr>
            <w:r>
              <w:rPr>
                <w:rFonts w:ascii="Times New Roman" w:hAnsi="Times New Roman"/>
                <w:sz w:val="22"/>
              </w:rPr>
              <w:t>8,7%</w:t>
            </w:r>
          </w:p>
        </w:tc>
      </w:tr>
      <w:tr>
        <w:tc>
          <w:tcPr>
            <w:tcW w:type="dxa" w:w="3120"/>
          </w:tcPr>
          <w:p>
            <w:pPr>
              <w:jc w:val="left"/>
            </w:pPr>
            <w:r>
              <w:rPr>
                <w:rFonts w:ascii="Times New Roman" w:hAnsi="Times New Roman"/>
                <w:sz w:val="22"/>
              </w:rPr>
              <w:t>TOTAL</w:t>
            </w:r>
          </w:p>
        </w:tc>
        <w:tc>
          <w:tcPr>
            <w:tcW w:type="dxa" w:w="3120"/>
          </w:tcPr>
          <w:p>
            <w:pPr>
              <w:jc w:val="center"/>
            </w:pPr>
            <w:r>
              <w:rPr>
                <w:rFonts w:ascii="Times New Roman" w:hAnsi="Times New Roman"/>
                <w:sz w:val="22"/>
              </w:rPr>
              <w:t>$7.075.872</w:t>
            </w:r>
          </w:p>
        </w:tc>
        <w:tc>
          <w:tcPr>
            <w:tcW w:type="dxa" w:w="3120"/>
          </w:tcPr>
          <w:p>
            <w:pPr>
              <w:jc w:val="center"/>
            </w:pPr>
            <w:r>
              <w:rPr>
                <w:rFonts w:ascii="Times New Roman" w:hAnsi="Times New Roman"/>
                <w:sz w:val="22"/>
              </w:rPr>
              <w:t>100,0%</w:t>
            </w:r>
          </w:p>
        </w:tc>
      </w:tr>
    </w:tbl>
    <w:p>
      <w:pPr>
        <w:spacing w:before="120" w:after="240"/>
      </w:pPr>
      <w:r>
        <w:rPr>
          <w:rFonts w:ascii="Times New Roman" w:hAnsi="Times New Roman"/>
          <w:i/>
          <w:sz w:val="22"/>
        </w:rPr>
        <w:t xml:space="preserve">Nota. </w:t>
      </w:r>
      <w:r>
        <w:rPr>
          <w:rFonts w:ascii="Times New Roman" w:hAnsi="Times New Roman"/>
          <w:sz w:val="22"/>
        </w:rPr>
        <w:t>La categoría "Resto" agrupa 25 categorías adicionales con participaciones individuales inferiores al 3,0%, incluyendo cerdo, pollo, panadería, embutidos, vinos, licores y otros.</w:t>
      </w:r>
    </w:p>
    <w:p>
      <w:pPr>
        <w:spacing w:before="480" w:after="0"/>
        <w:jc w:val="left"/>
      </w:pPr>
      <w:r>
        <w:rPr>
          <w:rFonts w:ascii="Times New Roman" w:hAnsi="Times New Roman"/>
          <w:b/>
          <w:sz w:val="24"/>
        </w:rPr>
        <w:t>Análisis por Tipo de Taller</w:t>
      </w:r>
    </w:p>
    <w:p>
      <w:pPr>
        <w:spacing w:line="480" w:lineRule="exact"/>
        <w:ind w:firstLine="720"/>
        <w:jc w:val="both"/>
      </w:pPr>
      <w:r>
        <w:rPr>
          <w:rFonts w:ascii="Times New Roman" w:hAnsi="Times New Roman"/>
          <w:sz w:val="24"/>
        </w:rPr>
        <w:t>El análisis por tipo de taller permite identificar diferencias significativas en el costo de materia prima entre las distintas especialidades. El Taller Introductorio de Pastelería (TIP) registra el mayor costo total absoluto ($1.119.984), mientras que el Taller de Técnicas y Procesos Innovadores en Pastelería (TTPIP) presenta el mayor costo por alumno ($1.106), lo que refleja el uso de ingredientes de mayor valor en esta especialización.</w:t>
      </w:r>
    </w:p>
    <w:p>
      <w:pPr>
        <w:spacing w:before="240" w:after="0"/>
      </w:pPr>
      <w:r>
        <w:rPr>
          <w:rFonts w:ascii="Times New Roman" w:hAnsi="Times New Roman"/>
          <w:i/>
          <w:sz w:val="24"/>
        </w:rPr>
        <w:t xml:space="preserve">Tabla. </w:t>
      </w:r>
      <w:r>
        <w:rPr>
          <w:rFonts w:ascii="Times New Roman" w:hAnsi="Times New Roman"/>
          <w:sz w:val="24"/>
        </w:rPr>
        <w:t>Costo de materia prima por tipo de taller activo, período 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2"/>
              </w:rPr>
              <w:t>Código</w:t>
            </w:r>
          </w:p>
        </w:tc>
        <w:tc>
          <w:tcPr>
            <w:tcW w:type="dxa" w:w="1872"/>
          </w:tcPr>
          <w:p>
            <w:pPr>
              <w:jc w:val="center"/>
            </w:pPr>
            <w:r>
              <w:rPr>
                <w:rFonts w:ascii="Times New Roman" w:hAnsi="Times New Roman"/>
                <w:b/>
                <w:sz w:val="22"/>
              </w:rPr>
              <w:t>Taller</w:t>
            </w:r>
          </w:p>
        </w:tc>
        <w:tc>
          <w:tcPr>
            <w:tcW w:type="dxa" w:w="1872"/>
          </w:tcPr>
          <w:p>
            <w:pPr>
              <w:jc w:val="center"/>
            </w:pPr>
            <w:r>
              <w:rPr>
                <w:rFonts w:ascii="Times New Roman" w:hAnsi="Times New Roman"/>
                <w:b/>
                <w:sz w:val="22"/>
              </w:rPr>
              <w:t>Sesiones</w:t>
            </w:r>
          </w:p>
        </w:tc>
        <w:tc>
          <w:tcPr>
            <w:tcW w:type="dxa" w:w="1872"/>
          </w:tcPr>
          <w:p>
            <w:pPr>
              <w:jc w:val="center"/>
            </w:pPr>
            <w:r>
              <w:rPr>
                <w:rFonts w:ascii="Times New Roman" w:hAnsi="Times New Roman"/>
                <w:b/>
                <w:sz w:val="22"/>
              </w:rPr>
              <w:t>Costo Total (CLP)</w:t>
            </w:r>
          </w:p>
        </w:tc>
        <w:tc>
          <w:tcPr>
            <w:tcW w:type="dxa" w:w="1872"/>
          </w:tcPr>
          <w:p>
            <w:pPr>
              <w:jc w:val="center"/>
            </w:pPr>
            <w:r>
              <w:rPr>
                <w:rFonts w:ascii="Times New Roman" w:hAnsi="Times New Roman"/>
                <w:b/>
                <w:sz w:val="22"/>
              </w:rPr>
              <w:t>CPA (CLP)</w:t>
            </w:r>
          </w:p>
        </w:tc>
      </w:tr>
      <w:tr>
        <w:tc>
          <w:tcPr>
            <w:tcW w:type="dxa" w:w="1872"/>
          </w:tcPr>
          <w:p>
            <w:pPr>
              <w:jc w:val="left"/>
            </w:pPr>
            <w:r>
              <w:rPr>
                <w:rFonts w:ascii="Times New Roman" w:hAnsi="Times New Roman"/>
                <w:sz w:val="22"/>
              </w:rPr>
              <w:t>TIP</w:t>
            </w:r>
          </w:p>
        </w:tc>
        <w:tc>
          <w:tcPr>
            <w:tcW w:type="dxa" w:w="1872"/>
          </w:tcPr>
          <w:p>
            <w:pPr>
              <w:jc w:val="center"/>
            </w:pPr>
            <w:r>
              <w:rPr>
                <w:rFonts w:ascii="Times New Roman" w:hAnsi="Times New Roman"/>
                <w:sz w:val="22"/>
              </w:rPr>
              <w:t>Introductorio Pastelería</w:t>
            </w:r>
          </w:p>
        </w:tc>
        <w:tc>
          <w:tcPr>
            <w:tcW w:type="dxa" w:w="1872"/>
          </w:tcPr>
          <w:p>
            <w:pPr>
              <w:jc w:val="center"/>
            </w:pPr>
            <w:r>
              <w:rPr>
                <w:rFonts w:ascii="Times New Roman" w:hAnsi="Times New Roman"/>
                <w:sz w:val="22"/>
              </w:rPr>
              <w:t>140</w:t>
            </w:r>
          </w:p>
        </w:tc>
        <w:tc>
          <w:tcPr>
            <w:tcW w:type="dxa" w:w="1872"/>
          </w:tcPr>
          <w:p>
            <w:pPr>
              <w:jc w:val="center"/>
            </w:pPr>
            <w:r>
              <w:rPr>
                <w:rFonts w:ascii="Times New Roman" w:hAnsi="Times New Roman"/>
                <w:sz w:val="22"/>
              </w:rPr>
              <w:t>$1.119.984</w:t>
            </w:r>
          </w:p>
        </w:tc>
        <w:tc>
          <w:tcPr>
            <w:tcW w:type="dxa" w:w="1872"/>
          </w:tcPr>
          <w:p>
            <w:pPr>
              <w:jc w:val="center"/>
            </w:pPr>
            <w:r>
              <w:rPr>
                <w:rFonts w:ascii="Times New Roman" w:hAnsi="Times New Roman"/>
                <w:sz w:val="22"/>
              </w:rPr>
              <w:t>$471</w:t>
            </w:r>
          </w:p>
        </w:tc>
      </w:tr>
      <w:tr>
        <w:tc>
          <w:tcPr>
            <w:tcW w:type="dxa" w:w="1872"/>
          </w:tcPr>
          <w:p>
            <w:pPr>
              <w:jc w:val="left"/>
            </w:pPr>
            <w:r>
              <w:rPr>
                <w:rFonts w:ascii="Times New Roman" w:hAnsi="Times New Roman"/>
                <w:sz w:val="22"/>
              </w:rPr>
              <w:t>TBD</w:t>
            </w:r>
          </w:p>
        </w:tc>
        <w:tc>
          <w:tcPr>
            <w:tcW w:type="dxa" w:w="1872"/>
          </w:tcPr>
          <w:p>
            <w:pPr>
              <w:jc w:val="center"/>
            </w:pPr>
            <w:r>
              <w:rPr>
                <w:rFonts w:ascii="Times New Roman" w:hAnsi="Times New Roman"/>
                <w:sz w:val="22"/>
              </w:rPr>
              <w:t>Banquetería Dulce</w:t>
            </w:r>
          </w:p>
        </w:tc>
        <w:tc>
          <w:tcPr>
            <w:tcW w:type="dxa" w:w="1872"/>
          </w:tcPr>
          <w:p>
            <w:pPr>
              <w:jc w:val="center"/>
            </w:pPr>
            <w:r>
              <w:rPr>
                <w:rFonts w:ascii="Times New Roman" w:hAnsi="Times New Roman"/>
                <w:sz w:val="22"/>
              </w:rPr>
              <w:t>64</w:t>
            </w:r>
          </w:p>
        </w:tc>
        <w:tc>
          <w:tcPr>
            <w:tcW w:type="dxa" w:w="1872"/>
          </w:tcPr>
          <w:p>
            <w:pPr>
              <w:jc w:val="center"/>
            </w:pPr>
            <w:r>
              <w:rPr>
                <w:rFonts w:ascii="Times New Roman" w:hAnsi="Times New Roman"/>
                <w:sz w:val="22"/>
              </w:rPr>
              <w:t>$1.062.113</w:t>
            </w:r>
          </w:p>
        </w:tc>
        <w:tc>
          <w:tcPr>
            <w:tcW w:type="dxa" w:w="1872"/>
          </w:tcPr>
          <w:p>
            <w:pPr>
              <w:jc w:val="center"/>
            </w:pPr>
            <w:r>
              <w:rPr>
                <w:rFonts w:ascii="Times New Roman" w:hAnsi="Times New Roman"/>
                <w:sz w:val="22"/>
              </w:rPr>
              <w:t>$909</w:t>
            </w:r>
          </w:p>
        </w:tc>
      </w:tr>
      <w:tr>
        <w:tc>
          <w:tcPr>
            <w:tcW w:type="dxa" w:w="1872"/>
          </w:tcPr>
          <w:p>
            <w:pPr>
              <w:jc w:val="left"/>
            </w:pPr>
            <w:r>
              <w:rPr>
                <w:rFonts w:ascii="Times New Roman" w:hAnsi="Times New Roman"/>
                <w:sz w:val="22"/>
              </w:rPr>
              <w:t>TCCHO</w:t>
            </w:r>
          </w:p>
        </w:tc>
        <w:tc>
          <w:tcPr>
            <w:tcW w:type="dxa" w:w="1872"/>
          </w:tcPr>
          <w:p>
            <w:pPr>
              <w:jc w:val="center"/>
            </w:pPr>
            <w:r>
              <w:rPr>
                <w:rFonts w:ascii="Times New Roman" w:hAnsi="Times New Roman"/>
                <w:sz w:val="22"/>
              </w:rPr>
              <w:t>Confitería y Chocolatería</w:t>
            </w:r>
          </w:p>
        </w:tc>
        <w:tc>
          <w:tcPr>
            <w:tcW w:type="dxa" w:w="1872"/>
          </w:tcPr>
          <w:p>
            <w:pPr>
              <w:jc w:val="center"/>
            </w:pPr>
            <w:r>
              <w:rPr>
                <w:rFonts w:ascii="Times New Roman" w:hAnsi="Times New Roman"/>
                <w:sz w:val="22"/>
              </w:rPr>
              <w:t>64</w:t>
            </w:r>
          </w:p>
        </w:tc>
        <w:tc>
          <w:tcPr>
            <w:tcW w:type="dxa" w:w="1872"/>
          </w:tcPr>
          <w:p>
            <w:pPr>
              <w:jc w:val="center"/>
            </w:pPr>
            <w:r>
              <w:rPr>
                <w:rFonts w:ascii="Times New Roman" w:hAnsi="Times New Roman"/>
                <w:sz w:val="22"/>
              </w:rPr>
              <w:t>$975.967</w:t>
            </w:r>
          </w:p>
        </w:tc>
        <w:tc>
          <w:tcPr>
            <w:tcW w:type="dxa" w:w="1872"/>
          </w:tcPr>
          <w:p>
            <w:pPr>
              <w:jc w:val="center"/>
            </w:pPr>
            <w:r>
              <w:rPr>
                <w:rFonts w:ascii="Times New Roman" w:hAnsi="Times New Roman"/>
                <w:sz w:val="22"/>
              </w:rPr>
              <w:t>$744</w:t>
            </w:r>
          </w:p>
        </w:tc>
      </w:tr>
      <w:tr>
        <w:tc>
          <w:tcPr>
            <w:tcW w:type="dxa" w:w="1872"/>
          </w:tcPr>
          <w:p>
            <w:pPr>
              <w:jc w:val="left"/>
            </w:pPr>
            <w:r>
              <w:rPr>
                <w:rFonts w:ascii="Times New Roman" w:hAnsi="Times New Roman"/>
                <w:sz w:val="22"/>
              </w:rPr>
              <w:t>TCCM</w:t>
            </w:r>
          </w:p>
        </w:tc>
        <w:tc>
          <w:tcPr>
            <w:tcW w:type="dxa" w:w="1872"/>
          </w:tcPr>
          <w:p>
            <w:pPr>
              <w:jc w:val="center"/>
            </w:pPr>
            <w:r>
              <w:rPr>
                <w:rFonts w:ascii="Times New Roman" w:hAnsi="Times New Roman"/>
                <w:sz w:val="22"/>
              </w:rPr>
              <w:t>Cocina Chilena y del Mundo</w:t>
            </w:r>
          </w:p>
        </w:tc>
        <w:tc>
          <w:tcPr>
            <w:tcW w:type="dxa" w:w="1872"/>
          </w:tcPr>
          <w:p>
            <w:pPr>
              <w:jc w:val="center"/>
            </w:pPr>
            <w:r>
              <w:rPr>
                <w:rFonts w:ascii="Times New Roman" w:hAnsi="Times New Roman"/>
                <w:sz w:val="22"/>
              </w:rPr>
              <w:t>100</w:t>
            </w:r>
          </w:p>
        </w:tc>
        <w:tc>
          <w:tcPr>
            <w:tcW w:type="dxa" w:w="1872"/>
          </w:tcPr>
          <w:p>
            <w:pPr>
              <w:jc w:val="center"/>
            </w:pPr>
            <w:r>
              <w:rPr>
                <w:rFonts w:ascii="Times New Roman" w:hAnsi="Times New Roman"/>
                <w:sz w:val="22"/>
              </w:rPr>
              <w:t>$901.539</w:t>
            </w:r>
          </w:p>
        </w:tc>
        <w:tc>
          <w:tcPr>
            <w:tcW w:type="dxa" w:w="1872"/>
          </w:tcPr>
          <w:p>
            <w:pPr>
              <w:jc w:val="center"/>
            </w:pPr>
            <w:r>
              <w:rPr>
                <w:rFonts w:ascii="Times New Roman" w:hAnsi="Times New Roman"/>
                <w:sz w:val="22"/>
              </w:rPr>
              <w:t>$440</w:t>
            </w:r>
          </w:p>
        </w:tc>
      </w:tr>
      <w:tr>
        <w:tc>
          <w:tcPr>
            <w:tcW w:type="dxa" w:w="1872"/>
          </w:tcPr>
          <w:p>
            <w:pPr>
              <w:jc w:val="left"/>
            </w:pPr>
            <w:r>
              <w:rPr>
                <w:rFonts w:ascii="Times New Roman" w:hAnsi="Times New Roman"/>
                <w:sz w:val="22"/>
              </w:rPr>
              <w:t>TTPIP</w:t>
            </w:r>
          </w:p>
        </w:tc>
        <w:tc>
          <w:tcPr>
            <w:tcW w:type="dxa" w:w="1872"/>
          </w:tcPr>
          <w:p>
            <w:pPr>
              <w:jc w:val="center"/>
            </w:pPr>
            <w:r>
              <w:rPr>
                <w:rFonts w:ascii="Times New Roman" w:hAnsi="Times New Roman"/>
                <w:sz w:val="22"/>
              </w:rPr>
              <w:t>Técnicas Innovadoras Pastelería</w:t>
            </w:r>
          </w:p>
        </w:tc>
        <w:tc>
          <w:tcPr>
            <w:tcW w:type="dxa" w:w="1872"/>
          </w:tcPr>
          <w:p>
            <w:pPr>
              <w:jc w:val="center"/>
            </w:pPr>
            <w:r>
              <w:rPr>
                <w:rFonts w:ascii="Times New Roman" w:hAnsi="Times New Roman"/>
                <w:sz w:val="22"/>
              </w:rPr>
              <w:t>40</w:t>
            </w:r>
          </w:p>
        </w:tc>
        <w:tc>
          <w:tcPr>
            <w:tcW w:type="dxa" w:w="1872"/>
          </w:tcPr>
          <w:p>
            <w:pPr>
              <w:jc w:val="center"/>
            </w:pPr>
            <w:r>
              <w:rPr>
                <w:rFonts w:ascii="Times New Roman" w:hAnsi="Times New Roman"/>
                <w:sz w:val="22"/>
              </w:rPr>
              <w:t>$752.045</w:t>
            </w:r>
          </w:p>
        </w:tc>
        <w:tc>
          <w:tcPr>
            <w:tcW w:type="dxa" w:w="1872"/>
          </w:tcPr>
          <w:p>
            <w:pPr>
              <w:jc w:val="center"/>
            </w:pPr>
            <w:r>
              <w:rPr>
                <w:rFonts w:ascii="Times New Roman" w:hAnsi="Times New Roman"/>
                <w:sz w:val="22"/>
              </w:rPr>
              <w:t>$1.106</w:t>
            </w:r>
          </w:p>
        </w:tc>
      </w:tr>
      <w:tr>
        <w:tc>
          <w:tcPr>
            <w:tcW w:type="dxa" w:w="1872"/>
          </w:tcPr>
          <w:p>
            <w:pPr>
              <w:jc w:val="left"/>
            </w:pPr>
            <w:r>
              <w:rPr>
                <w:rFonts w:ascii="Times New Roman" w:hAnsi="Times New Roman"/>
                <w:sz w:val="22"/>
              </w:rPr>
              <w:t>TIC</w:t>
            </w:r>
          </w:p>
        </w:tc>
        <w:tc>
          <w:tcPr>
            <w:tcW w:type="dxa" w:w="1872"/>
          </w:tcPr>
          <w:p>
            <w:pPr>
              <w:jc w:val="center"/>
            </w:pPr>
            <w:r>
              <w:rPr>
                <w:rFonts w:ascii="Times New Roman" w:hAnsi="Times New Roman"/>
                <w:sz w:val="22"/>
              </w:rPr>
              <w:t>Introductorio Cocina</w:t>
            </w:r>
          </w:p>
        </w:tc>
        <w:tc>
          <w:tcPr>
            <w:tcW w:type="dxa" w:w="1872"/>
          </w:tcPr>
          <w:p>
            <w:pPr>
              <w:jc w:val="center"/>
            </w:pPr>
            <w:r>
              <w:rPr>
                <w:rFonts w:ascii="Times New Roman" w:hAnsi="Times New Roman"/>
                <w:sz w:val="22"/>
              </w:rPr>
              <w:t>155</w:t>
            </w:r>
          </w:p>
        </w:tc>
        <w:tc>
          <w:tcPr>
            <w:tcW w:type="dxa" w:w="1872"/>
          </w:tcPr>
          <w:p>
            <w:pPr>
              <w:jc w:val="center"/>
            </w:pPr>
            <w:r>
              <w:rPr>
                <w:rFonts w:ascii="Times New Roman" w:hAnsi="Times New Roman"/>
                <w:sz w:val="22"/>
              </w:rPr>
              <w:t>$723.792</w:t>
            </w:r>
          </w:p>
        </w:tc>
        <w:tc>
          <w:tcPr>
            <w:tcW w:type="dxa" w:w="1872"/>
          </w:tcPr>
          <w:p>
            <w:pPr>
              <w:jc w:val="center"/>
            </w:pPr>
            <w:r>
              <w:rPr>
                <w:rFonts w:ascii="Times New Roman" w:hAnsi="Times New Roman"/>
                <w:sz w:val="22"/>
              </w:rPr>
              <w:t>$275</w:t>
            </w:r>
          </w:p>
        </w:tc>
      </w:tr>
      <w:tr>
        <w:tc>
          <w:tcPr>
            <w:tcW w:type="dxa" w:w="1872"/>
          </w:tcPr>
          <w:p>
            <w:pPr>
              <w:jc w:val="left"/>
            </w:pPr>
            <w:r>
              <w:rPr>
                <w:rFonts w:ascii="Times New Roman" w:hAnsi="Times New Roman"/>
                <w:sz w:val="22"/>
              </w:rPr>
              <w:t>TBS</w:t>
            </w:r>
          </w:p>
        </w:tc>
        <w:tc>
          <w:tcPr>
            <w:tcW w:type="dxa" w:w="1872"/>
          </w:tcPr>
          <w:p>
            <w:pPr>
              <w:jc w:val="center"/>
            </w:pPr>
            <w:r>
              <w:rPr>
                <w:rFonts w:ascii="Times New Roman" w:hAnsi="Times New Roman"/>
                <w:sz w:val="22"/>
              </w:rPr>
              <w:t>Banquetería Salada</w:t>
            </w:r>
          </w:p>
        </w:tc>
        <w:tc>
          <w:tcPr>
            <w:tcW w:type="dxa" w:w="1872"/>
          </w:tcPr>
          <w:p>
            <w:pPr>
              <w:jc w:val="center"/>
            </w:pPr>
            <w:r>
              <w:rPr>
                <w:rFonts w:ascii="Times New Roman" w:hAnsi="Times New Roman"/>
                <w:sz w:val="22"/>
              </w:rPr>
              <w:t>96</w:t>
            </w:r>
          </w:p>
        </w:tc>
        <w:tc>
          <w:tcPr>
            <w:tcW w:type="dxa" w:w="1872"/>
          </w:tcPr>
          <w:p>
            <w:pPr>
              <w:jc w:val="center"/>
            </w:pPr>
            <w:r>
              <w:rPr>
                <w:rFonts w:ascii="Times New Roman" w:hAnsi="Times New Roman"/>
                <w:sz w:val="22"/>
              </w:rPr>
              <w:t>$657.917</w:t>
            </w:r>
          </w:p>
        </w:tc>
        <w:tc>
          <w:tcPr>
            <w:tcW w:type="dxa" w:w="1872"/>
          </w:tcPr>
          <w:p>
            <w:pPr>
              <w:jc w:val="center"/>
            </w:pPr>
            <w:r>
              <w:rPr>
                <w:rFonts w:ascii="Times New Roman" w:hAnsi="Times New Roman"/>
                <w:sz w:val="22"/>
              </w:rPr>
              <w:t>$376</w:t>
            </w:r>
          </w:p>
        </w:tc>
      </w:tr>
      <w:tr>
        <w:tc>
          <w:tcPr>
            <w:tcW w:type="dxa" w:w="1872"/>
          </w:tcPr>
          <w:p>
            <w:pPr>
              <w:jc w:val="left"/>
            </w:pPr>
            <w:r>
              <w:rPr>
                <w:rFonts w:ascii="Times New Roman" w:hAnsi="Times New Roman"/>
                <w:sz w:val="22"/>
              </w:rPr>
              <w:t>TTPIC</w:t>
            </w:r>
          </w:p>
        </w:tc>
        <w:tc>
          <w:tcPr>
            <w:tcW w:type="dxa" w:w="1872"/>
          </w:tcPr>
          <w:p>
            <w:pPr>
              <w:jc w:val="center"/>
            </w:pPr>
            <w:r>
              <w:rPr>
                <w:rFonts w:ascii="Times New Roman" w:hAnsi="Times New Roman"/>
                <w:sz w:val="22"/>
              </w:rPr>
              <w:t>Técnicas Innovadoras Cocina</w:t>
            </w:r>
          </w:p>
        </w:tc>
        <w:tc>
          <w:tcPr>
            <w:tcW w:type="dxa" w:w="1872"/>
          </w:tcPr>
          <w:p>
            <w:pPr>
              <w:jc w:val="center"/>
            </w:pPr>
            <w:r>
              <w:rPr>
                <w:rFonts w:ascii="Times New Roman" w:hAnsi="Times New Roman"/>
                <w:sz w:val="22"/>
              </w:rPr>
              <w:t>40</w:t>
            </w:r>
          </w:p>
        </w:tc>
        <w:tc>
          <w:tcPr>
            <w:tcW w:type="dxa" w:w="1872"/>
          </w:tcPr>
          <w:p>
            <w:pPr>
              <w:jc w:val="center"/>
            </w:pPr>
            <w:r>
              <w:rPr>
                <w:rFonts w:ascii="Times New Roman" w:hAnsi="Times New Roman"/>
                <w:sz w:val="22"/>
              </w:rPr>
              <w:t>$486.289</w:t>
            </w:r>
          </w:p>
        </w:tc>
        <w:tc>
          <w:tcPr>
            <w:tcW w:type="dxa" w:w="1872"/>
          </w:tcPr>
          <w:p>
            <w:pPr>
              <w:jc w:val="center"/>
            </w:pPr>
            <w:r>
              <w:rPr>
                <w:rFonts w:ascii="Times New Roman" w:hAnsi="Times New Roman"/>
                <w:sz w:val="22"/>
              </w:rPr>
              <w:t>$715</w:t>
            </w:r>
          </w:p>
        </w:tc>
      </w:tr>
      <w:tr>
        <w:tc>
          <w:tcPr>
            <w:tcW w:type="dxa" w:w="1872"/>
          </w:tcPr>
          <w:p>
            <w:pPr>
              <w:jc w:val="left"/>
            </w:pPr>
            <w:r>
              <w:rPr>
                <w:rFonts w:ascii="Times New Roman" w:hAnsi="Times New Roman"/>
                <w:sz w:val="22"/>
              </w:rPr>
              <w:t>TPE</w:t>
            </w:r>
          </w:p>
        </w:tc>
        <w:tc>
          <w:tcPr>
            <w:tcW w:type="dxa" w:w="1872"/>
          </w:tcPr>
          <w:p>
            <w:pPr>
              <w:jc w:val="center"/>
            </w:pPr>
            <w:r>
              <w:rPr>
                <w:rFonts w:ascii="Times New Roman" w:hAnsi="Times New Roman"/>
                <w:sz w:val="22"/>
              </w:rPr>
              <w:t>Panadería Especialidad</w:t>
            </w:r>
          </w:p>
        </w:tc>
        <w:tc>
          <w:tcPr>
            <w:tcW w:type="dxa" w:w="1872"/>
          </w:tcPr>
          <w:p>
            <w:pPr>
              <w:jc w:val="center"/>
            </w:pPr>
            <w:r>
              <w:rPr>
                <w:rFonts w:ascii="Times New Roman" w:hAnsi="Times New Roman"/>
                <w:sz w:val="22"/>
              </w:rPr>
              <w:t>76</w:t>
            </w:r>
          </w:p>
        </w:tc>
        <w:tc>
          <w:tcPr>
            <w:tcW w:type="dxa" w:w="1872"/>
          </w:tcPr>
          <w:p>
            <w:pPr>
              <w:jc w:val="center"/>
            </w:pPr>
            <w:r>
              <w:rPr>
                <w:rFonts w:ascii="Times New Roman" w:hAnsi="Times New Roman"/>
                <w:sz w:val="22"/>
              </w:rPr>
              <w:t>$396.225</w:t>
            </w:r>
          </w:p>
        </w:tc>
        <w:tc>
          <w:tcPr>
            <w:tcW w:type="dxa" w:w="1872"/>
          </w:tcPr>
          <w:p>
            <w:pPr>
              <w:jc w:val="center"/>
            </w:pPr>
            <w:r>
              <w:rPr>
                <w:rFonts w:ascii="Times New Roman" w:hAnsi="Times New Roman"/>
                <w:sz w:val="22"/>
              </w:rPr>
              <w:t>$254</w:t>
            </w:r>
          </w:p>
        </w:tc>
      </w:tr>
      <w:tr>
        <w:tc>
          <w:tcPr>
            <w:tcW w:type="dxa" w:w="1872"/>
          </w:tcPr>
          <w:p>
            <w:pPr>
              <w:jc w:val="left"/>
            </w:pPr>
            <w:r>
              <w:rPr>
                <w:rFonts w:ascii="Times New Roman" w:hAnsi="Times New Roman"/>
                <w:sz w:val="22"/>
              </w:rPr>
              <w:t>TOTAL</w:t>
            </w:r>
          </w:p>
        </w:tc>
        <w:tc>
          <w:tcPr>
            <w:tcW w:type="dxa" w:w="1872"/>
          </w:tcPr>
          <w:p>
            <w:pPr>
              <w:jc w:val="center"/>
            </w:pPr>
            <w:r>
              <w:rPr>
                <w:rFonts w:ascii="Times New Roman" w:hAnsi="Times New Roman"/>
                <w:sz w:val="22"/>
              </w:rPr>
              <w:t>9 talleres activos</w:t>
            </w:r>
          </w:p>
        </w:tc>
        <w:tc>
          <w:tcPr>
            <w:tcW w:type="dxa" w:w="1872"/>
          </w:tcPr>
          <w:p>
            <w:pPr>
              <w:jc w:val="center"/>
            </w:pPr>
            <w:r>
              <w:rPr>
                <w:rFonts w:ascii="Times New Roman" w:hAnsi="Times New Roman"/>
                <w:sz w:val="22"/>
              </w:rPr>
              <w:t>775</w:t>
            </w:r>
          </w:p>
        </w:tc>
        <w:tc>
          <w:tcPr>
            <w:tcW w:type="dxa" w:w="1872"/>
          </w:tcPr>
          <w:p>
            <w:pPr>
              <w:jc w:val="center"/>
            </w:pPr>
            <w:r>
              <w:rPr>
                <w:rFonts w:ascii="Times New Roman" w:hAnsi="Times New Roman"/>
                <w:sz w:val="22"/>
              </w:rPr>
              <w:t>$7.075.872</w:t>
            </w:r>
          </w:p>
        </w:tc>
        <w:tc>
          <w:tcPr>
            <w:tcW w:type="dxa" w:w="1872"/>
          </w:tcPr>
          <w:p>
            <w:pPr>
              <w:jc w:val="center"/>
            </w:pPr>
            <w:r>
              <w:rPr>
                <w:rFonts w:ascii="Times New Roman" w:hAnsi="Times New Roman"/>
                <w:sz w:val="22"/>
              </w:rPr>
              <w:t>$328*</w:t>
            </w:r>
          </w:p>
        </w:tc>
      </w:tr>
    </w:tbl>
    <w:p>
      <w:pPr>
        <w:spacing w:before="120" w:after="240"/>
      </w:pPr>
      <w:r>
        <w:rPr>
          <w:rFonts w:ascii="Times New Roman" w:hAnsi="Times New Roman"/>
          <w:i/>
          <w:sz w:val="22"/>
        </w:rPr>
        <w:t xml:space="preserve">Nota. </w:t>
      </w:r>
      <w:r>
        <w:rPr>
          <w:rFonts w:ascii="Times New Roman" w:hAnsi="Times New Roman"/>
          <w:sz w:val="22"/>
        </w:rPr>
        <w:t>* El CPA total es el promedio ponderado. CPA = Costo por Alumno por sesión. Cinco talleres (TMA, TAS, TIR, TMI, TEAC) tienen 360 sesiones registradas sin recetas cargadas, por lo que su costo no está incluido en este análisis.</w:t>
      </w:r>
    </w:p>
    <w:p>
      <w:pPr>
        <w:spacing w:before="480" w:after="0"/>
        <w:jc w:val="left"/>
      </w:pPr>
      <w:r>
        <w:rPr>
          <w:rFonts w:ascii="Times New Roman" w:hAnsi="Times New Roman"/>
          <w:b/>
          <w:sz w:val="24"/>
        </w:rPr>
        <w:t>Distribución Mensual del Gasto</w:t>
      </w:r>
    </w:p>
    <w:p>
      <w:pPr>
        <w:spacing w:line="480" w:lineRule="exact"/>
        <w:ind w:firstLine="720"/>
        <w:jc w:val="both"/>
      </w:pPr>
      <w:r>
        <w:rPr>
          <w:rFonts w:ascii="Times New Roman" w:hAnsi="Times New Roman"/>
          <w:sz w:val="24"/>
        </w:rPr>
        <w:t>La distribución temporal del gasto muestra variaciones mensuales que responden al calendario académico y a la concentración de determinadas asignaturas en ciertos períodos. Mayo registra el mayor gasto ($1.178.684), seguido de marzo ($1.014.475) y junio ($1.076.417). Julio presenta el menor gasto ($348.671), posiblemente asociado a un período de menor actividad académica o pausa invernal.</w:t>
      </w:r>
    </w:p>
    <w:p>
      <w:pPr>
        <w:spacing w:before="240" w:after="0"/>
      </w:pPr>
      <w:r>
        <w:rPr>
          <w:rFonts w:ascii="Times New Roman" w:hAnsi="Times New Roman"/>
          <w:i/>
          <w:sz w:val="24"/>
        </w:rPr>
        <w:t xml:space="preserve">Tabla. </w:t>
      </w:r>
      <w:r>
        <w:rPr>
          <w:rFonts w:ascii="Times New Roman" w:hAnsi="Times New Roman"/>
          <w:sz w:val="24"/>
        </w:rPr>
        <w:t>Distribución mensual del gasto de materia prima, período 2026</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2"/>
              </w:rPr>
              <w:t>Mes</w:t>
            </w:r>
          </w:p>
        </w:tc>
        <w:tc>
          <w:tcPr>
            <w:tcW w:type="dxa" w:w="3120"/>
          </w:tcPr>
          <w:p>
            <w:pPr>
              <w:jc w:val="center"/>
            </w:pPr>
            <w:r>
              <w:rPr>
                <w:rFonts w:ascii="Times New Roman" w:hAnsi="Times New Roman"/>
                <w:b/>
                <w:sz w:val="22"/>
              </w:rPr>
              <w:t>Gasto (CLP)</w:t>
            </w:r>
          </w:p>
        </w:tc>
        <w:tc>
          <w:tcPr>
            <w:tcW w:type="dxa" w:w="3120"/>
          </w:tcPr>
          <w:p>
            <w:pPr>
              <w:jc w:val="center"/>
            </w:pPr>
            <w:r>
              <w:rPr>
                <w:rFonts w:ascii="Times New Roman" w:hAnsi="Times New Roman"/>
                <w:b/>
                <w:sz w:val="22"/>
              </w:rPr>
              <w:t>Participación (%)</w:t>
            </w:r>
          </w:p>
        </w:tc>
      </w:tr>
      <w:tr>
        <w:tc>
          <w:tcPr>
            <w:tcW w:type="dxa" w:w="3120"/>
          </w:tcPr>
          <w:p>
            <w:pPr>
              <w:jc w:val="left"/>
            </w:pPr>
            <w:r>
              <w:rPr>
                <w:rFonts w:ascii="Times New Roman" w:hAnsi="Times New Roman"/>
                <w:sz w:val="22"/>
              </w:rPr>
              <w:t>Marzo</w:t>
            </w:r>
          </w:p>
        </w:tc>
        <w:tc>
          <w:tcPr>
            <w:tcW w:type="dxa" w:w="3120"/>
          </w:tcPr>
          <w:p>
            <w:pPr>
              <w:jc w:val="center"/>
            </w:pPr>
            <w:r>
              <w:rPr>
                <w:rFonts w:ascii="Times New Roman" w:hAnsi="Times New Roman"/>
                <w:sz w:val="22"/>
              </w:rPr>
              <w:t>$1.014.475</w:t>
            </w:r>
          </w:p>
        </w:tc>
        <w:tc>
          <w:tcPr>
            <w:tcW w:type="dxa" w:w="3120"/>
          </w:tcPr>
          <w:p>
            <w:pPr>
              <w:jc w:val="center"/>
            </w:pPr>
            <w:r>
              <w:rPr>
                <w:rFonts w:ascii="Times New Roman" w:hAnsi="Times New Roman"/>
                <w:sz w:val="22"/>
              </w:rPr>
              <w:t>14,3%</w:t>
            </w:r>
          </w:p>
        </w:tc>
      </w:tr>
      <w:tr>
        <w:tc>
          <w:tcPr>
            <w:tcW w:type="dxa" w:w="3120"/>
          </w:tcPr>
          <w:p>
            <w:pPr>
              <w:jc w:val="left"/>
            </w:pPr>
            <w:r>
              <w:rPr>
                <w:rFonts w:ascii="Times New Roman" w:hAnsi="Times New Roman"/>
                <w:sz w:val="22"/>
              </w:rPr>
              <w:t>Abril</w:t>
            </w:r>
          </w:p>
        </w:tc>
        <w:tc>
          <w:tcPr>
            <w:tcW w:type="dxa" w:w="3120"/>
          </w:tcPr>
          <w:p>
            <w:pPr>
              <w:jc w:val="center"/>
            </w:pPr>
            <w:r>
              <w:rPr>
                <w:rFonts w:ascii="Times New Roman" w:hAnsi="Times New Roman"/>
                <w:sz w:val="22"/>
              </w:rPr>
              <w:t>$965.449</w:t>
            </w:r>
          </w:p>
        </w:tc>
        <w:tc>
          <w:tcPr>
            <w:tcW w:type="dxa" w:w="3120"/>
          </w:tcPr>
          <w:p>
            <w:pPr>
              <w:jc w:val="center"/>
            </w:pPr>
            <w:r>
              <w:rPr>
                <w:rFonts w:ascii="Times New Roman" w:hAnsi="Times New Roman"/>
                <w:sz w:val="22"/>
              </w:rPr>
              <w:t>13,6%</w:t>
            </w:r>
          </w:p>
        </w:tc>
      </w:tr>
      <w:tr>
        <w:tc>
          <w:tcPr>
            <w:tcW w:type="dxa" w:w="3120"/>
          </w:tcPr>
          <w:p>
            <w:pPr>
              <w:jc w:val="left"/>
            </w:pPr>
            <w:r>
              <w:rPr>
                <w:rFonts w:ascii="Times New Roman" w:hAnsi="Times New Roman"/>
                <w:sz w:val="22"/>
              </w:rPr>
              <w:t>Mayo</w:t>
            </w:r>
          </w:p>
        </w:tc>
        <w:tc>
          <w:tcPr>
            <w:tcW w:type="dxa" w:w="3120"/>
          </w:tcPr>
          <w:p>
            <w:pPr>
              <w:jc w:val="center"/>
            </w:pPr>
            <w:r>
              <w:rPr>
                <w:rFonts w:ascii="Times New Roman" w:hAnsi="Times New Roman"/>
                <w:sz w:val="22"/>
              </w:rPr>
              <w:t>$1.178.684</w:t>
            </w:r>
          </w:p>
        </w:tc>
        <w:tc>
          <w:tcPr>
            <w:tcW w:type="dxa" w:w="3120"/>
          </w:tcPr>
          <w:p>
            <w:pPr>
              <w:jc w:val="center"/>
            </w:pPr>
            <w:r>
              <w:rPr>
                <w:rFonts w:ascii="Times New Roman" w:hAnsi="Times New Roman"/>
                <w:sz w:val="22"/>
              </w:rPr>
              <w:t>16,7%</w:t>
            </w:r>
          </w:p>
        </w:tc>
      </w:tr>
      <w:tr>
        <w:tc>
          <w:tcPr>
            <w:tcW w:type="dxa" w:w="3120"/>
          </w:tcPr>
          <w:p>
            <w:pPr>
              <w:jc w:val="left"/>
            </w:pPr>
            <w:r>
              <w:rPr>
                <w:rFonts w:ascii="Times New Roman" w:hAnsi="Times New Roman"/>
                <w:sz w:val="22"/>
              </w:rPr>
              <w:t>Junio</w:t>
            </w:r>
          </w:p>
        </w:tc>
        <w:tc>
          <w:tcPr>
            <w:tcW w:type="dxa" w:w="3120"/>
          </w:tcPr>
          <w:p>
            <w:pPr>
              <w:jc w:val="center"/>
            </w:pPr>
            <w:r>
              <w:rPr>
                <w:rFonts w:ascii="Times New Roman" w:hAnsi="Times New Roman"/>
                <w:sz w:val="22"/>
              </w:rPr>
              <w:t>$1.076.417</w:t>
            </w:r>
          </w:p>
        </w:tc>
        <w:tc>
          <w:tcPr>
            <w:tcW w:type="dxa" w:w="3120"/>
          </w:tcPr>
          <w:p>
            <w:pPr>
              <w:jc w:val="center"/>
            </w:pPr>
            <w:r>
              <w:rPr>
                <w:rFonts w:ascii="Times New Roman" w:hAnsi="Times New Roman"/>
                <w:sz w:val="22"/>
              </w:rPr>
              <w:t>15,2%</w:t>
            </w:r>
          </w:p>
        </w:tc>
      </w:tr>
      <w:tr>
        <w:tc>
          <w:tcPr>
            <w:tcW w:type="dxa" w:w="3120"/>
          </w:tcPr>
          <w:p>
            <w:pPr>
              <w:jc w:val="left"/>
            </w:pPr>
            <w:r>
              <w:rPr>
                <w:rFonts w:ascii="Times New Roman" w:hAnsi="Times New Roman"/>
                <w:sz w:val="22"/>
              </w:rPr>
              <w:t>Julio</w:t>
            </w:r>
          </w:p>
        </w:tc>
        <w:tc>
          <w:tcPr>
            <w:tcW w:type="dxa" w:w="3120"/>
          </w:tcPr>
          <w:p>
            <w:pPr>
              <w:jc w:val="center"/>
            </w:pPr>
            <w:r>
              <w:rPr>
                <w:rFonts w:ascii="Times New Roman" w:hAnsi="Times New Roman"/>
                <w:sz w:val="22"/>
              </w:rPr>
              <w:t>$348.671</w:t>
            </w:r>
          </w:p>
        </w:tc>
        <w:tc>
          <w:tcPr>
            <w:tcW w:type="dxa" w:w="3120"/>
          </w:tcPr>
          <w:p>
            <w:pPr>
              <w:jc w:val="center"/>
            </w:pPr>
            <w:r>
              <w:rPr>
                <w:rFonts w:ascii="Times New Roman" w:hAnsi="Times New Roman"/>
                <w:sz w:val="22"/>
              </w:rPr>
              <w:t>4,9%</w:t>
            </w:r>
          </w:p>
        </w:tc>
      </w:tr>
      <w:tr>
        <w:tc>
          <w:tcPr>
            <w:tcW w:type="dxa" w:w="3120"/>
          </w:tcPr>
          <w:p>
            <w:pPr>
              <w:jc w:val="left"/>
            </w:pPr>
            <w:r>
              <w:rPr>
                <w:rFonts w:ascii="Times New Roman" w:hAnsi="Times New Roman"/>
                <w:sz w:val="22"/>
              </w:rPr>
              <w:t>Agosto</w:t>
            </w:r>
          </w:p>
        </w:tc>
        <w:tc>
          <w:tcPr>
            <w:tcW w:type="dxa" w:w="3120"/>
          </w:tcPr>
          <w:p>
            <w:pPr>
              <w:jc w:val="center"/>
            </w:pPr>
            <w:r>
              <w:rPr>
                <w:rFonts w:ascii="Times New Roman" w:hAnsi="Times New Roman"/>
                <w:sz w:val="22"/>
              </w:rPr>
              <w:t>$528.122</w:t>
            </w:r>
          </w:p>
        </w:tc>
        <w:tc>
          <w:tcPr>
            <w:tcW w:type="dxa" w:w="3120"/>
          </w:tcPr>
          <w:p>
            <w:pPr>
              <w:jc w:val="center"/>
            </w:pPr>
            <w:r>
              <w:rPr>
                <w:rFonts w:ascii="Times New Roman" w:hAnsi="Times New Roman"/>
                <w:sz w:val="22"/>
              </w:rPr>
              <w:t>7,5%</w:t>
            </w:r>
          </w:p>
        </w:tc>
      </w:tr>
      <w:tr>
        <w:tc>
          <w:tcPr>
            <w:tcW w:type="dxa" w:w="3120"/>
          </w:tcPr>
          <w:p>
            <w:pPr>
              <w:jc w:val="left"/>
            </w:pPr>
            <w:r>
              <w:rPr>
                <w:rFonts w:ascii="Times New Roman" w:hAnsi="Times New Roman"/>
                <w:sz w:val="22"/>
              </w:rPr>
              <w:t>Septiembre</w:t>
            </w:r>
          </w:p>
        </w:tc>
        <w:tc>
          <w:tcPr>
            <w:tcW w:type="dxa" w:w="3120"/>
          </w:tcPr>
          <w:p>
            <w:pPr>
              <w:jc w:val="center"/>
            </w:pPr>
            <w:r>
              <w:rPr>
                <w:rFonts w:ascii="Times New Roman" w:hAnsi="Times New Roman"/>
                <w:sz w:val="22"/>
              </w:rPr>
              <w:t>$593.151</w:t>
            </w:r>
          </w:p>
        </w:tc>
        <w:tc>
          <w:tcPr>
            <w:tcW w:type="dxa" w:w="3120"/>
          </w:tcPr>
          <w:p>
            <w:pPr>
              <w:jc w:val="center"/>
            </w:pPr>
            <w:r>
              <w:rPr>
                <w:rFonts w:ascii="Times New Roman" w:hAnsi="Times New Roman"/>
                <w:sz w:val="22"/>
              </w:rPr>
              <w:t>8,4%</w:t>
            </w:r>
          </w:p>
        </w:tc>
      </w:tr>
      <w:tr>
        <w:tc>
          <w:tcPr>
            <w:tcW w:type="dxa" w:w="3120"/>
          </w:tcPr>
          <w:p>
            <w:pPr>
              <w:jc w:val="left"/>
            </w:pPr>
            <w:r>
              <w:rPr>
                <w:rFonts w:ascii="Times New Roman" w:hAnsi="Times New Roman"/>
                <w:sz w:val="22"/>
              </w:rPr>
              <w:t>Octubre</w:t>
            </w:r>
          </w:p>
        </w:tc>
        <w:tc>
          <w:tcPr>
            <w:tcW w:type="dxa" w:w="3120"/>
          </w:tcPr>
          <w:p>
            <w:pPr>
              <w:jc w:val="center"/>
            </w:pPr>
            <w:r>
              <w:rPr>
                <w:rFonts w:ascii="Times New Roman" w:hAnsi="Times New Roman"/>
                <w:sz w:val="22"/>
              </w:rPr>
              <w:t>$458.301</w:t>
            </w:r>
          </w:p>
        </w:tc>
        <w:tc>
          <w:tcPr>
            <w:tcW w:type="dxa" w:w="3120"/>
          </w:tcPr>
          <w:p>
            <w:pPr>
              <w:jc w:val="center"/>
            </w:pPr>
            <w:r>
              <w:rPr>
                <w:rFonts w:ascii="Times New Roman" w:hAnsi="Times New Roman"/>
                <w:sz w:val="22"/>
              </w:rPr>
              <w:t>6,5%</w:t>
            </w:r>
          </w:p>
        </w:tc>
      </w:tr>
      <w:tr>
        <w:tc>
          <w:tcPr>
            <w:tcW w:type="dxa" w:w="3120"/>
          </w:tcPr>
          <w:p>
            <w:pPr>
              <w:jc w:val="left"/>
            </w:pPr>
            <w:r>
              <w:rPr>
                <w:rFonts w:ascii="Times New Roman" w:hAnsi="Times New Roman"/>
                <w:sz w:val="22"/>
              </w:rPr>
              <w:t>Noviembre</w:t>
            </w:r>
          </w:p>
        </w:tc>
        <w:tc>
          <w:tcPr>
            <w:tcW w:type="dxa" w:w="3120"/>
          </w:tcPr>
          <w:p>
            <w:pPr>
              <w:jc w:val="center"/>
            </w:pPr>
            <w:r>
              <w:rPr>
                <w:rFonts w:ascii="Times New Roman" w:hAnsi="Times New Roman"/>
                <w:sz w:val="22"/>
              </w:rPr>
              <w:t>$588.237</w:t>
            </w:r>
          </w:p>
        </w:tc>
        <w:tc>
          <w:tcPr>
            <w:tcW w:type="dxa" w:w="3120"/>
          </w:tcPr>
          <w:p>
            <w:pPr>
              <w:jc w:val="center"/>
            </w:pPr>
            <w:r>
              <w:rPr>
                <w:rFonts w:ascii="Times New Roman" w:hAnsi="Times New Roman"/>
                <w:sz w:val="22"/>
              </w:rPr>
              <w:t>8,3%</w:t>
            </w:r>
          </w:p>
        </w:tc>
      </w:tr>
      <w:tr>
        <w:tc>
          <w:tcPr>
            <w:tcW w:type="dxa" w:w="3120"/>
          </w:tcPr>
          <w:p>
            <w:pPr>
              <w:jc w:val="left"/>
            </w:pPr>
            <w:r>
              <w:rPr>
                <w:rFonts w:ascii="Times New Roman" w:hAnsi="Times New Roman"/>
                <w:sz w:val="22"/>
              </w:rPr>
              <w:t>Diciembre</w:t>
            </w:r>
          </w:p>
        </w:tc>
        <w:tc>
          <w:tcPr>
            <w:tcW w:type="dxa" w:w="3120"/>
          </w:tcPr>
          <w:p>
            <w:pPr>
              <w:jc w:val="center"/>
            </w:pPr>
            <w:r>
              <w:rPr>
                <w:rFonts w:ascii="Times New Roman" w:hAnsi="Times New Roman"/>
                <w:sz w:val="22"/>
              </w:rPr>
              <w:t>$324.365</w:t>
            </w:r>
          </w:p>
        </w:tc>
        <w:tc>
          <w:tcPr>
            <w:tcW w:type="dxa" w:w="3120"/>
          </w:tcPr>
          <w:p>
            <w:pPr>
              <w:jc w:val="center"/>
            </w:pPr>
            <w:r>
              <w:rPr>
                <w:rFonts w:ascii="Times New Roman" w:hAnsi="Times New Roman"/>
                <w:sz w:val="22"/>
              </w:rPr>
              <w:t>4,6%</w:t>
            </w:r>
          </w:p>
        </w:tc>
      </w:tr>
      <w:tr>
        <w:tc>
          <w:tcPr>
            <w:tcW w:type="dxa" w:w="3120"/>
          </w:tcPr>
          <w:p>
            <w:pPr>
              <w:jc w:val="left"/>
            </w:pPr>
            <w:r>
              <w:rPr>
                <w:rFonts w:ascii="Times New Roman" w:hAnsi="Times New Roman"/>
                <w:sz w:val="22"/>
              </w:rPr>
              <w:t>TOTAL</w:t>
            </w:r>
          </w:p>
        </w:tc>
        <w:tc>
          <w:tcPr>
            <w:tcW w:type="dxa" w:w="3120"/>
          </w:tcPr>
          <w:p>
            <w:pPr>
              <w:jc w:val="center"/>
            </w:pPr>
            <w:r>
              <w:rPr>
                <w:rFonts w:ascii="Times New Roman" w:hAnsi="Times New Roman"/>
                <w:sz w:val="22"/>
              </w:rPr>
              <w:t>$7.075.872</w:t>
            </w:r>
          </w:p>
        </w:tc>
        <w:tc>
          <w:tcPr>
            <w:tcW w:type="dxa" w:w="3120"/>
          </w:tcPr>
          <w:p>
            <w:pPr>
              <w:jc w:val="center"/>
            </w:pPr>
            <w:r>
              <w:rPr>
                <w:rFonts w:ascii="Times New Roman" w:hAnsi="Times New Roman"/>
                <w:sz w:val="22"/>
              </w:rPr>
              <w:t>100,0%</w:t>
            </w:r>
          </w:p>
        </w:tc>
      </w:tr>
    </w:tbl>
    <w:p>
      <w:pPr>
        <w:spacing w:before="120" w:after="240"/>
      </w:pPr>
      <w:r>
        <w:rPr>
          <w:rFonts w:ascii="Times New Roman" w:hAnsi="Times New Roman"/>
          <w:i/>
          <w:sz w:val="22"/>
        </w:rPr>
        <w:t xml:space="preserve">Nota. </w:t>
      </w:r>
      <w:r>
        <w:rPr>
          <w:rFonts w:ascii="Times New Roman" w:hAnsi="Times New Roman"/>
          <w:sz w:val="22"/>
        </w:rPr>
        <w:t>Los valores reflejan el gasto real registrado en el sistema según las recetas ingresadas por sesión.</w:t>
      </w:r>
    </w:p>
    <w:p>
      <w:pPr>
        <w:spacing w:before="480" w:after="0"/>
        <w:jc w:val="center"/>
      </w:pPr>
      <w:r>
        <w:rPr>
          <w:rFonts w:ascii="Times New Roman" w:hAnsi="Times New Roman"/>
          <w:b/>
          <w:sz w:val="24"/>
        </w:rPr>
        <w:t>DISCUSIÓN</w:t>
      </w:r>
    </w:p>
    <w:p>
      <w:pPr>
        <w:spacing w:line="480" w:lineRule="exact"/>
        <w:ind w:firstLine="720"/>
        <w:jc w:val="both"/>
      </w:pPr>
      <w:r>
        <w:rPr>
          <w:rFonts w:ascii="Times New Roman" w:hAnsi="Times New Roman"/>
          <w:sz w:val="24"/>
        </w:rPr>
        <w:t>Los resultados obtenidos permiten establecer un punto de referencia cuantitativo para la gestión presupuestaria de los talleres culinarios del Instituto Culinary. El costo promedio de $328 CLP por alumno por sesión constituye una métrica útil para la planificación de presupuestos futuros y para la evaluación de la eficiencia en el uso de insumos.</w:t>
      </w:r>
    </w:p>
    <w:p>
      <w:pPr>
        <w:spacing w:line="480" w:lineRule="exact"/>
        <w:ind w:firstLine="720"/>
        <w:jc w:val="both"/>
      </w:pPr>
      <w:r>
        <w:rPr>
          <w:rFonts w:ascii="Times New Roman" w:hAnsi="Times New Roman"/>
          <w:sz w:val="24"/>
        </w:rPr>
        <w:t>La concentración del gasto en abarrotes, lácteos y chocolates (57,9% del total) sugiere que las estrategias de reducción de costos deberían focalizarse en estos grupos. Negociaciones con proveedores para compras por volumen, el uso de productos sustitutos o la optimización de recetas podrían tener un impacto significativo en el costo total de operación.</w:t>
      </w:r>
    </w:p>
    <w:p>
      <w:pPr>
        <w:spacing w:line="480" w:lineRule="exact"/>
        <w:ind w:firstLine="720"/>
        <w:jc w:val="both"/>
      </w:pPr>
      <w:r>
        <w:rPr>
          <w:rFonts w:ascii="Times New Roman" w:hAnsi="Times New Roman"/>
          <w:sz w:val="24"/>
        </w:rPr>
        <w:t>La disparidad entre el costo por alumno de los talleres avanzados (TTPIP: $1.106, TBD: $909) y los talleres introductorios (TIC: $275, TPE: $254) es esperable dado el nivel de especialización de los ingredientes. Sin embargo, este análisis permite identificar los talleres donde el costo de insumos podría representar una barrera para la sustentabilidad del programa, especialmente si los aranceles no reflejan estos costos diferenciados.</w:t>
      </w:r>
    </w:p>
    <w:p>
      <w:pPr>
        <w:spacing w:line="480" w:lineRule="exact"/>
        <w:ind w:firstLine="720"/>
        <w:jc w:val="both"/>
      </w:pPr>
      <w:r>
        <w:rPr>
          <w:rFonts w:ascii="Times New Roman" w:hAnsi="Times New Roman"/>
          <w:sz w:val="24"/>
        </w:rPr>
        <w:t>Una limitación relevante del análisis actual es que cinco tipos de taller (TMA, TAS, TIR, TMI y TEAC), que representan el 31,7% de las sesiones totales (360 de 1.135), no tienen recetas registradas en el sistema. Esto impide una visión completa del gasto institucional y subestima el costo total real. La incorporación de estos registros es la prioridad más urgente para mejorar la representatividad del sistema.</w:t>
      </w:r>
    </w:p>
    <w:p>
      <w:pPr>
        <w:spacing w:before="480" w:after="0"/>
        <w:jc w:val="center"/>
      </w:pPr>
      <w:r>
        <w:rPr>
          <w:rFonts w:ascii="Times New Roman" w:hAnsi="Times New Roman"/>
          <w:b/>
          <w:sz w:val="24"/>
        </w:rPr>
        <w:t>CONCLUSIONES</w:t>
      </w:r>
    </w:p>
    <w:p>
      <w:pPr>
        <w:spacing w:line="480" w:lineRule="exact"/>
        <w:ind w:firstLine="720"/>
        <w:jc w:val="both"/>
      </w:pPr>
      <w:r>
        <w:rPr>
          <w:rFonts w:ascii="Times New Roman" w:hAnsi="Times New Roman"/>
          <w:sz w:val="24"/>
        </w:rPr>
        <w:t>El Sistema de Costos Gastronómicos del Instituto Culinary representa un avance significativo en la gestión de información académico-administrativa de la institución. Su implementación permitió centralizar datos que antes se manejaban de forma dispersa en planillas individuales, generando un registro único, auditable y actualizable en tiempo real.</w:t>
      </w:r>
    </w:p>
    <w:p>
      <w:pPr>
        <w:spacing w:line="480" w:lineRule="exact"/>
        <w:ind w:firstLine="720"/>
        <w:jc w:val="both"/>
      </w:pPr>
      <w:r>
        <w:rPr>
          <w:rFonts w:ascii="Times New Roman" w:hAnsi="Times New Roman"/>
          <w:sz w:val="24"/>
        </w:rPr>
        <w:t>Los principales logros del sistema son: (a) la carga completa del período 2026 con 179 OPs únicas, 1.135 registros de sesión y 23.213 registros de ingredientes-sesión; (b) el cálculo automático y consistente del costo por sesión y por alumno, validado contra el Excel de referencia con una concordancia del 100%; y (c) la disponibilidad de un dashboard interactivo con filtros, gráficos y exportación de datos para la toma de decisiones.</w:t>
      </w:r>
    </w:p>
    <w:p>
      <w:pPr>
        <w:spacing w:line="480" w:lineRule="exact"/>
        <w:ind w:firstLine="720"/>
        <w:jc w:val="both"/>
      </w:pPr>
      <w:r>
        <w:rPr>
          <w:rFonts w:ascii="Times New Roman" w:hAnsi="Times New Roman"/>
          <w:sz w:val="24"/>
        </w:rPr>
        <w:t>Como trabajo futuro, se recomienda: completar la carga de recetas para los cinco talleres sin datos; vincular las sesiones con las semanas del calendario académico para habilitar análisis por semana; incorporar un módulo de presupuesto vs. real; y considerar la extensión del sistema a otras sedes del Instituto para generar comparativas institucionales.</w:t>
      </w:r>
    </w:p>
    <w:p>
      <w:pPr>
        <w:spacing w:before="480" w:after="0"/>
        <w:jc w:val="center"/>
      </w:pPr>
      <w:r>
        <w:rPr>
          <w:rFonts w:ascii="Times New Roman" w:hAnsi="Times New Roman"/>
          <w:b/>
          <w:sz w:val="24"/>
        </w:rPr>
        <w:t>REFERENCIAS</w:t>
      </w:r>
    </w:p>
    <w:p>
      <w:pPr>
        <w:spacing w:line="480" w:lineRule="exact" w:before="0" w:after="0"/>
        <w:ind w:left="720" w:hanging="720"/>
        <w:jc w:val="both"/>
      </w:pPr>
      <w:r>
        <w:rPr>
          <w:rFonts w:ascii="Times New Roman" w:hAnsi="Times New Roman"/>
          <w:sz w:val="24"/>
        </w:rPr>
        <w:t xml:space="preserve">Labensky, S. R., Hause, A. M., &amp; Labensky, S. R. (2019). </w:t>
      </w:r>
      <w:r>
        <w:rPr>
          <w:rFonts w:ascii="Times New Roman" w:hAnsi="Times New Roman"/>
          <w:i/>
          <w:sz w:val="24"/>
        </w:rPr>
        <w:t>On cooking: A textbook of culinary fundamentals</w:t>
      </w:r>
      <w:r>
        <w:rPr>
          <w:rFonts w:ascii="Times New Roman" w:hAnsi="Times New Roman"/>
          <w:sz w:val="24"/>
        </w:rPr>
        <w:t xml:space="preserve"> (6.ª ed.). Pearson.</w:t>
      </w:r>
    </w:p>
    <w:p>
      <w:pPr>
        <w:spacing w:line="480" w:lineRule="exact" w:before="0" w:after="0"/>
        <w:ind w:left="720" w:hanging="720"/>
        <w:jc w:val="both"/>
      </w:pPr>
      <w:r>
        <w:rPr>
          <w:rFonts w:ascii="Times New Roman" w:hAnsi="Times New Roman"/>
          <w:sz w:val="24"/>
        </w:rPr>
        <w:t xml:space="preserve">Ninemeier, J. D., &amp; Hayes, D. K. (2006). </w:t>
      </w:r>
      <w:r>
        <w:rPr>
          <w:rFonts w:ascii="Times New Roman" w:hAnsi="Times New Roman"/>
          <w:i/>
          <w:sz w:val="24"/>
        </w:rPr>
        <w:t>Restaurant operations management: Principles and practices</w:t>
      </w:r>
      <w:r>
        <w:rPr>
          <w:rFonts w:ascii="Times New Roman" w:hAnsi="Times New Roman"/>
          <w:sz w:val="24"/>
        </w:rPr>
        <w:t>. Pearson Prentice Hall.</w:t>
      </w:r>
    </w:p>
    <w:p>
      <w:pPr>
        <w:spacing w:line="480" w:lineRule="exact" w:before="0" w:after="0"/>
        <w:ind w:left="720" w:hanging="720"/>
        <w:jc w:val="both"/>
      </w:pPr>
      <w:r>
        <w:rPr>
          <w:rFonts w:ascii="Times New Roman" w:hAnsi="Times New Roman"/>
          <w:sz w:val="24"/>
        </w:rPr>
        <w:t xml:space="preserve">O'Brien, J. A., &amp; Marakas, G. M. (2020). </w:t>
      </w:r>
      <w:r>
        <w:rPr>
          <w:rFonts w:ascii="Times New Roman" w:hAnsi="Times New Roman"/>
          <w:i/>
          <w:sz w:val="24"/>
        </w:rPr>
        <w:t>Introduction to information systems</w:t>
      </w:r>
      <w:r>
        <w:rPr>
          <w:rFonts w:ascii="Times New Roman" w:hAnsi="Times New Roman"/>
          <w:sz w:val="24"/>
        </w:rPr>
        <w:t xml:space="preserve"> (16.ª ed.). McGraw-Hill.</w:t>
      </w:r>
    </w:p>
    <w:p>
      <w:pPr>
        <w:spacing w:line="480" w:lineRule="exact" w:before="0" w:after="0"/>
        <w:ind w:left="720" w:hanging="720"/>
        <w:jc w:val="both"/>
      </w:pPr>
      <w:r>
        <w:rPr>
          <w:rFonts w:ascii="Times New Roman" w:hAnsi="Times New Roman"/>
          <w:sz w:val="24"/>
        </w:rPr>
        <w:t xml:space="preserve">Supabase. (2024). </w:t>
      </w:r>
      <w:r>
        <w:rPr>
          <w:rFonts w:ascii="Times New Roman" w:hAnsi="Times New Roman"/>
          <w:i/>
          <w:sz w:val="24"/>
        </w:rPr>
        <w:t>Supabase documentation: PostgREST API</w:t>
      </w:r>
      <w:r>
        <w:rPr>
          <w:rFonts w:ascii="Times New Roman" w:hAnsi="Times New Roman"/>
          <w:sz w:val="24"/>
        </w:rPr>
        <w:t>. https://supabase.com/docs/guides/api</w:t>
      </w:r>
    </w:p>
    <w:p>
      <w:pPr>
        <w:spacing w:line="480" w:lineRule="exact" w:before="0" w:after="0"/>
        <w:ind w:left="720" w:hanging="720"/>
        <w:jc w:val="both"/>
      </w:pPr>
      <w:r>
        <w:rPr>
          <w:rFonts w:ascii="Times New Roman" w:hAnsi="Times New Roman"/>
          <w:sz w:val="24"/>
        </w:rPr>
        <w:t xml:space="preserve">Instituto Culinary. (2026). </w:t>
      </w:r>
      <w:r>
        <w:rPr>
          <w:rFonts w:ascii="Times New Roman" w:hAnsi="Times New Roman"/>
          <w:i/>
          <w:sz w:val="24"/>
        </w:rPr>
        <w:t>Dashboard Culinary Depurado Santiago.xlsx</w:t>
      </w:r>
      <w:r>
        <w:rPr>
          <w:rFonts w:ascii="Times New Roman" w:hAnsi="Times New Roman"/>
          <w:sz w:val="24"/>
        </w:rPr>
        <w:t xml:space="preserve"> [Archivo de datos internos]. Santiago, Chile: Instituto Culinary.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t>SISTEMA DE COSTOS GASTRONÓMICOS — INSTITUTO CULINARY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