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gated M3/M1 inference, and an open benchmark against Canadian FWI and INPE</w:t>
      </w:r>
    </w:p>
    <w:p>
      <w:pPr>
        <w:pStyle w:val="Date"/>
      </w:pPr>
      <w:r>
        <w:t xml:space="preserve">2026-10-26</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M1 as a fallback for cells without fire history; propagation uses a causal t-1 kernel. A zero-copy Polars/DuckDB pipeline scores 400,006 1-km² cells, and a reproducible harness combines grouped-by-date bootstrap, 50-km spatial blocks, lead-time and cost-loss analyses. In the 2024–2025 held-out test (1,813,966 task cell-days), M3 reaches ROC-AUC 0.7851/0.7485 (Chaco/Oriental), versus 0.5185/0.5569 for full Canadian FWI and 0.5386/0.4994 for INPE; propagation reaches 0.8989/0.7799. Population-level ignition precision is only 0.062 %/0.206 %, so the system is a nowcast and prioritisation tool, not a stand-alone warning system. M3 loses spatial transferability (0.6243/0.5754), whereas M1 is more robust (0.6338/0.6176), motivating the fallback. Code and data are archived with DOIs.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blind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biophysical model (M1)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Gated M3/M1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M1 is a biophysical LightGBM model with weather and fuel only. In the operational layer, M3 is used for cells with observed fire history (</w:t>
      </w:r>
      <w:r>
        <w:rPr>
          <w:rStyle w:val="VerbatimChar"/>
        </w:rPr>
        <w:t xml:space="preserve">freq_hist_1km &gt; 0</w:t>
      </w:r>
      <w:r>
        <w:t xml:space="preserve">) and M1 is used as a fallback for cells without history.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17 weather and fuel variables, M2 adds the ecotone and a 25-km historical anchor (24 variables), and M3 adds local density, annual-cycle and accessibility terms (33 variables in Chaco and 34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it is not a post-hoc override of M3.</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541073"/>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54107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M3/M1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MapBiomas Collection 2 (2023) fuel fractions;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62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4" w:name="results"/>
    <w:p>
      <w:pPr>
        <w:pStyle w:val="Heading1"/>
      </w:pPr>
      <w:r>
        <w:t xml:space="preserve">3. Results</w:t>
      </w:r>
    </w:p>
    <w:bookmarkStart w:id="29" w:name="held-out-temporal-test"/>
    <w:p>
      <w:pPr>
        <w:pStyle w:val="Heading2"/>
      </w:pPr>
      <w:r>
        <w:t xml:space="preserve">3.1 Held-out temporal test</w:t>
      </w:r>
    </w:p>
    <w:p>
      <w:pPr>
        <w:pStyle w:val="FirstParagraph"/>
      </w:pPr>
      <w:hyperlink w:anchor="tbl-test">
        <w:r>
          <w:rPr>
            <w:rStyle w:val="Hyperlink"/>
          </w:rPr>
          <w:t xml:space="preserve">Table 1</w:t>
        </w:r>
      </w:hyperlink>
      <w:r>
        <w:t xml:space="preserve"> </w:t>
      </w:r>
      <w:r>
        <w:t xml:space="preserve">reports the blind test. M3 reaches ROC-AUC 0.7851 in the Chaco and 0.7485 in the Oriental Region. Propagation reaches 0.8989/0.7799. Case-control F0.5 precision is 27.54 %/29.67 % for ignition and 84.94 %/62.42 %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1: Blind D2 test (2024–2025; 1,813,966 task cell-days in total: 376,552 ignition and 1,437,414 propagation). Precision and recall are case-control (9.09 % prevalence) at the F0.5 cutoff.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0.7851 [0.779–0.791]</w:t>
                  </w:r>
                </w:p>
              </w:tc>
              <w:tc>
                <w:tcPr/>
                <w:p>
                  <w:pPr>
                    <w:pStyle w:val="Compact"/>
                    <w:jc w:val="right"/>
                    <w:jc w:val="center"/>
                  </w:pPr>
                  <w:r>
                    <w:t xml:space="preserve">0.2410</w:t>
                  </w:r>
                </w:p>
              </w:tc>
              <w:tc>
                <w:tcPr/>
                <w:p>
                  <w:pPr>
                    <w:pStyle w:val="Compact"/>
                    <w:jc w:val="right"/>
                    <w:jc w:val="center"/>
                  </w:pPr>
                  <w:r>
                    <w:t xml:space="preserve">27.54</w:t>
                  </w:r>
                </w:p>
              </w:tc>
              <w:tc>
                <w:tcPr/>
                <w:p>
                  <w:pPr>
                    <w:pStyle w:val="Compact"/>
                    <w:jc w:val="right"/>
                    <w:jc w:val="center"/>
                  </w:pPr>
                  <w:r>
                    <w:t xml:space="preserve">30.80</w:t>
                  </w:r>
                </w:p>
              </w:tc>
              <w:tc>
                <w:tcPr/>
                <w:p>
                  <w:pPr>
                    <w:pStyle w:val="Compact"/>
                    <w:jc w:val="right"/>
                    <w:jc w:val="center"/>
                  </w:pPr>
                  <w:r>
                    <w:t xml:space="preserve">13,011</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0.7733 [0.768–0.780]</w:t>
                  </w:r>
                </w:p>
              </w:tc>
              <w:tc>
                <w:tcPr/>
                <w:p>
                  <w:pPr>
                    <w:pStyle w:val="Compact"/>
                    <w:jc w:val="right"/>
                    <w:jc w:val="center"/>
                  </w:pPr>
                  <w:r>
                    <w:t xml:space="preserve">0.2148</w:t>
                  </w:r>
                </w:p>
              </w:tc>
              <w:tc>
                <w:tcPr/>
                <w:p>
                  <w:pPr>
                    <w:pStyle w:val="Compact"/>
                    <w:jc w:val="right"/>
                    <w:jc w:val="center"/>
                  </w:pPr>
                  <w:r>
                    <w:t xml:space="preserve">23.10</w:t>
                  </w:r>
                </w:p>
              </w:tc>
              <w:tc>
                <w:tcPr/>
                <w:p>
                  <w:pPr>
                    <w:pStyle w:val="Compact"/>
                    <w:jc w:val="right"/>
                    <w:jc w:val="center"/>
                  </w:pPr>
                  <w:r>
                    <w:t xml:space="preserve">40.08</w:t>
                  </w:r>
                </w:p>
              </w:tc>
              <w:tc>
                <w:tcPr/>
                <w:p>
                  <w:pPr>
                    <w:pStyle w:val="Compact"/>
                    <w:jc w:val="right"/>
                    <w:jc w:val="center"/>
                  </w:pPr>
                  <w:r>
                    <w:t xml:space="preserve">21,425</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0.8989 [0.894–0.904]</w:t>
                  </w:r>
                </w:p>
              </w:tc>
              <w:tc>
                <w:tcPr/>
                <w:p>
                  <w:pPr>
                    <w:pStyle w:val="Compact"/>
                    <w:jc w:val="right"/>
                    <w:jc w:val="center"/>
                  </w:pPr>
                  <w:r>
                    <w:t xml:space="preserve">0.6831</w:t>
                  </w:r>
                </w:p>
              </w:tc>
              <w:tc>
                <w:tcPr/>
                <w:p>
                  <w:pPr>
                    <w:pStyle w:val="Compact"/>
                    <w:jc w:val="right"/>
                    <w:jc w:val="center"/>
                  </w:pPr>
                  <w:r>
                    <w:t xml:space="preserve">84.94</w:t>
                  </w:r>
                </w:p>
              </w:tc>
              <w:tc>
                <w:tcPr/>
                <w:p>
                  <w:pPr>
                    <w:pStyle w:val="Compact"/>
                    <w:jc w:val="right"/>
                    <w:jc w:val="center"/>
                  </w:pPr>
                  <w:r>
                    <w:t xml:space="preserve">50.33</w:t>
                  </w:r>
                </w:p>
              </w:tc>
              <w:tc>
                <w:tcPr/>
                <w:p>
                  <w:pPr>
                    <w:pStyle w:val="Compact"/>
                    <w:jc w:val="right"/>
                    <w:jc w:val="center"/>
                  </w:pPr>
                  <w:r>
                    <w:t xml:space="preserve">4,677</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0.7485 [0.742–0.754]</w:t>
                  </w:r>
                </w:p>
              </w:tc>
              <w:tc>
                <w:tcPr/>
                <w:p>
                  <w:pPr>
                    <w:pStyle w:val="Compact"/>
                    <w:jc w:val="right"/>
                    <w:jc w:val="center"/>
                  </w:pPr>
                  <w:r>
                    <w:t xml:space="preserve">0.2318</w:t>
                  </w:r>
                </w:p>
              </w:tc>
              <w:tc>
                <w:tcPr/>
                <w:p>
                  <w:pPr>
                    <w:pStyle w:val="Compact"/>
                    <w:jc w:val="right"/>
                    <w:jc w:val="center"/>
                  </w:pPr>
                  <w:r>
                    <w:t xml:space="preserve">29.67</w:t>
                  </w:r>
                </w:p>
              </w:tc>
              <w:tc>
                <w:tcPr/>
                <w:p>
                  <w:pPr>
                    <w:pStyle w:val="Compact"/>
                    <w:jc w:val="right"/>
                    <w:jc w:val="center"/>
                  </w:pPr>
                  <w:r>
                    <w:t xml:space="preserve">20.40</w:t>
                  </w:r>
                </w:p>
              </w:tc>
              <w:tc>
                <w:tcPr/>
                <w:p>
                  <w:pPr>
                    <w:pStyle w:val="Compact"/>
                    <w:jc w:val="right"/>
                    <w:jc w:val="center"/>
                  </w:pPr>
                  <w:r>
                    <w:t xml:space="preserve">8,787</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0.7324 [0.727–0.738]</w:t>
                  </w:r>
                </w:p>
              </w:tc>
              <w:tc>
                <w:tcPr/>
                <w:p>
                  <w:pPr>
                    <w:pStyle w:val="Compact"/>
                    <w:jc w:val="right"/>
                    <w:jc w:val="center"/>
                  </w:pPr>
                  <w:r>
                    <w:t xml:space="preserve">0.2036</w:t>
                  </w:r>
                </w:p>
              </w:tc>
              <w:tc>
                <w:tcPr/>
                <w:p>
                  <w:pPr>
                    <w:pStyle w:val="Compact"/>
                    <w:jc w:val="right"/>
                    <w:jc w:val="center"/>
                  </w:pPr>
                  <w:r>
                    <w:t xml:space="preserve">24.49</w:t>
                  </w:r>
                </w:p>
              </w:tc>
              <w:tc>
                <w:tcPr/>
                <w:p>
                  <w:pPr>
                    <w:pStyle w:val="Compact"/>
                    <w:jc w:val="right"/>
                    <w:jc w:val="center"/>
                  </w:pPr>
                  <w:r>
                    <w:t xml:space="preserve">21.52</w:t>
                  </w:r>
                </w:p>
              </w:tc>
              <w:tc>
                <w:tcPr/>
                <w:p>
                  <w:pPr>
                    <w:pStyle w:val="Compact"/>
                    <w:jc w:val="right"/>
                    <w:jc w:val="center"/>
                  </w:pPr>
                  <w:r>
                    <w:t xml:space="preserve">12,060</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0.7799 [0.773–0.788]</w:t>
                  </w:r>
                </w:p>
              </w:tc>
              <w:tc>
                <w:tcPr/>
                <w:p>
                  <w:pPr>
                    <w:pStyle w:val="Compact"/>
                    <w:jc w:val="right"/>
                    <w:jc w:val="center"/>
                  </w:pPr>
                  <w:r>
                    <w:t xml:space="preserve">0.3651</w:t>
                  </w:r>
                </w:p>
              </w:tc>
              <w:tc>
                <w:tcPr/>
                <w:p>
                  <w:pPr>
                    <w:pStyle w:val="Compact"/>
                    <w:jc w:val="right"/>
                    <w:jc w:val="center"/>
                  </w:pPr>
                  <w:r>
                    <w:t xml:space="preserve">62.42</w:t>
                  </w:r>
                </w:p>
              </w:tc>
              <w:tc>
                <w:tcPr/>
                <w:p>
                  <w:pPr>
                    <w:pStyle w:val="Compact"/>
                    <w:jc w:val="right"/>
                    <w:jc w:val="center"/>
                  </w:pPr>
                  <w:r>
                    <w:t xml:space="preserve">20.55</w:t>
                  </w:r>
                </w:p>
              </w:tc>
              <w:tc>
                <w:tcPr/>
                <w:p>
                  <w:pPr>
                    <w:pStyle w:val="Compact"/>
                    <w:jc w:val="right"/>
                    <w:jc w:val="center"/>
                  </w:pPr>
                  <w:r>
                    <w:t xml:space="preserve">9,681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the two regions, so the trade-off between the high propagation discrimination and the much lower ignition discrimination is visible without a second benchmark layer. The curves are descriptive; the operating points in</w:t>
      </w:r>
      <w:r>
        <w:t xml:space="preserve"> </w:t>
      </w:r>
      <w:hyperlink w:anchor="tbl-test">
        <w:r>
          <w:rPr>
            <w:rStyle w:val="Hyperlink"/>
          </w:rPr>
          <w:t xml:space="preserve">Table 1</w:t>
        </w:r>
      </w:hyperlink>
      <w:r>
        <w:t xml:space="preserve"> </w:t>
      </w:r>
      <w:r>
        <w:t xml:space="preserve">are the ones used for the alert layer. The ignition ROC curves rise steeply only at relatively high false-positive rates, and the corresponding precision–recall curves remain close to the case-control baseline. The propagation curves are farther from the diagonal in both regions, especially in the Chaco, which is consistent with the stronger event signal in that task. The visual gap between ROC-AUC and PR-AUC is expected at 9.09 % prevalence and is a reminder that a high ROC-AUC can coexist with modest precision. Figure</w:t>
      </w:r>
      <w:r>
        <w:t xml:space="preserve"> </w:t>
      </w:r>
      <w:hyperlink w:anchor="fig-test">
        <w:r>
          <w:rPr>
            <w:rStyle w:val="Hyperlink"/>
          </w:rPr>
          <w:t xml:space="preserve">Figure 3</w:t>
        </w:r>
      </w:hyperlink>
      <w:r>
        <w:t xml:space="preserve"> </w:t>
      </w:r>
      <w:r>
        <w:t xml:space="preserve">therefore complements, rather than replaces, the confidence intervals and operating points in</w:t>
      </w:r>
      <w:r>
        <w:t xml:space="preserve"> </w:t>
      </w:r>
      <w:hyperlink w:anchor="tbl-tes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311400"/>
                  <wp:effectExtent b="0" l="0" r="0" t="0"/>
                  <wp:docPr descr="" title="" id="26" name="Picture"/>
                  <a:graphic>
                    <a:graphicData uri="http://schemas.openxmlformats.org/drawingml/2006/picture">
                      <pic:pic>
                        <pic:nvPicPr>
                          <pic:cNvPr descr="figuras/fig02_curvas_roc_pr_test.png" id="27" name="Picture"/>
                          <pic:cNvPicPr>
                            <a:picLocks noChangeArrowheads="1" noChangeAspect="1"/>
                          </pic:cNvPicPr>
                        </pic:nvPicPr>
                        <pic:blipFill>
                          <a:blip r:embed="rId25"/>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D2 test (2024–2025), by region and task. The ignition curves correspond to M3; propagation uses the causal t-1 layer.</w:t>
            </w:r>
          </w:p>
          <w:bookmarkEnd w:id="28"/>
        </w:tc>
      </w:tr>
    </w:tbl>
    <w:p>
      <w:pPr>
        <w:pStyle w:val="BodyText"/>
      </w:pPr>
      <w:r>
        <w:t xml:space="preserve">Population-level ignition precision is 0.062 % in the Chaco and 0.206 % in the Oriental Region. Propagation precision is 9.96 % and 4.49 %. These values are the relevant ones for operation and are much lower than the case-control values. Relative to prevalence, ignition precision is about 4.1× and 5.0× higher than chance, while propagation precision is about 64× and 21× higher. The absolute precision remains low; the model is therefore a prioritisation and nowcast layer, not a stand-alone alert system.</w:t>
      </w:r>
    </w:p>
    <w:p>
      <w:pPr>
        <w:pStyle w:val="BodyText"/>
      </w:pPr>
      <w:r>
        <w:t xml:space="preserve">M3 reduces case-control false positives relative to M2 in both regions (13,011 vs. 21,425 in Chaco; 8,787 vs. 12,060 in Oriental), but it also has lower recall. The gain is therefore a precision-recall trade-off, not a uniform improvement. The calibration error is 0.0110 in Chaco and 0.0065 in Oriental, comparable to M2 (0.0123 and 0.0052). The test cutoff was 0.203 for Chaco and 0.217 for Oriental for ignition; these values are not directly transferable to another prevalence without prior correction. Confidence intervals are narrow because the test contains tens of thousands of positives, but they describe sampling uncertainty within the held-out period, not uncertainty under future distribution shift. The PR-AUC values are more informative than ROC-AUC under this class balance: ignition PR-AUC is 0.2410/0.2318, whereas propagation reaches 0.6831/0.3651.</w:t>
      </w:r>
    </w:p>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2</w:t>
        </w:r>
      </w:hyperlink>
      <w:r>
        <w:t xml:space="preserve"> </w:t>
      </w:r>
      <w:r>
        <w:t xml:space="preserve">compares M3 with full FWI and INPE on the same blind test. M3 exceeds FWI by ΔROC = +0.2667 in the Chaco and +0.1916 in the Oriental Region, and INPE by +0.2465 and +0.2492.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2: Benchmark on the blind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0.7851</w:t>
                  </w:r>
                </w:p>
              </w:tc>
              <w:tc>
                <w:tcPr/>
                <w:p>
                  <w:pPr>
                    <w:pStyle w:val="Compact"/>
                    <w:jc w:val="right"/>
                    <w:jc w:val="center"/>
                  </w:pPr>
                  <w:r>
                    <w:t xml:space="preserve">0.2410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0.5185</w:t>
                  </w:r>
                </w:p>
              </w:tc>
              <w:tc>
                <w:tcPr/>
                <w:p>
                  <w:pPr>
                    <w:pStyle w:val="Compact"/>
                    <w:jc w:val="right"/>
                    <w:jc w:val="center"/>
                  </w:pPr>
                  <w:r>
                    <w:t xml:space="preserve">0.0960</w:t>
                  </w:r>
                </w:p>
              </w:tc>
              <w:tc>
                <w:tcPr/>
                <w:p>
                  <w:pPr>
                    <w:pStyle w:val="Compact"/>
                    <w:jc w:val="right"/>
                    <w:jc w:val="center"/>
                  </w:pPr>
                  <w:r>
                    <w:t xml:space="preserve">+0.2667</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0.5386</w:t>
                  </w:r>
                </w:p>
              </w:tc>
              <w:tc>
                <w:tcPr/>
                <w:p>
                  <w:pPr>
                    <w:pStyle w:val="Compact"/>
                    <w:jc w:val="right"/>
                    <w:jc w:val="center"/>
                  </w:pPr>
                  <w:r>
                    <w:t xml:space="preserve">0.1030</w:t>
                  </w:r>
                </w:p>
              </w:tc>
              <w:tc>
                <w:tcPr/>
                <w:p>
                  <w:pPr>
                    <w:pStyle w:val="Compact"/>
                    <w:jc w:val="right"/>
                    <w:jc w:val="center"/>
                  </w:pPr>
                  <w:r>
                    <w:t xml:space="preserve">+0.2465</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0.7485</w:t>
                  </w:r>
                </w:p>
              </w:tc>
              <w:tc>
                <w:tcPr/>
                <w:p>
                  <w:pPr>
                    <w:pStyle w:val="Compact"/>
                    <w:jc w:val="right"/>
                    <w:jc w:val="center"/>
                  </w:pPr>
                  <w:r>
                    <w:t xml:space="preserve">0.2318</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0.5569</w:t>
                  </w:r>
                </w:p>
              </w:tc>
              <w:tc>
                <w:tcPr/>
                <w:p>
                  <w:pPr>
                    <w:pStyle w:val="Compact"/>
                    <w:jc w:val="right"/>
                    <w:jc w:val="center"/>
                  </w:pPr>
                  <w:r>
                    <w:t xml:space="preserve">0.1063</w:t>
                  </w:r>
                </w:p>
              </w:tc>
              <w:tc>
                <w:tcPr/>
                <w:p>
                  <w:pPr>
                    <w:pStyle w:val="Compact"/>
                    <w:jc w:val="right"/>
                    <w:jc w:val="center"/>
                  </w:pPr>
                  <w:r>
                    <w:t xml:space="preserve">+0.1916</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0.4994</w:t>
                  </w:r>
                </w:p>
              </w:tc>
              <w:tc>
                <w:tcPr/>
                <w:p>
                  <w:pPr>
                    <w:pStyle w:val="Compact"/>
                    <w:jc w:val="right"/>
                    <w:jc w:val="center"/>
                  </w:pPr>
                  <w:r>
                    <w:t xml:space="preserve">0.0909</w:t>
                  </w:r>
                </w:p>
              </w:tc>
              <w:tc>
                <w:tcPr/>
                <w:p>
                  <w:pPr>
                    <w:pStyle w:val="Compact"/>
                    <w:jc w:val="right"/>
                    <w:jc w:val="center"/>
                  </w:pPr>
                  <w:r>
                    <w:t xml:space="preserve">+0.2492</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+0.2851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+0.2485</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the Chaco; in the Oriental Region they are also weak and do not improve materially over a climatological baseline. The full FWI has a ROC-AUC of 0.5185/0.5569 and INPE 0.5386/0.4994; neither is competitive with M3 on the same blind dates. The result is not a claim that the indices are universally invalid, but that their transfer to this subtropical system is not supported. FWI and INPE are normalized danger indices, so their apparent operating point depends strongly on the cutoff chosen on validation. In the Chaco, full FWI reaches high recall only at a very low precision, while INPE is conservative in both regions; neither behavior translates into a competitive ranking. The PR-AUC values are close to the 0.09 case-control baseline, which means that the indices add little discrimination beyond chance on these blind dates.</w:t>
      </w:r>
    </w:p>
    <w:p>
      <w:pPr>
        <w:pStyle w:val="BodyText"/>
      </w:pPr>
      <w:r>
        <w:t xml:space="preserve">The controlled ablation confirms the value of the socio-ecological features. With the same capacity, M1 reaches 0.6287/0.6421, M2-v1 reaches 0.7751/0.7340 and M3 reaches 0.7851/0.7485. The M3 gain over M2-v1 is 4.27 precision points in Chaco and 5.76 in Oriental. The complete ablation table is in Supplementary Table S12. TreeSHAP identifies historical distance, dry-forest fraction, accessibility and seasonality as the dominant drivers in Chaco; in Oriental, historical distance and local anthropic concentration dominate. The complete SHAP table and figure are in Supplementary Table S13 and Supplementary Figure S1. The SHAP pattern is consistent with the feature design: distance to historical fire is the first driver in both regions, followed by dry-forest fraction in the Chaco and local anthropic concentration in the Oriental Region. This does not establish causality, but it shows that the model is not relying on a single weather variable. The benchmark is therefore a joint test of representation, target definition and evaluation, not only of the boosting library.</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3911600"/>
                  <wp:effectExtent b="0" l="0" r="0" t="0"/>
                  <wp:docPr descr="" title="" id="32" name="Picture"/>
                  <a:graphic>
                    <a:graphicData uri="http://schemas.openxmlformats.org/drawingml/2006/picture">
                      <pic:pic>
                        <pic:nvPicPr>
                          <pic:cNvPr descr="figuras/fig05_benchmarking_curvas_roc_pr.png" id="33" name="Picture"/>
                          <pic:cNvPicPr>
                            <a:picLocks noChangeArrowheads="1" noChangeAspect="1"/>
                          </pic:cNvPicPr>
                        </pic:nvPicPr>
                        <pic:blipFill>
                          <a:blip r:embed="rId31"/>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hybrid advantage is temporal, not spatial. In the 50-km block holdout, M3 drops to 0.6243 in the Chaco and 0.5754 in the Oriental Region; M1 reaches 0.6338 and 0.6176. In cells with observed history, M3 remains stronger (0.7914/0.7343), confirming that much of its signal is cell-level recurrence.</w:t>
      </w:r>
      <w:r>
        <w:t xml:space="preserve"> </w:t>
      </w:r>
      <w:hyperlink w:anchor="tbl-spatial">
        <w:r>
          <w:rPr>
            <w:rStyle w:val="Hyperlink"/>
          </w:rPr>
          <w:t xml:space="preserve">Table 3</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3: Spatial block validation with 50-km blocks and a 20-km buffer. Held-in values are the reference for cells not excluded from training. Full results are in Supplementary Table S8.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Block-holdout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0.6191</w:t>
                  </w:r>
                </w:p>
              </w:tc>
              <w:tc>
                <w:tcPr/>
                <w:p>
                  <w:pPr>
                    <w:pStyle w:val="Compact"/>
                    <w:jc w:val="right"/>
                    <w:jc w:val="center"/>
                  </w:pPr>
                  <w:r>
                    <w:t xml:space="preserve">0.6338</w:t>
                  </w:r>
                </w:p>
              </w:tc>
              <w:tc>
                <w:tcPr/>
                <w:p>
                  <w:pPr>
                    <w:pStyle w:val="Compact"/>
                    <w:jc w:val="right"/>
                    <w:jc w:val="center"/>
                  </w:pPr>
                  <w:r>
                    <w:t xml:space="preserve">0.1607</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0.7914</w:t>
                  </w:r>
                </w:p>
              </w:tc>
              <w:tc>
                <w:tcPr/>
                <w:p>
                  <w:pPr>
                    <w:pStyle w:val="Compact"/>
                    <w:jc w:val="right"/>
                    <w:jc w:val="center"/>
                  </w:pPr>
                  <w:r>
                    <w:t xml:space="preserve">0.6243</w:t>
                  </w:r>
                </w:p>
              </w:tc>
              <w:tc>
                <w:tcPr/>
                <w:p>
                  <w:pPr>
                    <w:pStyle w:val="Compact"/>
                    <w:jc w:val="right"/>
                    <w:jc w:val="center"/>
                  </w:pPr>
                  <w:r>
                    <w:t xml:space="preserve">0.1410</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0.6335</w:t>
                  </w:r>
                </w:p>
              </w:tc>
              <w:tc>
                <w:tcPr/>
                <w:p>
                  <w:pPr>
                    <w:pStyle w:val="Compact"/>
                    <w:jc w:val="right"/>
                    <w:jc w:val="center"/>
                  </w:pPr>
                  <w:r>
                    <w:t xml:space="preserve">0.6176</w:t>
                  </w:r>
                </w:p>
              </w:tc>
              <w:tc>
                <w:tcPr/>
                <w:p>
                  <w:pPr>
                    <w:pStyle w:val="Compact"/>
                    <w:jc w:val="right"/>
                    <w:jc w:val="center"/>
                  </w:pPr>
                  <w:r>
                    <w:t xml:space="preserve">0.1098</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0.7343</w:t>
                  </w:r>
                </w:p>
              </w:tc>
              <w:tc>
                <w:tcPr/>
                <w:p>
                  <w:pPr>
                    <w:pStyle w:val="Compact"/>
                    <w:jc w:val="right"/>
                    <w:jc w:val="center"/>
                  </w:pPr>
                  <w:r>
                    <w:t xml:space="preserve">0.5754</w:t>
                  </w:r>
                </w:p>
              </w:tc>
              <w:tc>
                <w:tcPr/>
                <w:p>
                  <w:pPr>
                    <w:pStyle w:val="Compact"/>
                    <w:jc w:val="right"/>
                    <w:jc w:val="center"/>
                  </w:pPr>
                  <w:r>
                    <w:t xml:space="preserve">0.0991</w:t>
                  </w:r>
                </w:p>
              </w:tc>
            </w:tr>
          </w:tbl>
          <w:bookmarkEnd w:id="36"/>
          <w:p/>
        </w:tc>
      </w:tr>
    </w:tbl>
    <w:p>
      <w:pPr>
        <w:pStyle w:val="BodyText"/>
      </w:pPr>
      <w:r>
        <w:t xml:space="preserve">The spatial design retains approximately 22.5 % of cells and excludes a 20-km buffer around them during training; priors are recomputed without held-out fires. The gap between held-in and held-out performance is therefore a direct measure of spatial memorization. M3 falls by 0.167 in Chaco and 0.159 in Oriental, whereas M1 changes little (and even improves slightly in Chaco). This is the empirical basis for the fallback: M3 is a temporal model for known cells, not a spatial extrapolator. The result also explains why the held-in values are not evidence of spatial skill. A model that memorizes cell-level recurrence can look excellent on held-in cells and still fail on a neighboring block. The fallback is therefore a structural response to a measured limitation, not a cosmetic threshold. The block design is deliberately harsher than a random split: it removes entire 50-km neighborhoods and the 20-km buffer, so a model cannot use a nearby cell as a proxy for the held-out block. Under that design, M1 is not a high-skill spatial model; its advantage is relative stability, not absolute accuracy. This distinction matters for operation because a fallback that is merely less bad can still be the correct default when no history is available.</w:t>
      </w:r>
    </w:p>
    <w:p>
      <w:pPr>
        <w:pStyle w:val="BodyText"/>
      </w:pPr>
      <w:r>
        <w:t xml:space="preserve">With t-1 weather, M3 retains 0.7841/0.7465 and M1 reaches 0.6222/0.6340. The small drop shows that recurrence priors, not same-day weather, dominate the hybrid signal. This is why the current system is a nowcast/hindcast; a real day-ahead system would require forecast weather. Lead-time details are in Supplementary Table S9.</w:t>
      </w:r>
    </w:p>
    <w:bookmarkEnd w:id="37"/>
    <w:bookmarkStart w:id="42"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1</w:t>
        </w:r>
      </w:hyperlink>
      <w:r>
        <w:t xml:space="preserve"> </w:t>
      </w:r>
      <w:r>
        <w:t xml:space="preserve">and the spatial limitation in</w:t>
      </w:r>
      <w:r>
        <w:t xml:space="preserve"> </w:t>
      </w:r>
      <w:hyperlink w:anchor="tbl-spatial">
        <w:r>
          <w:rPr>
            <w:rStyle w:val="Hyperlink"/>
          </w:rPr>
          <w:t xml:space="preserve">Table 3</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1333"/>
                  <wp:effectExtent b="0" l="0" r="0" t="0"/>
                  <wp:docPr descr="" title="" id="39" name="Picture"/>
                  <a:graphic>
                    <a:graphicData uri="http://schemas.openxmlformats.org/drawingml/2006/picture">
                      <pic:pic>
                        <pic:nvPicPr>
                          <pic:cNvPr descr="figuras/fig03_mapa_riesgo_operativo_nacional.png" id="40" name="Picture"/>
                          <pic:cNvPicPr>
                            <a:picLocks noChangeArrowheads="1" noChangeAspect="1"/>
                          </pic:cNvPicPr>
                        </pic:nvPicPr>
                        <pic:blipFill>
                          <a:blip r:embed="rId3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1"/>
        </w:tc>
      </w:tr>
    </w:tbl>
    <w:bookmarkEnd w:id="42"/>
    <w:bookmarkStart w:id="43"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62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code DOI resolves to the release used for the manuscript, and the data DOI resolves to the archive used for the tables.</w:t>
      </w:r>
    </w:p>
    <w:bookmarkEnd w:id="43"/>
    <w:bookmarkEnd w:id="44"/>
    <w:bookmarkStart w:id="49" w:name="discussion"/>
    <w:p>
      <w:pPr>
        <w:pStyle w:val="Heading1"/>
      </w:pPr>
      <w:r>
        <w:t xml:space="preserve">4. Discussion</w:t>
      </w:r>
    </w:p>
    <w:bookmarkStart w:id="45"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blind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5"/>
    <w:bookmarkStart w:id="46"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M1 is weaker overall but more stable spatially and is therefore the correct fallback for new cells. This is a negative result about the hybrid model, and it is central to the paper: the operational layer should not present M3 as a spatial extrapolator.</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6"/>
    <w:bookmarkStart w:id="47"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blind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7"/>
    <w:bookmarkStart w:id="48"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 static 2023 MapBiomas layer; no annual fuel series is used.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(0.062 %/0.206 %), and cost-loss does not show a clear M3 advantage over M2.</w:t>
      </w:r>
    </w:p>
    <w:p>
      <w:pPr>
        <w:pStyle w:val="Compact"/>
        <w:numPr>
          <w:ilvl w:val="0"/>
          <w:numId w:val="1004"/>
        </w:numPr>
      </w:pPr>
      <w:r>
        <w:t xml:space="preserve">M3 loses spatial transferability; M1 is a fallback, not a solution for extrapolation.</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bookmarkEnd w:id="48"/>
    <w:bookmarkEnd w:id="49"/>
    <w:bookmarkStart w:id="50"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gated M3/M1 architecture provides a temporal nowcast with a spatially robust fallback; and the open harness makes the benchmark auditable. In the Gran Chaco, M3 reaches ROC-AUC 0.7851/0.7485 against 0.5185/0.5569 for full FWI and 0.5386/0.4994 for INPE, but population precision is low and the hybrid advantage does not transfer spatially. M1 is the better choice for new cells, and M3 should be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with DOIs, and the benchmark can be extended to other subtropical regions without changing the target logic.</w:t>
      </w:r>
    </w:p>
    <w:bookmarkEnd w:id="50"/>
    <w:bookmarkStart w:id="52" w:name="data-availability"/>
    <w:p>
      <w:pPr>
        <w:pStyle w:val="Heading1"/>
      </w:pPr>
      <w:r>
        <w:t xml:space="preserve">6. Data availability</w:t>
      </w:r>
    </w:p>
    <w:p>
      <w:pPr>
        <w:pStyle w:val="FirstParagraph"/>
      </w:pPr>
      <w:r>
        <w:t xml:space="preserve">Processed data, test predictions, trained models and derived tables are archived in Zenodo under CC BY 4.0:</w:t>
      </w:r>
      <w:r>
        <w:t xml:space="preserve"> </w:t>
      </w:r>
      <w:hyperlink r:id="rId51">
        <w:r>
          <w:rPr>
            <w:rStyle w:val="Hyperlink"/>
          </w:rPr>
          <w:t xml:space="preserve">10.5281/zenodo.23675279</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fuentes/MANIFIESTO_DATOS_v2.csv</w:t>
      </w:r>
      <w:r>
        <w:t xml:space="preserve">.</w:t>
      </w:r>
    </w:p>
    <w:bookmarkEnd w:id="52"/>
    <w:bookmarkStart w:id="53"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3"/>
    <w:bookmarkStart w:id="54" w:name="funding"/>
    <w:p>
      <w:pPr>
        <w:pStyle w:val="Heading1"/>
      </w:pPr>
      <w:r>
        <w:t xml:space="preserve">8. 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9. 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60"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8">
        <w:r>
          <w:rPr>
            <w:rStyle w:val="Hyperlink"/>
          </w:rPr>
          <w:t xml:space="preserve">https://github.com/sanchezmartin093-code/Incendios_PY</w:t>
        </w:r>
      </w:hyperlink>
      <w:r>
        <w:br/>
      </w:r>
      <w:r>
        <w:rPr>
          <w:b/>
          <w:bCs/>
        </w:rPr>
        <w:t xml:space="preserve">Code DOI:</w:t>
      </w:r>
      <w:r>
        <w:t xml:space="preserve"> </w:t>
      </w:r>
      <w:hyperlink r:id="rId59">
        <w:r>
          <w:rPr>
            <w:rStyle w:val="Hyperlink"/>
          </w:rPr>
          <w:t xml:space="preserve">10.5281/zenodo.23675105</w:t>
        </w:r>
      </w:hyperlink>
      <w:r>
        <w:br/>
      </w:r>
      <w:r>
        <w:rPr>
          <w:b/>
          <w:bCs/>
        </w:rPr>
        <w:t xml:space="preserve">Data DOI:</w:t>
      </w:r>
      <w:r>
        <w:t xml:space="preserve"> </w:t>
      </w:r>
      <w:hyperlink r:id="rId51">
        <w:r>
          <w:rPr>
            <w:rStyle w:val="Hyperlink"/>
          </w:rPr>
          <w:t xml:space="preserve">10.5281/zenodo.23675279</w:t>
        </w:r>
      </w:hyperlink>
      <w:r>
        <w:br/>
      </w:r>
      <w:r>
        <w:rPr>
          <w:b/>
          <w:bCs/>
        </w:rPr>
        <w:t xml:space="preserve">Tests:</w:t>
      </w:r>
      <w:r>
        <w:t xml:space="preserve"> </w:t>
      </w:r>
      <w:r>
        <w:t xml:space="preserve">62 tests pass with</w:t>
      </w:r>
      <w:r>
        <w:t xml:space="preserve"> </w:t>
      </w:r>
      <w:r>
        <w:rPr>
          <w:rStyle w:val="VerbatimChar"/>
        </w:rPr>
        <w:t xml:space="preserve">python -m unittest discover -s tests -p "test_*.py"</w:t>
      </w:r>
      <w:r>
        <w:t xml:space="preserve">.</w:t>
      </w:r>
    </w:p>
    <w:bookmarkEnd w:id="60"/>
    <w:bookmarkStart w:id="99" w:name="references"/>
    <w:p>
      <w:pPr>
        <w:pStyle w:val="Heading1"/>
      </w:pPr>
      <w:r>
        <w:t xml:space="preserve">References</w:t>
      </w:r>
    </w:p>
    <w:bookmarkStart w:id="98" w:name="refs"/>
    <w:bookmarkStart w:id="6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1">
        <w:r>
          <w:rPr>
            <w:rStyle w:val="Hyperlink"/>
          </w:rPr>
          <w:t xml:space="preserve">https://doi.org/10.3390/rs10091438</w:t>
        </w:r>
      </w:hyperlink>
    </w:p>
    <w:bookmarkEnd w:id="62"/>
    <w:bookmarkStart w:id="64"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3">
        <w:r>
          <w:rPr>
            <w:rStyle w:val="Hyperlink"/>
          </w:rPr>
          <w:t xml:space="preserve">https://doi.org/10.3390/s20226442</w:t>
        </w:r>
      </w:hyperlink>
    </w:p>
    <w:bookmarkEnd w:id="64"/>
    <w:bookmarkStart w:id="66"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5">
        <w:r>
          <w:rPr>
            <w:rStyle w:val="Hyperlink"/>
          </w:rPr>
          <w:t xml:space="preserve">https://doi.org/10.1111/gcb.13521</w:t>
        </w:r>
      </w:hyperlink>
    </w:p>
    <w:bookmarkEnd w:id="66"/>
    <w:bookmarkStart w:id="6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7">
        <w:r>
          <w:rPr>
            <w:rStyle w:val="Hyperlink"/>
          </w:rPr>
          <w:t xml:space="preserve">https://doi.org/10.1111/j.2007.0906-7590.05171.x</w:t>
        </w:r>
      </w:hyperlink>
    </w:p>
    <w:bookmarkEnd w:id="68"/>
    <w:bookmarkStart w:id="7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9">
        <w:r>
          <w:rPr>
            <w:rStyle w:val="Hyperlink"/>
          </w:rPr>
          <w:t xml:space="preserve">https://doi.org/10.1071/WF08187</w:t>
        </w:r>
      </w:hyperlink>
    </w:p>
    <w:bookmarkEnd w:id="70"/>
    <w:bookmarkStart w:id="72"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1">
        <w:r>
          <w:rPr>
            <w:rStyle w:val="Hyperlink"/>
          </w:rPr>
          <w:t xml:space="preserve">https://doi.org/10.1139/er-2020-0019</w:t>
        </w:r>
      </w:hyperlink>
    </w:p>
    <w:bookmarkEnd w:id="72"/>
    <w:bookmarkStart w:id="74"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3">
        <w:r>
          <w:rPr>
            <w:rStyle w:val="Hyperlink"/>
          </w:rPr>
          <w:t xml:space="preserve">https://doi.org/10.1038/ncomms8537</w:t>
        </w:r>
      </w:hyperlink>
    </w:p>
    <w:bookmarkEnd w:id="74"/>
    <w:bookmarkStart w:id="75"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5"/>
    <w:bookmarkStart w:id="77"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6">
        <w:r>
          <w:rPr>
            <w:rStyle w:val="Hyperlink"/>
          </w:rPr>
          <w:t xml:space="preserve">https://doi.org/10.2307/1939924</w:t>
        </w:r>
      </w:hyperlink>
    </w:p>
    <w:bookmarkEnd w:id="77"/>
    <w:bookmarkStart w:id="79"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8">
        <w:r>
          <w:rPr>
            <w:rStyle w:val="Hyperlink"/>
          </w:rPr>
          <w:t xml:space="preserve">https://doi.org/10.1145/1102351.1102430</w:t>
        </w:r>
      </w:hyperlink>
    </w:p>
    <w:bookmarkEnd w:id="79"/>
    <w:bookmarkStart w:id="81"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0">
        <w:r>
          <w:rPr>
            <w:rStyle w:val="Hyperlink"/>
          </w:rPr>
          <w:t xml:space="preserve">https://doi.org/10.1016/j.pecon.2021.06.005</w:t>
        </w:r>
      </w:hyperlink>
    </w:p>
    <w:bookmarkEnd w:id="81"/>
    <w:bookmarkStart w:id="82"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2"/>
    <w:bookmarkStart w:id="84"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3">
        <w:r>
          <w:rPr>
            <w:rStyle w:val="Hyperlink"/>
          </w:rPr>
          <w:t xml:space="preserve">https://doi.org/10.1038/s41467-020-18321-y</w:t>
        </w:r>
      </w:hyperlink>
    </w:p>
    <w:bookmarkEnd w:id="84"/>
    <w:bookmarkStart w:id="8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5">
        <w:r>
          <w:rPr>
            <w:rStyle w:val="Hyperlink"/>
          </w:rPr>
          <w:t xml:space="preserve">https://doi.org/10.1111/ecog.02881</w:t>
        </w:r>
      </w:hyperlink>
    </w:p>
    <w:bookmarkEnd w:id="86"/>
    <w:bookmarkStart w:id="8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7">
        <w:r>
          <w:rPr>
            <w:rStyle w:val="Hyperlink"/>
          </w:rPr>
          <w:t xml:space="preserve">https://doi.org/10.5772/28441</w:t>
        </w:r>
      </w:hyperlink>
    </w:p>
    <w:bookmarkEnd w:id="88"/>
    <w:bookmarkStart w:id="90"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9">
        <w:r>
          <w:rPr>
            <w:rStyle w:val="Hyperlink"/>
          </w:rPr>
          <w:t xml:space="preserve">http://queimadas.dgi.inpe.br</w:t>
        </w:r>
      </w:hyperlink>
    </w:p>
    <w:bookmarkEnd w:id="90"/>
    <w:bookmarkStart w:id="92"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1">
        <w:r>
          <w:rPr>
            <w:rStyle w:val="Hyperlink"/>
          </w:rPr>
          <w:t xml:space="preserve">https://doi.org/10.5558/tfc65258-4</w:t>
        </w:r>
      </w:hyperlink>
    </w:p>
    <w:bookmarkEnd w:id="92"/>
    <w:bookmarkStart w:id="94"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3">
        <w:r>
          <w:rPr>
            <w:rStyle w:val="Hyperlink"/>
          </w:rPr>
          <w:t xml:space="preserve">https://doi.org/10.2307/143141</w:t>
        </w:r>
      </w:hyperlink>
    </w:p>
    <w:bookmarkEnd w:id="94"/>
    <w:bookmarkStart w:id="96"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5">
        <w:r>
          <w:rPr>
            <w:rStyle w:val="Hyperlink"/>
          </w:rPr>
          <w:t xml:space="preserve">https://doi.org/10.1016/j.jaridenv.2014.11.009</w:t>
        </w:r>
      </w:hyperlink>
    </w:p>
    <w:bookmarkEnd w:id="96"/>
    <w:bookmarkStart w:id="97"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7"/>
    <w:bookmarkEnd w:id="98"/>
    <w:bookmarkEnd w:id="99"/>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89" Target="http://queimadas.dgi.inpe.br" TargetMode="External" /><Relationship Type="http://schemas.openxmlformats.org/officeDocument/2006/relationships/hyperlink" Id="rId95" Target="https://doi.org/10.1016/j.jaridenv.2014.11.009" TargetMode="External" /><Relationship Type="http://schemas.openxmlformats.org/officeDocument/2006/relationships/hyperlink" Id="rId80" Target="https://doi.org/10.1016/j.pecon.2021.06.005" TargetMode="External" /><Relationship Type="http://schemas.openxmlformats.org/officeDocument/2006/relationships/hyperlink" Id="rId73" Target="https://doi.org/10.1038/ncomms8537" TargetMode="External" /><Relationship Type="http://schemas.openxmlformats.org/officeDocument/2006/relationships/hyperlink" Id="rId83" Target="https://doi.org/10.1038/s41467-020-18321-y" TargetMode="External" /><Relationship Type="http://schemas.openxmlformats.org/officeDocument/2006/relationships/hyperlink" Id="rId69" Target="https://doi.org/10.1071/WF08187" TargetMode="External" /><Relationship Type="http://schemas.openxmlformats.org/officeDocument/2006/relationships/hyperlink" Id="rId85"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1" Target="https://doi.org/10.1139/er-2020-0019" TargetMode="External" /><Relationship Type="http://schemas.openxmlformats.org/officeDocument/2006/relationships/hyperlink" Id="rId78" Target="https://doi.org/10.1145/1102351.1102430" TargetMode="External" /><Relationship Type="http://schemas.openxmlformats.org/officeDocument/2006/relationships/hyperlink" Id="rId93" Target="https://doi.org/10.2307/143141" TargetMode="External" /><Relationship Type="http://schemas.openxmlformats.org/officeDocument/2006/relationships/hyperlink" Id="rId76"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59" Target="https://doi.org/10.5281/zenodo.23675105" TargetMode="External" /><Relationship Type="http://schemas.openxmlformats.org/officeDocument/2006/relationships/hyperlink" Id="rId51" Target="https://doi.org/10.5281/zenodo.23675279" TargetMode="External" /><Relationship Type="http://schemas.openxmlformats.org/officeDocument/2006/relationships/hyperlink" Id="rId91" Target="https://doi.org/10.5558/tfc65258-4" TargetMode="External" /><Relationship Type="http://schemas.openxmlformats.org/officeDocument/2006/relationships/hyperlink" Id="rId87" Target="https://doi.org/10.5772/28441" TargetMode="External" /><Relationship Type="http://schemas.openxmlformats.org/officeDocument/2006/relationships/hyperlink" Id="rId58"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9" Target="http://queimadas.dgi.inpe.br" TargetMode="External" /><Relationship Type="http://schemas.openxmlformats.org/officeDocument/2006/relationships/hyperlink" Id="rId95" Target="https://doi.org/10.1016/j.jaridenv.2014.11.009" TargetMode="External" /><Relationship Type="http://schemas.openxmlformats.org/officeDocument/2006/relationships/hyperlink" Id="rId80" Target="https://doi.org/10.1016/j.pecon.2021.06.005" TargetMode="External" /><Relationship Type="http://schemas.openxmlformats.org/officeDocument/2006/relationships/hyperlink" Id="rId73" Target="https://doi.org/10.1038/ncomms8537" TargetMode="External" /><Relationship Type="http://schemas.openxmlformats.org/officeDocument/2006/relationships/hyperlink" Id="rId83" Target="https://doi.org/10.1038/s41467-020-18321-y" TargetMode="External" /><Relationship Type="http://schemas.openxmlformats.org/officeDocument/2006/relationships/hyperlink" Id="rId69" Target="https://doi.org/10.1071/WF08187" TargetMode="External" /><Relationship Type="http://schemas.openxmlformats.org/officeDocument/2006/relationships/hyperlink" Id="rId85"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1" Target="https://doi.org/10.1139/er-2020-0019" TargetMode="External" /><Relationship Type="http://schemas.openxmlformats.org/officeDocument/2006/relationships/hyperlink" Id="rId78" Target="https://doi.org/10.1145/1102351.1102430" TargetMode="External" /><Relationship Type="http://schemas.openxmlformats.org/officeDocument/2006/relationships/hyperlink" Id="rId93" Target="https://doi.org/10.2307/143141" TargetMode="External" /><Relationship Type="http://schemas.openxmlformats.org/officeDocument/2006/relationships/hyperlink" Id="rId76"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59" Target="https://doi.org/10.5281/zenodo.23675105" TargetMode="External" /><Relationship Type="http://schemas.openxmlformats.org/officeDocument/2006/relationships/hyperlink" Id="rId51" Target="https://doi.org/10.5281/zenodo.23675279" TargetMode="External" /><Relationship Type="http://schemas.openxmlformats.org/officeDocument/2006/relationships/hyperlink" Id="rId91" Target="https://doi.org/10.5558/tfc65258-4" TargetMode="External" /><Relationship Type="http://schemas.openxmlformats.org/officeDocument/2006/relationships/hyperlink" Id="rId87" Target="https://doi.org/10.5772/28441" TargetMode="External" /><Relationship Type="http://schemas.openxmlformats.org/officeDocument/2006/relationships/hyperlink" Id="rId58"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2026-10-26T21:21:45Z</dcterms:created>
  <dcterms:modified xsi:type="dcterms:W3CDTF">2026-10-26T21:21:45Z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2026-10-26</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D2 targets, gated M3/M1 inference, and an open benchmark against Canadian FWI and INPE</vt:lpwstr>
  </property>
  <property fmtid="{D5CDD505-2E9C-101B-9397-08002B2CF9AE}" pid="14" name="tbl-cap-location">
    <vt:lpwstr>top</vt:lpwstr>
  </property>
  <property fmtid="{D5CDD505-2E9C-101B-9397-08002B2CF9AE}" pid="15" name="toc-title">
    <vt:lpwstr>Contents</vt:lpwstr>
  </property>
</Properties>
</file>