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2026-10-28</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manuscrito.docx</w:t>
      </w:r>
      <w:r>
        <w:t xml:space="preserve">,</w:t>
      </w:r>
      <w:r>
        <w:t xml:space="preserve"> </w:t>
      </w:r>
      <w:r>
        <w:rPr>
          <w:rStyle w:val="VerbatimChar"/>
        </w:rPr>
        <w:t xml:space="preserve">manuscrito.html</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w:t>
      </w:r>
    </w:p>
    <w:bookmarkStart w:id="9" w:name="resumen"/>
    <w:p>
      <w:pPr>
        <w:pStyle w:val="Heading1"/>
      </w:pPr>
      <w:r>
        <w:t xml:space="preserve">Resumen</w:t>
      </w:r>
    </w:p>
    <w:p>
      <w:pPr>
        <w:pStyle w:val="FirstParagraph"/>
      </w:pPr>
      <w:r>
        <w:t xml:space="preserve">La predicción de incendios con aprendizaje automático suele sufrir fugas espaciales y una transferibilidad limitada de los índices boreales a biomas subtropicales. Para la grilla de 1 km² del Chaco y la Región Oriental del Paraguay (2018–2025),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w:t>
      </w:r>
      <w:r>
        <w:t xml:space="preserve"> </w:t>
      </w:r>
      <w:r>
        <w:rPr>
          <w:i/>
          <w:iCs/>
        </w:rPr>
        <w:t xml:space="preserve">t</w:t>
      </w:r>
      <w:r>
        <w:t xml:space="preserve"> </w:t>
      </w:r>
      <w:r>
        <w:t xml:space="preserve">sin fuego a menos de 25 km en</w:t>
      </w:r>
      <w:r>
        <w:t xml:space="preserve"> </w:t>
      </w:r>
      <w:r>
        <w:rPr>
          <w:i/>
          <w:iCs/>
        </w:rPr>
        <w:t xml:space="preserve">t</w:t>
      </w:r>
      <w:r>
        <w:t xml:space="preserve">−1 ni en la misma celda durante los 10 días previos; la propagación se evalúa a menos de 25 km de un fuego en</w:t>
      </w:r>
      <w:r>
        <w:t xml:space="preserve"> </w:t>
      </w:r>
      <w:r>
        <w:rPr>
          <w:i/>
          <w:iCs/>
        </w:rPr>
        <w:t xml:space="preserve">t</w:t>
      </w:r>
      <w:r>
        <w:t xml:space="preserve">−1. Un filtro biofísico descarta celdas-día no combustibles o húmedas. Un modelo híbrido LightGBM (M3) predice la ignición sin variables de fuego en</w:t>
      </w:r>
      <w:r>
        <w:t xml:space="preserve"> </w:t>
      </w:r>
      <w:r>
        <w:rPr>
          <w:i/>
          <w:iCs/>
        </w:rPr>
        <w:t xml:space="preserve">t</w:t>
      </w:r>
      <w:r>
        <w:t xml:space="preserve">−1, empleando M2 como respaldo para celdas sin historia y M1 como línea base biofísica. En la validación de 2023, M3 alcanza ROC-AUC 0.7844/0.7628 (Chaco/Oriental) frente a 0.7817/0.7496 de M2. En bloques espaciales de 2023, M2 es el más robusto (0.6773/0.7470) y M1 no supera a M2 en celdas sin historia. Un holdout independiente de confirmación retuvo también a M2 (0.6871/0.6621). En el test retrospectivo 2024–2025, M3 alcanza 0.8021/0.7534 frente a 0.5173/0.5564 del Canadian Forest Fire Weather Index (FWI) y 0.5389/0.4990 del INPE Risco de Fogo; la propagación alcanza 0.9039/0.7859. La precisión poblacional de ignición es 0.082 %/0.198 %, lo que confirma que el sistema es una herramienta de nowcast y priorización y no un sistema de alerta autónomo. La contribución reside en el operador D2, la inferencia con gating y el arnés de evaluación abiertos, publicados como software reproducible.</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w:t>
      </w:r>
      <w:r>
        <w:t xml:space="preserve"> </w:t>
      </w:r>
      <w:r>
        <w:rPr>
          <w:i/>
          <w:iCs/>
        </w:rPr>
        <w:t xml:space="preserve">t</w:t>
      </w:r>
      <w:r>
        <w:t xml:space="preserve">−1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 Las dos tareas también son físicamente distintas: la ignición primaria está controlada por el curado de combustibles finos, la demanda atmosférica de agua y el manejo humano del territorio, mientras que la propagación táctica está regida por la radiación térmica y la proximidad de perímetros activos. Mezclar ambos procesos en una sola etiqueta binaria no solo introduce un atajo estadístico, sino que mezcla dos regímenes físicos que responden a predictores diferentes.</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estas restricciones metodológicas y operativas sobre el registro continuo VIIRS 2018–2025 (Suomi-NPP, NOAA-20 y NOAA-21) en una grilla nacional de 1 km² de Paraguay (400 006 celdas)</w:t>
      </w:r>
      <w:r>
        <w:t xml:space="preserve"> </w:t>
      </w:r>
      <w:r>
        <w:t xml:space="preserve">(Schroeder et al., 2014)</w:t>
      </w:r>
      <w:r>
        <w:t xml:space="preserve">. Manteniendo al aprendiz subyacente intencionalmente reemplazable, formalizamos cuatro contribuciones computacionales reutilizables:</w:t>
      </w:r>
    </w:p>
    <w:p>
      <w:pPr>
        <w:pStyle w:val="Compact"/>
        <w:numPr>
          <w:ilvl w:val="0"/>
          <w:numId w:val="1001"/>
        </w:numPr>
      </w:pPr>
      <w:r>
        <w:rPr>
          <w:b/>
          <w:bCs/>
        </w:rPr>
        <w:t xml:space="preserve">Operador de objetivos D2.</w:t>
      </w:r>
      <w:r>
        <w:t xml:space="preserve"> </w:t>
      </w:r>
      <w:r>
        <w:t xml:space="preserve">Un contrato formal que separa la ignición primaria de la propagación táctica, evita mezclar persistencia con ignición y hace explícitos los controles de fuga.</w:t>
      </w:r>
    </w:p>
    <w:p>
      <w:pPr>
        <w:pStyle w:val="Compact"/>
        <w:numPr>
          <w:ilvl w:val="0"/>
          <w:numId w:val="1001"/>
        </w:numPr>
      </w:pPr>
      <w:r>
        <w:rPr>
          <w:b/>
          <w:bCs/>
        </w:rPr>
        <w:t xml:space="preserve">Inferencia M3/M2 con gating.</w:t>
      </w:r>
      <w:r>
        <w:t xml:space="preserve"> </w:t>
      </w:r>
      <w:r>
        <w:t xml:space="preserve">Una política de dos etapas que combina cribado biofísico con un modelo híbrido consciente de la recurrencia (M3) donde existe historia de fuego y un respaldo base (M2) donde no existe.</w:t>
      </w:r>
    </w:p>
    <w:p>
      <w:pPr>
        <w:pStyle w:val="Compact"/>
        <w:numPr>
          <w:ilvl w:val="0"/>
          <w:numId w:val="1001"/>
        </w:numPr>
      </w:pPr>
      <w:r>
        <w:rPr>
          <w:b/>
          <w:bCs/>
        </w:rPr>
        <w:t xml:space="preserve">Arnés de evaluación reproducible.</w:t>
      </w:r>
      <w:r>
        <w:t xml:space="preserve"> </w:t>
      </w:r>
      <w:r>
        <w:t xml:space="preserve">Un protocolo unificado que integra holdout temporal, bloques espaciales, bootstrap agrupado por fecha, análisis de lead time, cobertura conformal y evaluación cost-loss.</w:t>
      </w:r>
    </w:p>
    <w:p>
      <w:pPr>
        <w:pStyle w:val="Compact"/>
        <w:numPr>
          <w:ilvl w:val="0"/>
          <w:numId w:val="1001"/>
        </w:numPr>
      </w:pPr>
      <w:r>
        <w:rPr>
          <w:b/>
          <w:bCs/>
        </w:rPr>
        <w:t xml:space="preserve">Software y datos abiertos.</w:t>
      </w:r>
      <w:r>
        <w:t xml:space="preserve"> </w:t>
      </w:r>
      <w:r>
        <w:t xml:space="preserve">Un pipeline vectorizado zero-copy en Polars/DuckDB con código público, DOI archivados y pruebas automatizadas.</w:t>
      </w:r>
    </w:p>
    <w:p>
      <w:pPr>
        <w:pStyle w:val="FirstParagraph"/>
      </w:pPr>
      <w:r>
        <w:t xml:space="preserve">La novedad es computacional e infraestructural más que algorítmica: D2 formaliza el contrato del objetivo, la inferencia con gating define la política operativa y el software expone ese contrato a otros aprendices. La contribución geocientífica es un benchmark transferible y controlado contra fugas: el FWI completo y el INPE se prueban bajo el mismo protocolo D2 en el Gran Chaco, y se reportan explícitamente los límites temporales y espaciales del modelo híbrido. El caso nacional es un banco de pruebas para regiones subtropicales con escasez de datos; no afirmamos validez universal.</w:t>
      </w:r>
    </w:p>
    <w:p>
      <w:pPr>
        <w:pStyle w:val="BodyText"/>
      </w:pPr>
      <w:r>
        <w:t xml:space="preserve">El resto del artículo se organiza como sigue. La Sección 2 define el operador D2, el gate biofísico, la arquitectura de inferencia desacoplada y el arnés de evaluación. La Sección 3 reporta la selección en validación 2023, el test retrospectivo 2024–2025, el benchmark frente a FWI e INPE, los análisis de generalización espacial y temporal y la utilidad operativa. La Sección 4 discute por qué fallan los índices canónicos, qué aporta el desacoplamiento y dónde falla, y las limitaciones del estudio. La Sección 5 concluye.</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&amp;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Definimos una familia preespecificada de seis comparaciones confirmatorias (cuatro frente a FWI e INPE y dos M3 − M2) y reportamos valores p ajustados por Holm–Bonferroni y Benjamini–Hochberg; todas siguen siendo significativas con α = 0.05 (Holm p = 0.006, BH p = 0.001). La resolución del bootstrap es 0.001, por lo que los valores p crudos en el piso son cotas superiores. El protocolo se aplica sin modificar el test. El operador de objetivos, la lista de celdas-día de test y los scripts de evaluación están archivados con la release del código. El protocolo completo se reporta en la Nota complementaria S3 y las Tablas S7–S14.</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w:t>
      </w:r>
      <w:r>
        <w:t xml:space="preserve"> </w:t>
      </w:r>
      <w:r>
        <w:t xml:space="preserve">(Schroeder et al., 2014)</w:t>
      </w:r>
      <w:r>
        <w:t xml:space="preserve">; meteorología ERA5-Land de 3 horas agregada a valores diarios</w:t>
      </w:r>
      <w:r>
        <w:t xml:space="preserve"> </w:t>
      </w:r>
      <w:r>
        <w:t xml:space="preserve">(Muñoz-Sabater et al., 2021)</w:t>
      </w:r>
      <w:r>
        <w:t xml:space="preserve">; mapas anuales de MapBiomas Colección 2 (2017–2023), unidos a cada fila con el mapa del año previo</w:t>
      </w:r>
      <w:r>
        <w:t xml:space="preserve"> </w:t>
      </w:r>
      <w:r>
        <w:t xml:space="preserve">(MapBiomas Chaco, 2023)</w:t>
      </w:r>
      <w:r>
        <w:t xml:space="preserve">;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w:t>
      </w:r>
      <w:r>
        <w:t xml:space="preserve"> </w:t>
      </w:r>
      <w:r>
        <w:t xml:space="preserve">(Raasveldt &amp; Mühleisen, 2019)</w:t>
      </w:r>
      <w:r>
        <w:t xml:space="preserve">. Un spatial join de 50 000 puntos se muestra solo como referencia (Tabla S4 del suplemento); la búsqueda operativa evita el point-in-polygon en inferencia. El pipeline completo de inferencia procesa 400 006 celdas en 3.474 s con 2 212.9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5"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en el Chaco y 0.198 % en la Región Oriental. La precisión de propagación es 9.67 % y 4.78 %. Estos valores son los relevantes para la operación y son mucho más bajos que los valores caso-control. Respecto a la prevalencia, la precisión de ignición es aproximadamente 5.4× y 4.8× superior al azar, mientras que la de propagación es aproximadamente 62× y 23× superior. La precisión absoluta sigue siendo baja; el modelo es, por tanto, una capa de priorización y nowcast, no un sistema de alerta autónomo.</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+0.2848 en el Chaco y +0.1970 en la Región Oriental, y al INPE por +0.2633 y +0.2544. Todas las comparaciones pareadas tienen p crudo ≤ 0.001 con B = 1 000; el p ajustado por Holm es 0.006 y el de BH 0.001, por lo que las seis siguen siendo significativas con α = 0.05. Para que la comparación sea simétrica, los puntos operativos de FWI e INPE se seleccionaron en la misma partición de validación de 2023 con la regla F0.5 idéntica a la de los modelos y luego se congelaron para el test retrospectivo (</w:t>
      </w:r>
      <w:hyperlink w:anchor="tbl-benchmark">
        <w:r>
          <w:rPr>
            <w:rStyle w:val="Hyperlink"/>
          </w:rPr>
          <w:t xml:space="preserve">Tabla 3</w:t>
        </w:r>
      </w:hyperlink>
      <w:r>
        <w:t xml:space="preserve">); los cortes resultantes son 0.3029 y 0.8963 en el Chaco y 2.1509 y 0.0750 en Oriental para FWI e INPE, respectivamente.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Los cortes de todas las filas, incluidos FWI e INPE, se seleccionaron en la validación de 2023 maximizando F0.5 y se congelaron para 2024–2025; la precisión y el recall son caso-control en ese corte. El FWI está en la escala del índice canadiense y el INPE en una escala de riesgo 0–1, por lo que los cortes no son comparables entre índices. El GBT solo meteorología es un LightGBM entrenado con la misma capacidad y calibración pero restringido al conjunto de información del FWI. Los guiones (—) indican modelos de referencia o comparaciones no evaluadas por construcción. La columna p reporta valores crudos; el p ajustado por Holm es 0.006 para la familia de seis comparaciones confirmatorias (Tabla S7 del suplemento). La tabla completa está en la Tabla S11 del suplemento.</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 (crudo)</w:t>
                  </w:r>
                </w:p>
              </w:tc>
              <w:tc>
                <w:tcPr/>
                <w:p>
                  <w:pPr>
                    <w:pStyle w:val="Compact"/>
                    <w:jc w:val="right"/>
                    <w:jc w:val="center"/>
                  </w:pPr>
                  <w:r>
                    <w:t xml:space="preserve">Corte</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c>
                <w:tcPr/>
                <w:p>
                  <w:pPr>
                    <w:pStyle w:val="Compact"/>
                    <w:jc w:val="right"/>
                    <w:jc w:val="center"/>
                  </w:pPr>
                  <w:r>
                    <w:t xml:space="preserve">0.3029</w:t>
                  </w:r>
                </w:p>
              </w:tc>
              <w:tc>
                <w:tcPr/>
                <w:p>
                  <w:pPr>
                    <w:pStyle w:val="Compact"/>
                    <w:jc w:val="right"/>
                    <w:jc w:val="center"/>
                  </w:pPr>
                  <w:r>
                    <w:t xml:space="preserve">9.28</w:t>
                  </w:r>
                </w:p>
              </w:tc>
              <w:tc>
                <w:tcPr/>
                <w:p>
                  <w:pPr>
                    <w:pStyle w:val="Compact"/>
                    <w:jc w:val="right"/>
                    <w:jc w:val="center"/>
                  </w:pPr>
                  <w:r>
                    <w:t xml:space="preserve">96.08</w:t>
                  </w:r>
                </w:p>
              </w:tc>
              <w:tc>
                <w:tcPr/>
                <w:p>
                  <w:pPr>
                    <w:pStyle w:val="Compact"/>
                    <w:jc w:val="right"/>
                    <w:jc w:val="center"/>
                  </w:pPr>
                  <w:r>
                    <w:t xml:space="preserve">0.1133</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c>
                <w:tcPr/>
                <w:p>
                  <w:pPr>
                    <w:pStyle w:val="Compact"/>
                    <w:jc w:val="right"/>
                    <w:jc w:val="center"/>
                  </w:pPr>
                  <w:r>
                    <w:t xml:space="preserve">0.8963</w:t>
                  </w:r>
                </w:p>
              </w:tc>
              <w:tc>
                <w:tcPr/>
                <w:p>
                  <w:pPr>
                    <w:pStyle w:val="Compact"/>
                    <w:jc w:val="right"/>
                    <w:jc w:val="center"/>
                  </w:pPr>
                  <w:r>
                    <w:t xml:space="preserve">11.72</w:t>
                  </w:r>
                </w:p>
              </w:tc>
              <w:tc>
                <w:tcPr/>
                <w:p>
                  <w:pPr>
                    <w:pStyle w:val="Compact"/>
                    <w:jc w:val="right"/>
                    <w:jc w:val="center"/>
                  </w:pPr>
                  <w:r>
                    <w:t xml:space="preserve">12.57</w:t>
                  </w:r>
                </w:p>
              </w:tc>
              <w:tc>
                <w:tcPr/>
                <w:p>
                  <w:pPr>
                    <w:pStyle w:val="Compact"/>
                    <w:jc w:val="right"/>
                    <w:jc w:val="center"/>
                  </w:pPr>
                  <w:r>
                    <w:t xml:space="preserve">0.1188</w:t>
                  </w:r>
                </w:p>
              </w:tc>
            </w:tr>
            <w:tr>
              <w:tc>
                <w:tcPr/>
                <w:p>
                  <w:pPr>
                    <w:pStyle w:val="Compact"/>
                    <w:jc w:val="left"/>
                    <w:jc w:val="center"/>
                  </w:pPr>
                  <w:r>
                    <w:t xml:space="preserve">Chaco</w:t>
                  </w:r>
                </w:p>
              </w:tc>
              <w:tc>
                <w:tcPr/>
                <w:p>
                  <w:pPr>
                    <w:pStyle w:val="Compact"/>
                    <w:jc w:val="left"/>
                    <w:jc w:val="center"/>
                  </w:pPr>
                  <w:r>
                    <w:t xml:space="preserve">GBT solo meteorología</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c>
                <w:tcPr/>
                <w:p>
                  <w:pPr>
                    <w:pStyle w:val="Compact"/>
                    <w:jc w:val="right"/>
                    <w:jc w:val="center"/>
                  </w:pPr>
                  <w:r>
                    <w:t xml:space="preserve">2.1509</w:t>
                  </w:r>
                </w:p>
              </w:tc>
              <w:tc>
                <w:tcPr/>
                <w:p>
                  <w:pPr>
                    <w:pStyle w:val="Compact"/>
                    <w:jc w:val="right"/>
                    <w:jc w:val="center"/>
                  </w:pPr>
                  <w:r>
                    <w:t xml:space="preserve">10.76</w:t>
                  </w:r>
                </w:p>
              </w:tc>
              <w:tc>
                <w:tcPr/>
                <w:p>
                  <w:pPr>
                    <w:pStyle w:val="Compact"/>
                    <w:jc w:val="right"/>
                    <w:jc w:val="center"/>
                  </w:pPr>
                  <w:r>
                    <w:t xml:space="preserve">38.99</w:t>
                  </w:r>
                </w:p>
              </w:tc>
              <w:tc>
                <w:tcPr/>
                <w:p>
                  <w:pPr>
                    <w:pStyle w:val="Compact"/>
                    <w:jc w:val="right"/>
                    <w:jc w:val="center"/>
                  </w:pPr>
                  <w:r>
                    <w:t xml:space="preserve">0.1258</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c>
                <w:tcPr/>
                <w:p>
                  <w:pPr>
                    <w:pStyle w:val="Compact"/>
                    <w:jc w:val="right"/>
                    <w:jc w:val="center"/>
                  </w:pPr>
                  <w:r>
                    <w:t xml:space="preserve">0.0750</w:t>
                  </w:r>
                </w:p>
              </w:tc>
              <w:tc>
                <w:tcPr/>
                <w:p>
                  <w:pPr>
                    <w:pStyle w:val="Compact"/>
                    <w:jc w:val="right"/>
                    <w:jc w:val="center"/>
                  </w:pPr>
                  <w:r>
                    <w:t xml:space="preserve">9.24</w:t>
                  </w:r>
                </w:p>
              </w:tc>
              <w:tc>
                <w:tcPr/>
                <w:p>
                  <w:pPr>
                    <w:pStyle w:val="Compact"/>
                    <w:jc w:val="right"/>
                    <w:jc w:val="center"/>
                  </w:pPr>
                  <w:r>
                    <w:t xml:space="preserve">79.47</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GBT solo meteorología</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0.5173/0.5564 y el INPE de 0.5389/0.4990;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El control solo meteorología aísla el origen de la brecha. Un LightGBM entrenado con la misma capacidad, calibración y regla de corte pero restringido al conjunto de información del FWI (temperatura, demanda atmosférica, viento, lluvia, FFMC e ISI) alcanza ROC-AUC 0.5512/0.5645 (Chaco/Oriental), solo +0.0339/+0.0081 por encima del FWI completo y muy por debajo de M3 (0.8021/0.7534; ΔROC = +0.2509/+0.1889, p ≤ 0.001). El fallo de los índices canónicos es, por tanto, una limitación de información y no un artefacto de su formulación o del aprendiz: sin combustible, accesibilidad ni priors antropogénicos, un aprendiz moderno de boosting recupera esencialmente el mismo techo que el índice. Los detalles completos están en la Tabla S21 del suplemento.</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32.82 % frente a 33.28 % de M2; en Oriental es 30.13 % frente a 26.09 %. La ventaja no es uniforme y no se presenta como una mejora de precisión en ambas regiones. La tabla completa de ablación está en la Tabla S12 del suplemento. TreeSHAP</w:t>
      </w:r>
      <w:r>
        <w:t xml:space="preserve"> </w:t>
      </w:r>
      <w:r>
        <w:t xml:space="preserve">(Lundberg et al., 2020)</w:t>
      </w:r>
      <w:r>
        <w:t xml:space="preserve"> </w:t>
      </w:r>
      <w:r>
        <w:t xml:space="preserve">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al INPE y al GBT solo meteorología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 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w:t>
      </w:r>
    </w:p>
    <w:bookmarkEnd w:id="38"/>
    <w:bookmarkStart w:id="43" w:name="utilidad-operativa"/>
    <w:p>
      <w:pPr>
        <w:pStyle w:val="Heading2"/>
      </w:pPr>
      <w:r>
        <w:t xml:space="preserve">3.4 Utilidad operativa</w:t>
      </w:r>
    </w:p>
    <w:p>
      <w:pPr>
        <w:pStyle w:val="FirstParagraph"/>
      </w:pPr>
      <w:r>
        <w:t xml:space="preserve">El análisis cost-loss es sobrio para la ignición: M3 no supera claramente a M2, y en el Chaco M2 es ligeramente mejor en el óptimo. La capa de propagación sí muestra valor cerca de α = 0.002. La tabla y las curvas completas de cost-loss están en la Tabla S14 y la Figura S3 del suplemento. El producto operativo, por tanto, prioriza la propagación y usa la ignición como capa de cribado.</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r>
        <w:t xml:space="preserve">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omprobaciones-de-reproducibilidad"/>
    <w:p>
      <w:pPr>
        <w:pStyle w:val="Heading2"/>
      </w:pPr>
      <w:r>
        <w:t xml:space="preserve">3.5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v2.0.1; los DOI conceptuales de código y datos se reportan en las secciones de disponibilidad.</w:t>
      </w:r>
    </w:p>
    <w:bookmarkEnd w:id="44"/>
    <w:bookmarkEnd w:id="45"/>
    <w:bookmarkStart w:id="50" w:name="discusión"/>
    <w:p>
      <w:pPr>
        <w:pStyle w:val="Heading1"/>
      </w:pPr>
      <w:r>
        <w:t xml:space="preserve">4. Discusión</w:t>
      </w:r>
    </w:p>
    <w:bookmarkStart w:id="46"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meteorológico no puede representar esa interacción. El FWI canadiense fue originalmente diseñado para rodales boreales de coníferas, y dos de sus tres códigos de humedad de combustible (el Duff Moisture Code y el Drought Code) modelan explícitamente el secado lento y la recarga por lluvia de capas orgánicas poco y muy compactadas a lo largo de días o semanas</w:t>
      </w:r>
      <w:r>
        <w:t xml:space="preserve"> </w:t>
      </w:r>
      <w:r>
        <w:t xml:space="preserve">(Flannigan et al., 2016; Van Wagner, 1987)</w:t>
      </w:r>
      <w:r>
        <w:t xml:space="preserve">. En el Chaco semiárido, los combustibles portantes son pastos finos y arbustos que responden en horas a la demanda atmosférica, mientras que el patrón espacial de ignición está gobernado por fuentes ligadas al manejo del territorio y al acceso. Un índice puramente meteorológico no contiene, por tanto, información sobre dónde se localizan esas fuentes antrópicas de ignición, y su capacidad de ranking colapsa hacia el azar bajo una evaluación D2 desacoplada.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pirogeográficos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6"/>
    <w:bookmarkStart w:id="47"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w:t>
      </w:r>
      <w:r>
        <w:t xml:space="preserve"> </w:t>
      </w:r>
      <w:r>
        <w:rPr>
          <w:i/>
          <w:iCs/>
        </w:rPr>
        <w:t xml:space="preserve">t</w:t>
      </w:r>
      <w:r>
        <w:t xml:space="preserve">−1 y un holdout de bloques espaciales es la principal contribución metodológica.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Los árboles de boosting de gradiente se conservaron no como una afirmación de superioridad arquitectónica, sino porque permiten imponer restricciones monótonas físicas explícitas y ejecutar la inferencia nacional completa en CPUs de uso común (Sección 2.4), que es la restricción operativa que este estudio aborda.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w:t>
      </w:r>
      <w:r>
        <w:t xml:space="preserve"> </w:t>
      </w:r>
      <w:r>
        <w:rPr>
          <w:i/>
          <w:iCs/>
        </w:rPr>
        <w:t xml:space="preserve">t</w:t>
      </w:r>
      <w:r>
        <w:t xml:space="preserve">−1,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7"/>
    <w:bookmarkStart w:id="48"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8"/>
    <w:bookmarkStart w:id="49" w:name="limitaciones"/>
    <w:p>
      <w:pPr>
        <w:pStyle w:val="Heading2"/>
      </w:pPr>
      <w:r>
        <w:t xml:space="preserve">4.4 Limitaciones</w:t>
      </w:r>
    </w:p>
    <w:p>
      <w:pPr>
        <w:pStyle w:val="FirstParagraph"/>
      </w:pPr>
      <w:r>
        <w:t xml:space="preserve">Varias limitaciones acotan la interpretación de este estudio:</w:t>
      </w:r>
    </w:p>
    <w:p>
      <w:pPr>
        <w:pStyle w:val="Compact"/>
        <w:numPr>
          <w:ilvl w:val="0"/>
          <w:numId w:val="1004"/>
        </w:numPr>
      </w:pPr>
      <w:r>
        <w:rPr>
          <w:b/>
          <w:bCs/>
        </w:rPr>
        <w:t xml:space="preserve">Restricciones de datos y observación.</w:t>
      </w:r>
      <w:r>
        <w:t xml:space="preserve"> </w:t>
      </w:r>
      <w:r>
        <w:t xml:space="preserve">El estudio cubre un solo país y dos macro-regiones sin validación externa en otro país. La caracterización del combustible se basa en la serie anual de MapBiomas Colección 2 (2017–2023) unida por año previo, de modo que 2024 usa el mapa de 2023 con un año de rezago y 2025 lo extrapola con dos años de rezago. Los objetivos de fuego activo dependen de detecciones VIIRS, que pueden omitir incendios subdosel o cubiertos por nubes al no existir un modelo de observación explícito, mientras que los insumos ERA5-Land (0.25°, 3 horas) pueden suavizar picos locales intradía de VPD y viento.</w:t>
      </w:r>
    </w:p>
    <w:p>
      <w:pPr>
        <w:pStyle w:val="Compact"/>
        <w:numPr>
          <w:ilvl w:val="0"/>
          <w:numId w:val="1004"/>
        </w:numPr>
      </w:pPr>
      <w:r>
        <w:rPr>
          <w:b/>
          <w:bCs/>
        </w:rPr>
        <w:t xml:space="preserve">Límites estadísticos y de generalización.</w:t>
      </w:r>
      <w:r>
        <w:t xml:space="preserve"> </w:t>
      </w:r>
      <w:r>
        <w:t xml:space="preserve">Aunque la sensibilidad D2 con radios de 15/25/35 km y ventanas de 7/10/14 días confirmó que el ranking de modelos es estable bajo reentrenamiento completo (Tabla S20 del suplemento), el test 2024–2025 es retrospectivo y no ciego, y comparte el 90.65 % de sus celdas activas con el período de entrenamiento por solapamiento temporal. M3 pierde su ventaja predictiva en bloques espaciales no vistos, lo que exige a M2 como respaldo operativo mientras M1 sigue siendo una línea base insuficiente; la cobertura conformal (90.17 %/90.31 % para el nivel del 90 %) es empírica y no está formalmente garantizada bajo cambio temporal; y el comparador acoplado</w:t>
      </w:r>
      <w:r>
        <w:t xml:space="preserve"> </w:t>
      </w:r>
      <w:r>
        <w:rPr>
          <w:i/>
          <w:iCs/>
        </w:rPr>
        <w:t xml:space="preserve">t</w:t>
      </w:r>
      <w:r>
        <w:t xml:space="preserve">−1 (Tabla S19 del suplemento) se evaluó sobre la misma muestra caso-control con gating, por lo que no prueba la eliminación del filtro biofísico.</w:t>
      </w:r>
    </w:p>
    <w:p>
      <w:pPr>
        <w:pStyle w:val="Compact"/>
        <w:numPr>
          <w:ilvl w:val="0"/>
          <w:numId w:val="1004"/>
        </w:numPr>
      </w:pPr>
      <w:r>
        <w:rPr>
          <w:b/>
          <w:bCs/>
        </w:rPr>
        <w:t xml:space="preserve">Alcance operativo y de software.</w:t>
      </w:r>
      <w:r>
        <w:t xml:space="preserve"> </w:t>
      </w:r>
      <w:r>
        <w:t xml:space="preserve">Dado que el pipeline usa meteorología observada hasta el día</w:t>
      </w:r>
      <w:r>
        <w:t xml:space="preserve"> </w:t>
      </w:r>
      <w:r>
        <w:rPr>
          <w:i/>
          <w:iCs/>
        </w:rPr>
        <w:t xml:space="preserve">t</w:t>
      </w:r>
      <w:r>
        <w:t xml:space="preserve">, funciona como nowcast/hindcast y no como un pronóstico a un día respaldado por predicción numérica del tiempo. La precisión poblacional de ignición es muy baja (0.082 %/0.198 %), cost-loss no muestra una ventaja clara de M3 sobre M2 para ignición y las capas de alerta aún no se han evaluado prospectivamente con una agencia operativa. Por último, transferir el pipeline a otro país requeriría reconstruir la grilla de 1 km², los priors históricos y los metadatos de prevalencia, y el lock de dependencias fijado registra versiones exactas de paquetes sin hashes de ruedas específicos de plataforma (documentado en el repositorio de código).</w:t>
      </w:r>
    </w:p>
    <w:bookmarkEnd w:id="49"/>
    <w:bookmarkEnd w:id="50"/>
    <w:bookmarkStart w:id="51" w:name="conclusiones"/>
    <w:p>
      <w:pPr>
        <w:pStyle w:val="Heading1"/>
      </w:pPr>
      <w:r>
        <w:t xml:space="preserve">5. Conclusiones</w:t>
      </w:r>
    </w:p>
    <w:p>
      <w:pPr>
        <w:pStyle w:val="FirstParagraph"/>
      </w:pPr>
      <w:r>
        <w:t xml:space="preserve">Presentamos un marco computacional reproducible para el benchmarking desacoplado de la ignición y la propagación de incendios en el Gran Chaco y la Región Oriental del Paraguay. El operador de objetivos D2 separa la ignición primaria de la persistencia multidiaria, la arquitectura M3/M2 con gating combina un nowcast temporal consciente de la recurrencia con un respaldo espacialmente robusto, y el arnés de evaluación hace auditable cada comparación. En la validación de 2023, M3 alcanzó un ROC-AUC de 0.7844/0.7628 (Chaco/Oriental), mientras que M2 fue el más robusto tanto en los bloques espaciales de desarrollo (0.6773/0.7470) como en los de confirmación independiente (0.6871/0.6621; Tabla S18 del suplemento), lo que justifica reemplazar al baseline biofísico M1 como respaldo operativo. En el test retrospectivo 2024–2025, M3 superó ampliamente al FWI canadiense completo (0.8021/0.7534 frente a 0.5173/0.5564) y al Risco de Fogo del INPE (0.5389/0.4990), y el desacoplamiento no sacrificó discriminación frente a un comparador acoplado</w:t>
      </w:r>
      <w:r>
        <w:t xml:space="preserve"> </w:t>
      </w:r>
      <w:r>
        <w:rPr>
          <w:i/>
          <w:iCs/>
        </w:rPr>
        <w:t xml:space="preserve">t</w:t>
      </w:r>
      <w:r>
        <w:t xml:space="preserve">−1 (Tabla S19 del suplemento). No obstante, la precisión poblacional de ignición sigue siendo baja (0.082 %/0.198 %) y la ventaja híbrida es estrictamente temporal y no espacial, lo que sitúa al sistema como una herramienta operativa de cribado y priorización y no como un sistema de alerta autónomo. En última instancia, el aporte principal de este trabajo no es un mapa único de susceptibilidad, sino un protocolo abierto y auditable —archivado con código y datos públicos— que muestra dónde es válido un modelo geocientífico, dónde falla y cómo extender el benchmark a otras regiones subtropicales y a pronósticos meteorológicos a un día.</w:t>
      </w:r>
    </w:p>
    <w:bookmarkEnd w:id="51"/>
    <w:bookmarkStart w:id="54" w:name="disponibilidad-de-datos"/>
    <w:p>
      <w:pPr>
        <w:pStyle w:val="Heading1"/>
      </w:pPr>
      <w:r>
        <w:t xml:space="preserve">6. Disponibilidad de datos</w:t>
      </w:r>
    </w:p>
    <w:p>
      <w:pPr>
        <w:pStyle w:val="FirstParagraph"/>
      </w:pPr>
      <w:r>
        <w:t xml:space="preserve">Los datos procesados, las predicciones de test, los modelos entrenados y las tablas derivadas están disponibles en el release v2.0.1 de GitHub (</w:t>
      </w:r>
      <w:hyperlink r:id="rId52">
        <w:r>
          <w:rPr>
            <w:rStyle w:val="Hyperlink"/>
          </w:rPr>
          <w:t xml:space="preserve">https://github.com/sanchezmartin093-code/Incendios_PY/releases/tag/v2.0.1</w:t>
        </w:r>
      </w:hyperlink>
      <w:r>
        <w:t xml:space="preserve">; asset</w:t>
      </w:r>
      <w:r>
        <w:t xml:space="preserve"> </w:t>
      </w:r>
      <w:r>
        <w:rPr>
          <w:rStyle w:val="VerbatimChar"/>
        </w:rPr>
        <w:t xml:space="preserve">Incendios_PY_data_v2.0.1.zip</w:t>
      </w:r>
      <w:r>
        <w:t xml:space="preserve">) bajo CC BY 4.0, y se documentan bajo el DOI conceptual de datos</w:t>
      </w:r>
      <w:r>
        <w:t xml:space="preserve"> </w:t>
      </w:r>
      <w:hyperlink r:id="rId53">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4"/>
    <w:bookmarkStart w:id="55"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5"/>
    <w:bookmarkStart w:id="56"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6"/>
    <w:bookmarkStart w:id="57"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7"/>
    <w:bookmarkStart w:id="58"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8"/>
    <w:bookmarkStart w:id="59"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59"/>
    <w:bookmarkStart w:id="64"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0">
        <w:r>
          <w:rPr>
            <w:rStyle w:val="Hyperlink"/>
          </w:rPr>
          <w:t xml:space="preserve">https://github.com/sanchezmartin093-code/Incendios_PY</w:t>
        </w:r>
      </w:hyperlink>
      <w:r>
        <w:br/>
      </w:r>
      <w:r>
        <w:rPr>
          <w:b/>
          <w:bCs/>
        </w:rPr>
        <w:t xml:space="preserve">DOI de versión del código:</w:t>
      </w:r>
      <w:r>
        <w:t xml:space="preserve"> </w:t>
      </w:r>
      <w:hyperlink r:id="rId61">
        <w:r>
          <w:rPr>
            <w:rStyle w:val="Hyperlink"/>
          </w:rPr>
          <w:t xml:space="preserve">10.5281/zenodo.23718675</w:t>
        </w:r>
      </w:hyperlink>
      <w:r>
        <w:br/>
      </w:r>
      <w:r>
        <w:rPr>
          <w:b/>
          <w:bCs/>
        </w:rPr>
        <w:t xml:space="preserve">DOI de versión de los datos:</w:t>
      </w:r>
      <w:r>
        <w:t xml:space="preserve"> </w:t>
      </w:r>
      <w:hyperlink r:id="rId62">
        <w:r>
          <w:rPr>
            <w:rStyle w:val="Hyperlink"/>
          </w:rPr>
          <w:t xml:space="preserve">10.5281/zenodo.23718676</w:t>
        </w:r>
      </w:hyperlink>
      <w:r>
        <w:br/>
      </w:r>
      <w:r>
        <w:rPr>
          <w:b/>
          <w:bCs/>
        </w:rPr>
        <w:t xml:space="preserve">DOI conceptual del código:</w:t>
      </w:r>
      <w:r>
        <w:t xml:space="preserve"> </w:t>
      </w:r>
      <w:hyperlink r:id="rId63">
        <w:r>
          <w:rPr>
            <w:rStyle w:val="Hyperlink"/>
          </w:rPr>
          <w:t xml:space="preserve">10.5281/zenodo.23675104</w:t>
        </w:r>
      </w:hyperlink>
      <w:r>
        <w:br/>
      </w:r>
      <w:r>
        <w:rPr>
          <w:b/>
          <w:bCs/>
        </w:rPr>
        <w:t xml:space="preserve">DOI conceptual de los datos:</w:t>
      </w:r>
      <w:r>
        <w:t xml:space="preserve"> </w:t>
      </w:r>
      <w:hyperlink r:id="rId53">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4"/>
    <w:bookmarkStart w:id="117" w:name="referencias"/>
    <w:p>
      <w:pPr>
        <w:pStyle w:val="Heading1"/>
      </w:pPr>
      <w:r>
        <w:t xml:space="preserve">Referencias</w:t>
      </w:r>
    </w:p>
    <w:bookmarkStart w:id="116" w:name="refs"/>
    <w:bookmarkStart w:id="66"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5">
        <w:r>
          <w:rPr>
            <w:rStyle w:val="Hyperlink"/>
          </w:rPr>
          <w:t xml:space="preserve">https://doi.org/10.3390/rs10091438</w:t>
        </w:r>
      </w:hyperlink>
    </w:p>
    <w:bookmarkEnd w:id="66"/>
    <w:bookmarkStart w:id="68"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7">
        <w:r>
          <w:rPr>
            <w:rStyle w:val="Hyperlink"/>
          </w:rPr>
          <w:t xml:space="preserve">https://doi.org/10.3390/s20226442</w:t>
        </w:r>
      </w:hyperlink>
    </w:p>
    <w:bookmarkEnd w:id="68"/>
    <w:bookmarkStart w:id="70"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9">
        <w:r>
          <w:rPr>
            <w:rStyle w:val="Hyperlink"/>
          </w:rPr>
          <w:t xml:space="preserve">https://doi.org/10.1111/gcb.13521</w:t>
        </w:r>
      </w:hyperlink>
    </w:p>
    <w:bookmarkEnd w:id="70"/>
    <w:bookmarkStart w:id="72"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1">
        <w:r>
          <w:rPr>
            <w:rStyle w:val="Hyperlink"/>
          </w:rPr>
          <w:t xml:space="preserve">https://doi.org/10.1111/j.2007.0906-7590.05171.x</w:t>
        </w:r>
      </w:hyperlink>
    </w:p>
    <w:bookmarkEnd w:id="72"/>
    <w:bookmarkStart w:id="74"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3">
        <w:r>
          <w:rPr>
            <w:rStyle w:val="Hyperlink"/>
          </w:rPr>
          <w:t xml:space="preserve">https://doi.org/10.1071/WF08187</w:t>
        </w:r>
      </w:hyperlink>
    </w:p>
    <w:bookmarkEnd w:id="74"/>
    <w:bookmarkStart w:id="76"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75">
        <w:r>
          <w:rPr>
            <w:rStyle w:val="Hyperlink"/>
          </w:rPr>
          <w:t xml:space="preserve">https://doi.org/10.1007/s10584-015-1521-0</w:t>
        </w:r>
      </w:hyperlink>
    </w:p>
    <w:bookmarkEnd w:id="76"/>
    <w:bookmarkStart w:id="78"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7">
        <w:r>
          <w:rPr>
            <w:rStyle w:val="Hyperlink"/>
          </w:rPr>
          <w:t xml:space="preserve">https://doi.org/10.1126/science.1244693</w:t>
        </w:r>
      </w:hyperlink>
    </w:p>
    <w:bookmarkEnd w:id="78"/>
    <w:bookmarkStart w:id="80"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9">
        <w:r>
          <w:rPr>
            <w:rStyle w:val="Hyperlink"/>
          </w:rPr>
          <w:t xml:space="preserve">https://doi.org/10.1139/er-2020-0019</w:t>
        </w:r>
      </w:hyperlink>
    </w:p>
    <w:bookmarkEnd w:id="80"/>
    <w:bookmarkStart w:id="82"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81">
        <w:r>
          <w:rPr>
            <w:rStyle w:val="Hyperlink"/>
          </w:rPr>
          <w:t xml:space="preserve">https://doi.org/10.1038/ncomms8537</w:t>
        </w:r>
      </w:hyperlink>
    </w:p>
    <w:bookmarkEnd w:id="82"/>
    <w:bookmarkStart w:id="83"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3"/>
    <w:bookmarkStart w:id="85"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4">
        <w:r>
          <w:rPr>
            <w:rStyle w:val="Hyperlink"/>
          </w:rPr>
          <w:t xml:space="preserve">https://doi.org/10.2307/1939924</w:t>
        </w:r>
      </w:hyperlink>
    </w:p>
    <w:bookmarkEnd w:id="85"/>
    <w:bookmarkStart w:id="87"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6">
        <w:r>
          <w:rPr>
            <w:rStyle w:val="Hyperlink"/>
          </w:rPr>
          <w:t xml:space="preserve">https://doi.org/10.1038/s42256-019-0138-9</w:t>
        </w:r>
      </w:hyperlink>
    </w:p>
    <w:bookmarkEnd w:id="87"/>
    <w:bookmarkStart w:id="8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8">
        <w:r>
          <w:rPr>
            <w:rStyle w:val="Hyperlink"/>
          </w:rPr>
          <w:t xml:space="preserve">https://chaco.mapbiomas.org/</w:t>
        </w:r>
      </w:hyperlink>
      <w:r>
        <w:t xml:space="preserve">.</w:t>
      </w:r>
    </w:p>
    <w:bookmarkEnd w:id="89"/>
    <w:bookmarkStart w:id="9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90">
        <w:r>
          <w:rPr>
            <w:rStyle w:val="Hyperlink"/>
          </w:rPr>
          <w:t xml:space="preserve">https://doi.org/10.5194/essd-13-4349-2021</w:t>
        </w:r>
      </w:hyperlink>
    </w:p>
    <w:bookmarkEnd w:id="91"/>
    <w:bookmarkStart w:id="93"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92">
        <w:r>
          <w:rPr>
            <w:rStyle w:val="Hyperlink"/>
          </w:rPr>
          <w:t xml:space="preserve">https://doi.org/10.1145/1102351.1102430</w:t>
        </w:r>
      </w:hyperlink>
    </w:p>
    <w:bookmarkEnd w:id="93"/>
    <w:bookmarkStart w:id="95"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94">
        <w:r>
          <w:rPr>
            <w:rStyle w:val="Hyperlink"/>
          </w:rPr>
          <w:t xml:space="preserve">https://doi.org/10.1016/j.pecon.2021.06.005</w:t>
        </w:r>
      </w:hyperlink>
    </w:p>
    <w:bookmarkEnd w:id="95"/>
    <w:bookmarkStart w:id="96"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6"/>
    <w:bookmarkStart w:id="98"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7">
        <w:r>
          <w:rPr>
            <w:rStyle w:val="Hyperlink"/>
          </w:rPr>
          <w:t xml:space="preserve">https://doi.org/10.1038/s41467-020-18321-y</w:t>
        </w:r>
      </w:hyperlink>
    </w:p>
    <w:bookmarkEnd w:id="98"/>
    <w:bookmarkStart w:id="100"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9">
        <w:r>
          <w:rPr>
            <w:rStyle w:val="Hyperlink"/>
          </w:rPr>
          <w:t xml:space="preserve">https://doi.org/10.1145/3299869.3320212</w:t>
        </w:r>
      </w:hyperlink>
    </w:p>
    <w:bookmarkEnd w:id="100"/>
    <w:bookmarkStart w:id="102"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01">
        <w:r>
          <w:rPr>
            <w:rStyle w:val="Hyperlink"/>
          </w:rPr>
          <w:t xml:space="preserve">https://doi.org/10.1111/ecog.02881</w:t>
        </w:r>
      </w:hyperlink>
    </w:p>
    <w:bookmarkEnd w:id="102"/>
    <w:bookmarkStart w:id="104"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03">
        <w:r>
          <w:rPr>
            <w:rStyle w:val="Hyperlink"/>
          </w:rPr>
          <w:t xml:space="preserve">https://doi.org/10.5772/28441</w:t>
        </w:r>
      </w:hyperlink>
    </w:p>
    <w:bookmarkEnd w:id="104"/>
    <w:bookmarkStart w:id="10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05">
        <w:r>
          <w:rPr>
            <w:rStyle w:val="Hyperlink"/>
          </w:rPr>
          <w:t xml:space="preserve">https://doi.org/10.1016/j.rse.2013.12.008</w:t>
        </w:r>
      </w:hyperlink>
    </w:p>
    <w:bookmarkEnd w:id="106"/>
    <w:bookmarkStart w:id="10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7">
        <w:r>
          <w:rPr>
            <w:rStyle w:val="Hyperlink"/>
          </w:rPr>
          <w:t xml:space="preserve">http://queimadas.dgi.inpe.br</w:t>
        </w:r>
      </w:hyperlink>
    </w:p>
    <w:bookmarkEnd w:id="108"/>
    <w:bookmarkStart w:id="110"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9">
        <w:r>
          <w:rPr>
            <w:rStyle w:val="Hyperlink"/>
          </w:rPr>
          <w:t xml:space="preserve">https://doi.org/10.5558/tfc65258-4</w:t>
        </w:r>
      </w:hyperlink>
    </w:p>
    <w:bookmarkEnd w:id="110"/>
    <w:bookmarkStart w:id="112"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11">
        <w:r>
          <w:rPr>
            <w:rStyle w:val="Hyperlink"/>
          </w:rPr>
          <w:t xml:space="preserve">https://doi.org/10.2307/143141</w:t>
        </w:r>
      </w:hyperlink>
    </w:p>
    <w:bookmarkEnd w:id="112"/>
    <w:bookmarkStart w:id="114"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13">
        <w:r>
          <w:rPr>
            <w:rStyle w:val="Hyperlink"/>
          </w:rPr>
          <w:t xml:space="preserve">https://doi.org/10.1016/j.jaridenv.2014.11.009</w:t>
        </w:r>
      </w:hyperlink>
    </w:p>
    <w:bookmarkEnd w:id="114"/>
    <w:bookmarkStart w:id="115"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7" Target="http://queimadas.dgi.inpe.br" TargetMode="External" /><Relationship Type="http://schemas.openxmlformats.org/officeDocument/2006/relationships/hyperlink" Id="rId88" Target="https://chaco.mapbiomas.org/" TargetMode="External" /><Relationship Type="http://schemas.openxmlformats.org/officeDocument/2006/relationships/hyperlink" Id="rId75" Target="https://doi.org/10.1007/s10584-015-1521-0" TargetMode="External" /><Relationship Type="http://schemas.openxmlformats.org/officeDocument/2006/relationships/hyperlink" Id="rId113" Target="https://doi.org/10.1016/j.jaridenv.2014.11.009" TargetMode="External" /><Relationship Type="http://schemas.openxmlformats.org/officeDocument/2006/relationships/hyperlink" Id="rId94" Target="https://doi.org/10.1016/j.pecon.2021.06.005" TargetMode="External" /><Relationship Type="http://schemas.openxmlformats.org/officeDocument/2006/relationships/hyperlink" Id="rId105" Target="https://doi.org/10.1016/j.rse.2013.12.008" TargetMode="External" /><Relationship Type="http://schemas.openxmlformats.org/officeDocument/2006/relationships/hyperlink" Id="rId81" Target="https://doi.org/10.1038/ncomms8537" TargetMode="External" /><Relationship Type="http://schemas.openxmlformats.org/officeDocument/2006/relationships/hyperlink" Id="rId97" Target="https://doi.org/10.1038/s41467-020-18321-y" TargetMode="External" /><Relationship Type="http://schemas.openxmlformats.org/officeDocument/2006/relationships/hyperlink" Id="rId86" Target="https://doi.org/10.1038/s42256-019-0138-9" TargetMode="External" /><Relationship Type="http://schemas.openxmlformats.org/officeDocument/2006/relationships/hyperlink" Id="rId73" Target="https://doi.org/10.1071/WF08187" TargetMode="External" /><Relationship Type="http://schemas.openxmlformats.org/officeDocument/2006/relationships/hyperlink" Id="rId10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7" Target="https://doi.org/10.1126/science.1244693" TargetMode="External" /><Relationship Type="http://schemas.openxmlformats.org/officeDocument/2006/relationships/hyperlink" Id="rId79" Target="https://doi.org/10.1139/er-2020-0019" TargetMode="External" /><Relationship Type="http://schemas.openxmlformats.org/officeDocument/2006/relationships/hyperlink" Id="rId92" Target="https://doi.org/10.1145/1102351.1102430" TargetMode="External" /><Relationship Type="http://schemas.openxmlformats.org/officeDocument/2006/relationships/hyperlink" Id="rId99" Target="https://doi.org/10.1145/3299869.3320212" TargetMode="External" /><Relationship Type="http://schemas.openxmlformats.org/officeDocument/2006/relationships/hyperlink" Id="rId111" Target="https://doi.org/10.2307/143141" TargetMode="External" /><Relationship Type="http://schemas.openxmlformats.org/officeDocument/2006/relationships/hyperlink" Id="rId84"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90" Target="https://doi.org/10.5194/essd-13-4349-2021"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8675" TargetMode="External" /><Relationship Type="http://schemas.openxmlformats.org/officeDocument/2006/relationships/hyperlink" Id="rId62" Target="https://doi.org/10.5281/zenodo.23718676" TargetMode="External" /><Relationship Type="http://schemas.openxmlformats.org/officeDocument/2006/relationships/hyperlink" Id="rId109" Target="https://doi.org/10.5558/tfc65258-4" TargetMode="External" /><Relationship Type="http://schemas.openxmlformats.org/officeDocument/2006/relationships/hyperlink" Id="rId10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_rels/footnotes.xml.rels><?xml version="1.0" encoding="UTF-8"?><Relationships xmlns="http://schemas.openxmlformats.org/package/2006/relationships"><Relationship Type="http://schemas.openxmlformats.org/officeDocument/2006/relationships/hyperlink" Id="rId107" Target="http://queimadas.dgi.inpe.br" TargetMode="External" /><Relationship Type="http://schemas.openxmlformats.org/officeDocument/2006/relationships/hyperlink" Id="rId88" Target="https://chaco.mapbiomas.org/" TargetMode="External" /><Relationship Type="http://schemas.openxmlformats.org/officeDocument/2006/relationships/hyperlink" Id="rId75" Target="https://doi.org/10.1007/s10584-015-1521-0" TargetMode="External" /><Relationship Type="http://schemas.openxmlformats.org/officeDocument/2006/relationships/hyperlink" Id="rId113" Target="https://doi.org/10.1016/j.jaridenv.2014.11.009" TargetMode="External" /><Relationship Type="http://schemas.openxmlformats.org/officeDocument/2006/relationships/hyperlink" Id="rId94" Target="https://doi.org/10.1016/j.pecon.2021.06.005" TargetMode="External" /><Relationship Type="http://schemas.openxmlformats.org/officeDocument/2006/relationships/hyperlink" Id="rId105" Target="https://doi.org/10.1016/j.rse.2013.12.008" TargetMode="External" /><Relationship Type="http://schemas.openxmlformats.org/officeDocument/2006/relationships/hyperlink" Id="rId81" Target="https://doi.org/10.1038/ncomms8537" TargetMode="External" /><Relationship Type="http://schemas.openxmlformats.org/officeDocument/2006/relationships/hyperlink" Id="rId97" Target="https://doi.org/10.1038/s41467-020-18321-y" TargetMode="External" /><Relationship Type="http://schemas.openxmlformats.org/officeDocument/2006/relationships/hyperlink" Id="rId86" Target="https://doi.org/10.1038/s42256-019-0138-9" TargetMode="External" /><Relationship Type="http://schemas.openxmlformats.org/officeDocument/2006/relationships/hyperlink" Id="rId73" Target="https://doi.org/10.1071/WF08187" TargetMode="External" /><Relationship Type="http://schemas.openxmlformats.org/officeDocument/2006/relationships/hyperlink" Id="rId10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7" Target="https://doi.org/10.1126/science.1244693" TargetMode="External" /><Relationship Type="http://schemas.openxmlformats.org/officeDocument/2006/relationships/hyperlink" Id="rId79" Target="https://doi.org/10.1139/er-2020-0019" TargetMode="External" /><Relationship Type="http://schemas.openxmlformats.org/officeDocument/2006/relationships/hyperlink" Id="rId92" Target="https://doi.org/10.1145/1102351.1102430" TargetMode="External" /><Relationship Type="http://schemas.openxmlformats.org/officeDocument/2006/relationships/hyperlink" Id="rId99" Target="https://doi.org/10.1145/3299869.3320212" TargetMode="External" /><Relationship Type="http://schemas.openxmlformats.org/officeDocument/2006/relationships/hyperlink" Id="rId111" Target="https://doi.org/10.2307/143141" TargetMode="External" /><Relationship Type="http://schemas.openxmlformats.org/officeDocument/2006/relationships/hyperlink" Id="rId84"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90" Target="https://doi.org/10.5194/essd-13-4349-2021"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8675" TargetMode="External" /><Relationship Type="http://schemas.openxmlformats.org/officeDocument/2006/relationships/hyperlink" Id="rId62" Target="https://doi.org/10.5281/zenodo.23718676" TargetMode="External" /><Relationship Type="http://schemas.openxmlformats.org/officeDocument/2006/relationships/hyperlink" Id="rId109" Target="https://doi.org/10.5558/tfc65258-4" TargetMode="External" /><Relationship Type="http://schemas.openxmlformats.org/officeDocument/2006/relationships/hyperlink" Id="rId10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2026-10-28T18:39:10Z</dcterms:created>
  <dcterms:modified xsi:type="dcterms:W3CDTF">2026-10-28T18:39:10Z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date">
    <vt:lpwstr>2026-10-28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