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Material Suplementario Electrónico (ESM): Desacoplando el Peligro Biofísico de Ignición y la Propagación Táctica de Incendios Forestales en el Gran Chaco mediante GeoAI Multiescala</w:t>
      </w:r>
    </w:p>
    <w:p>
      <w:pPr>
        <w:pStyle w:val="Subtitle"/>
      </w:pPr>
      <w:r>
        <w:t xml:space="preserve">Demostraciones matemáticas formales, protocolos de corrección óptica satelital, especificaciones de hiperparámetros y tablas departamentales extendidas [VERSIÓN ANONIMIZADA PARA ARBITRAJE DOBLE CIEGO]</w:t>
      </w:r>
    </w:p>
    <w:p>
      <w:pPr>
        <w:pStyle w:val="Date"/>
      </w:pPr>
      <w:r>
        <w:t xml:space="preserve">2026-10-24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 del Material Suplementario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NOTA DE ANONIMIZACIÓN EDITORIAL (</w:t>
      </w:r>
      <w:r>
        <w:rPr>
          <w:b/>
          <w:bCs/>
          <w:i/>
          <w:iCs/>
        </w:rPr>
        <w:t xml:space="preserve">DOUBLE-ANONYMOUS PEER REVIEW</w:t>
      </w:r>
      <w:r>
        <w:rPr>
          <w:b/>
          <w:bCs/>
        </w:rPr>
        <w:t xml:space="preserve">):</w:t>
      </w:r>
      <w:r>
        <w:br/>
      </w:r>
      <w:r>
        <w:rPr>
          <w:b/>
          <w:bCs/>
        </w:rPr>
        <w:t xml:space="preserve">Revista Objetivo: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(Elsevier)</w:t>
      </w:r>
      <w:r>
        <w:br/>
      </w:r>
      <w:r>
        <w:rPr>
          <w:b/>
          <w:bCs/>
        </w:rPr>
        <w:t xml:space="preserve">Título del Manuscrito:</w:t>
      </w:r>
      <w:r>
        <w:t xml:space="preserve"> </w:t>
      </w:r>
      <w:r>
        <w:rPr>
          <w:i/>
          <w:iCs/>
        </w:rPr>
        <w:t xml:space="preserve">Desacoplando el peligro biofísico de ignición y la propagación táctica de incendios forestales en el Gran Chaco mediante GeoAI multiescala (2015–2025)</w:t>
      </w:r>
      <w:r>
        <w:br/>
      </w:r>
      <w:r>
        <w:rPr>
          <w:b/>
          <w:bCs/>
        </w:rPr>
        <w:t xml:space="preserve">Autor(es):</w:t>
      </w:r>
      <w:r>
        <w:t xml:space="preserve"> </w:t>
      </w:r>
      <w:r>
        <w:t xml:space="preserve">[Información de autoría e instituciones cegada para arbitraje doble ciego]</w:t>
      </w:r>
    </w:p>
    <w:p>
      <w:r>
        <w:pict>
          <v:rect style="width:0;height:1.5pt" o:hralign="center" o:hrstd="t" o:hr="t"/>
        </w:pict>
      </w:r>
    </w:p>
    <w:bookmarkStart w:id="9" w:name="índice-del-material-suplementario"/>
    <w:p>
      <w:pPr>
        <w:pStyle w:val="Heading1"/>
      </w:pPr>
      <w:r>
        <w:t xml:space="preserve">Índice del Material Suplementario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S1:</w:t>
      </w:r>
      <w:r>
        <w:t xml:space="preserve"> </w:t>
      </w:r>
      <w:r>
        <w:t xml:space="preserve">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 VIIRS 375 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S2:</w:t>
      </w:r>
      <w:r>
        <w:t xml:space="preserve"> </w:t>
      </w:r>
      <w:r>
        <w:t xml:space="preserve">Demostración analítica y condiciones de monotonicidad de la calibración monótona acotada de Platt.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Texto Suplementario S3:</w:t>
      </w:r>
      <w:r>
        <w:t xml:space="preserve"> </w:t>
      </w:r>
      <w:r>
        <w:t xml:space="preserve">Análisis de autocorrelación espacial por semivariograma y determinación del radio de zona muerta (20 km).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S1:</w:t>
      </w:r>
      <w:r>
        <w:t xml:space="preserve"> </w:t>
      </w:r>
      <w:r>
        <w:t xml:space="preserve">Diccionario completo y especificación física de las 25 variables predictoras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S2:</w:t>
      </w:r>
      <w:r>
        <w:t xml:space="preserve"> </w:t>
      </w:r>
      <w:r>
        <w:t xml:space="preserve">Espacio de búsqueda de hiperparámetros y regularización óptima de LightGBM por región y capa.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S3:</w:t>
      </w:r>
      <w:r>
        <w:t xml:space="preserve"> </w:t>
      </w:r>
      <w:r>
        <w:t xml:space="preserve">Desglose departamental exhaustivo de desempeño predictivo en las 17 gobernaciones de Paraguay.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Tabla Suplementaria S4:</w:t>
      </w:r>
      <w:r>
        <w:t xml:space="preserve"> </w:t>
      </w:r>
      <w:r>
        <w:t xml:space="preserve">Perfil de consumo computacional, latencia por bloque y memoria RAM en procesadores ARM64 y x86_64.</w:t>
      </w:r>
    </w:p>
    <w:p>
      <w:r>
        <w:pict>
          <v:rect style="width:0;height:1.5pt" o:hralign="center" o:hrstd="t" o:hr="t"/>
        </w:pict>
      </w:r>
    </w:p>
    <w:bookmarkEnd w:id="9"/>
    <w:bookmarkStart w:id="12" w:name="Xa40efbf7955eca041ce494731fdd7200ed3cf41"/>
    <w:p>
      <w:pPr>
        <w:pStyle w:val="Heading1"/>
      </w:pPr>
      <w:r>
        <w:t xml:space="preserve">Texto Suplementario S1: Protocolo de Corrección Geométrica del Efecto</w:t>
      </w:r>
      <w:r>
        <w:t xml:space="preserve"> </w:t>
      </w:r>
      <w:r>
        <w:rPr>
          <w:i/>
          <w:iCs/>
        </w:rPr>
        <w:t xml:space="preserve">Bow-Tie</w:t>
      </w:r>
      <w:r>
        <w:t xml:space="preserve"> </w:t>
      </w:r>
      <w:r>
        <w:t xml:space="preserve">y Armonización Multi-Constelación</w:t>
      </w:r>
    </w:p>
    <w:p>
      <w:pPr>
        <w:pStyle w:val="FirstParagraph"/>
      </w:pPr>
      <w:r>
        <w:t xml:space="preserve">Los sensores VIIRS a bordo de las plataformas Suomi-NPP, NOAA-20 y NOAA-21 realizan un barrido transversal (</w:t>
      </w:r>
      <w:r>
        <w:rPr>
          <w:i/>
          <w:iCs/>
        </w:rPr>
        <w:t xml:space="preserve">cross-track</w:t>
      </w:r>
      <w:r>
        <w:t xml:space="preserve">) mediante un conjunto de detectores que muestrean una franja de aproximadamente</w:t>
      </w:r>
      <w:r>
        <w:t xml:space="preserve"> </w:t>
      </w:r>
      <m:oMath>
        <m:r>
          <m:t>3.040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(Schroeder et al., 2014)</w:t>
      </w:r>
      <w:r>
        <w:t xml:space="preserve">. Debido a la geometría de proyección esférica de la Tierra, los píxeles ubicados hacia los bordes extremos del barrido sufren un ensanchamiento físico considerable:</w:t>
      </w:r>
      <w:r>
        <w:t xml:space="preserve"> </w:t>
      </w:r>
      <w:r>
        <w:t xml:space="preserve">- En el nadir (ángulo de visión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el píxel tiene un tamaño nominal de</w:t>
      </w:r>
      <w:r>
        <w:t xml:space="preserve"> </w:t>
      </w:r>
      <m:oMath>
        <m:r>
          <m:t>375</m:t>
        </m:r>
        <m:r>
          <m:rPr>
            <m:nor/>
            <m:sty m:val="p"/>
          </m:rPr>
          <m:t> m</m:t>
        </m:r>
        <m:r>
          <m:rPr>
            <m:sty m:val="p"/>
          </m:rPr>
          <m:t>×</m:t>
        </m:r>
        <m:r>
          <m:t>375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14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- En el borde del barrido (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56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la proyección geométrica ensancha el píxel hasta alcanzar dimensiones efectivas de hasta</w:t>
      </w:r>
      <w:r>
        <w:t xml:space="preserve"> </w:t>
      </w:r>
      <m:oMath>
        <m:r>
          <m:t>1.600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de barrido transversal (</w:t>
      </w:r>
      <m:oMath>
        <m:r>
          <m:rPr>
            <m:nor/>
            <m:sty m:val="p"/>
          </m:rPr>
          <m:t>scan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6</m:t>
        </m:r>
        <m:r>
          <m:rPr>
            <m:nor/>
            <m:sty m:val="p"/>
          </m:rPr>
          <m:t> km</m:t>
        </m:r>
      </m:oMath>
      <w:r>
        <w:t xml:space="preserve">) y</w:t>
      </w:r>
      <w:r>
        <w:t xml:space="preserve"> </w:t>
      </w:r>
      <m:oMath>
        <m:r>
          <m:t>800</m:t>
        </m:r>
        <m:r>
          <m:rPr>
            <m:nor/>
            <m:sty m:val="p"/>
          </m:rPr>
          <m:t> m</m:t>
        </m:r>
      </m:oMath>
      <w:r>
        <w:t xml:space="preserve"> </w:t>
      </w:r>
      <w:r>
        <w:t xml:space="preserve">a lo largo de la trayectoria (</w:t>
      </w:r>
      <w:r>
        <w:rPr>
          <w:i/>
          <w:iCs/>
        </w:rPr>
        <w:t xml:space="preserve">track</w:t>
      </w:r>
      <w:r>
        <w:t xml:space="preserve">).</w:t>
      </w:r>
    </w:p>
    <w:p>
      <w:pPr>
        <w:pStyle w:val="BodyText"/>
      </w:pPr>
      <w:r>
        <w:t xml:space="preserve">Este fenómeno, conocido como</w:t>
      </w:r>
      <w:r>
        <w:t xml:space="preserve"> </w:t>
      </w:r>
      <w:r>
        <w:rPr>
          <w:b/>
          <w:bCs/>
        </w:rPr>
        <w:t xml:space="preserve">efecto corbatín (</w:t>
      </w:r>
      <w:r>
        <w:rPr>
          <w:b/>
          <w:bCs/>
          <w:i/>
          <w:iCs/>
        </w:rPr>
        <w:t xml:space="preserve">Bow-Tie Effect</w:t>
      </w:r>
      <w:r>
        <w:rPr>
          <w:b/>
          <w:bCs/>
        </w:rPr>
        <w:t xml:space="preserve">)</w:t>
      </w:r>
      <w:r>
        <w:t xml:space="preserve">, introduce una triple distorsión: (1) solapamiento espacial entre barridos consecutivos donde el mismo foco de calor es detectado múltiples veces en píxeles adyacentes; (2) dilución de la potencia radiativa del fuego (</w:t>
      </w:r>
      <m:oMath>
        <m:r>
          <m:t>F</m:t>
        </m:r>
        <m:r>
          <m:t>R</m:t>
        </m:r>
        <m:r>
          <m:t>P</m:t>
        </m:r>
      </m:oMath>
      <w:r>
        <w:t xml:space="preserve"> </w:t>
      </w:r>
      <w:r>
        <w:t xml:space="preserve">en megavatios) sobre un área aparente diez veces mayor; y (3) asignación errónea de celdas en la grilla nacional soberana de 1 km².</w:t>
      </w:r>
    </w:p>
    <w:bookmarkStart w:id="11" w:name="X8ff086afd09f71af6acd1b5ed6711c5f513bba8"/>
    <w:p>
      <w:pPr>
        <w:pStyle w:val="Heading3"/>
      </w:pPr>
      <w:r>
        <w:t xml:space="preserve">Regla de Filtrado Cinemático Implementada</w:t>
      </w:r>
    </w:p>
    <w:p>
      <w:pPr>
        <w:pStyle w:val="FirstParagraph"/>
      </w:pPr>
      <w:r>
        <w:t xml:space="preserve">En la función</w:t>
      </w:r>
      <w:r>
        <w:t xml:space="preserve"> </w:t>
      </w:r>
      <w:hyperlink r:id="rId10">
        <w:r>
          <w:rPr>
            <w:rStyle w:val="VerbatimChar"/>
          </w:rPr>
          <w:t xml:space="preserve">procesar_focos_firms_a_grilla</w:t>
        </w:r>
      </w:hyperlink>
      <w:r>
        <w:t xml:space="preserve">, aplicamos una regla de depuración cinemática estricta: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filtrado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raw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scan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nor/>
                  <m:sty m:val="p"/>
                </m:rPr>
                <m:t> km</m:t>
              </m:r>
              <m:r>
                <m:t> </m:t>
              </m:r>
              <m:r>
                <m:rPr>
                  <m:sty m:val="p"/>
                </m:rPr>
                <m:t>∧</m:t>
              </m:r>
              <m:r>
                <m:t> </m:t>
              </m:r>
              <m:r>
                <m:rPr>
                  <m:nor/>
                  <m:sty m:val="p"/>
                </m:rPr>
                <m:t>confidence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’low’</m:t>
              </m:r>
            </m:e>
          </m:d>
        </m:oMath>
      </m:oMathPara>
    </w:p>
    <w:p>
      <w:pPr>
        <w:pStyle w:val="FirstParagraph"/>
      </w:pPr>
      <w:r>
        <w:t xml:space="preserve">Tras aplicar este filtro, los focos duplicados generados por el solapamiento óptico de los tres satélites en la misma fecha civil se consolidan mediante agregación relacional sobre la celda de 1 km²: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num_focos_dia</m:t>
        </m:r>
        <m:r>
          <m:rPr>
            <m:sty m:val="p"/>
          </m:rPr>
          <m:t>=</m:t>
        </m:r>
        <m:r>
          <m:rPr>
            <m:nor/>
            <m:sty m:val="p"/>
          </m:rPr>
          <m:t>count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max_frp_dia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rPr>
            <m:nor/>
            <m:sty m:val="p"/>
          </m:rPr>
          <m:t>sum_frp_dia</m:t>
        </m:r>
        <m:r>
          <m:rPr>
            <m:sty m:val="p"/>
          </m:rPr>
          <m:t>=</m:t>
        </m:r>
        <m:r>
          <m:rPr>
            <m:sty m:val="p"/>
          </m:rPr>
          <m:t>∑</m:t>
        </m:r>
        <m:r>
          <m:t>F</m:t>
        </m:r>
        <m:r>
          <m:t>R</m:t>
        </m:r>
        <m:sSub>
          <m:e>
            <m:r>
              <m:t>P</m:t>
            </m:r>
          </m:e>
          <m:sub>
            <m:r>
              <m:t>f</m:t>
            </m:r>
          </m:sub>
        </m:sSub>
      </m:oMath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Xd19381823fd1fcfe819f3d44e1ec05b48f6833a"/>
    <w:p>
      <w:pPr>
        <w:pStyle w:val="Heading1"/>
      </w:pPr>
      <w:r>
        <w:t xml:space="preserve">Texto Suplementario S2: Demostración Analítica de la Calibración Monótona Acotada de Platt</w:t>
      </w:r>
    </w:p>
    <w:p>
      <w:pPr>
        <w:pStyle w:val="FirstParagraph"/>
      </w:pPr>
      <w:r>
        <w:t xml:space="preserve">Sea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el margen (</w:t>
      </w:r>
      <w:r>
        <w:rPr>
          <w:i/>
          <w:iCs/>
        </w:rPr>
        <w:t xml:space="preserve">logit</w:t>
      </w:r>
      <w:r>
        <w:t xml:space="preserve"> </w:t>
      </w:r>
      <w:r>
        <w:t xml:space="preserve">o puntuación continua no acotada) producido por un ensamble de árboles LightGBM para la celda</w:t>
      </w:r>
      <w:r>
        <w:t xml:space="preserve"> </w:t>
      </w:r>
      <m:oMath>
        <m:r>
          <m:t>i</m:t>
        </m:r>
      </m:oMath>
      <w:r>
        <w:t xml:space="preserve">, y sea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la etiqueta binaria empírica de fuego. La transformación estándar de Platt busca dos parámetros escalares</w:t>
      </w:r>
      <w:r>
        <w:t xml:space="preserve"> </w:t>
      </w:r>
      <m:oMath>
        <m:r>
          <m:t>w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que minimicen la pérdida de entropía cruzada binaria: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bookmarkStart w:id="13" w:name="X59740cae8ddea862ec6d438f5077043a32ea401"/>
    <w:p>
      <w:pPr>
        <w:pStyle w:val="Heading3"/>
      </w:pPr>
      <w:r>
        <w:t xml:space="preserve">Teorema de Monotonicidad de Rango y Preservación del ROC-AUC</w:t>
      </w:r>
    </w:p>
    <w:p>
      <w:pPr>
        <w:pStyle w:val="FirstParagraph"/>
      </w:pPr>
      <w:r>
        <w:rPr>
          <w:b/>
          <w:bCs/>
        </w:rPr>
        <w:t xml:space="preserve">Proposición:</w:t>
      </w:r>
      <w:r>
        <w:t xml:space="preserve"> </w:t>
      </w:r>
      <w:r>
        <w:rPr>
          <w:i/>
          <w:iCs/>
        </w:rPr>
        <w:t xml:space="preserve">Si y solo si</w:t>
      </w:r>
      <w:r>
        <w:rPr>
          <w:i/>
          <w:iCs/>
        </w:rP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, la función de mapeo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t>w</m:t>
        </m:r>
        <m:r>
          <m:t>z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es estrictamente monótona creciente, y preserva idéntico el ordenamiento relativo de riesgo de las celdas, garantizando que el área bajo la curva ROC (ROC-AUC) del calibrador sea exactamente igual a la del ensamble base de árboles.</w:t>
      </w:r>
    </w:p>
    <w:p>
      <w:pPr>
        <w:pStyle w:val="BodyText"/>
      </w:pPr>
      <w:r>
        <w:rPr>
          <w:i/>
          <w:iCs/>
        </w:rPr>
        <w:t xml:space="preserve">Demostración:</w:t>
      </w:r>
      <w:r>
        <w:br/>
      </w:r>
      <w:r>
        <w:t xml:space="preserve">La derivada de primer orden de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respecto al margen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z</m:t>
              </m:r>
            </m:den>
          </m:f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σ</m:t>
          </m:r>
          <m:r>
            <m:rPr>
              <m:sty m:val="p"/>
            </m:rPr>
            <m:t>(</m:t>
          </m:r>
          <m:r>
            <m:t>w</m:t>
          </m:r>
          <m:r>
            <m:t>z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Dado que la función sigmoide toma valores estrictamente acotados en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el término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σ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para todo</w:t>
      </w:r>
      <w:r>
        <w:t xml:space="preserve"> </w:t>
      </w:r>
      <m:oMath>
        <m:r>
          <m:t>v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signo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z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signo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, entonces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m:oMath>
        <m:r>
          <m:rPr>
            <m:sty m:val="p"/>
          </m:rPr>
          <m:t>∀</m:t>
        </m:r>
        <m:r>
          <m:t>z</m:t>
        </m:r>
      </m:oMath>
      <w:r>
        <w:t xml:space="preserve">, lo que implica que para cualquier par de celdas con márgenes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, se cumple estrictamente que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 Como la curva ROC depende exclusivamente de la función de distribución acumulada de los rangos relativos de las predicciones y no de su escala absoluta, la transformación monótona creciente no modifica la tasa de verdaderos positivos ni de falsos positivos en ningún umbral de corte, de modo que: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ROC-AUC</m:t>
          </m:r>
          <m:d>
            <m:dPr>
              <m:begChr m:val="("/>
              <m:sepChr m:val=""/>
              <m:endChr m:val=")"/>
              <m:grow/>
            </m:dPr>
            <m:e>
              <m:r>
                <m:t>σ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≡</m:t>
          </m:r>
          <m:r>
            <m:rPr>
              <m:nor/>
              <m:sty m:val="p"/>
            </m:rPr>
            <m:t>ROC-AUC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∀</m:t>
          </m:r>
          <m:r>
            <m:t>w</m:t>
          </m:r>
          <m:r>
            <m:rPr>
              <m:sty m:val="p"/>
            </m:rPr>
            <m:t>&gt;</m:t>
          </m:r>
          <m:r>
            <m:t>0</m:t>
          </m:r>
        </m:oMath>
      </m:oMathPara>
    </w:p>
    <w:bookmarkEnd w:id="13"/>
    <w:bookmarkStart w:id="14" w:name="X66298d535b1b6e106ebcc5ae04d63ad845d6ac6"/>
    <w:p>
      <w:pPr>
        <w:pStyle w:val="Heading3"/>
      </w:pPr>
      <w:r>
        <w:t xml:space="preserve">Patología de la Regresión Logística No Restringida</w:t>
      </w:r>
    </w:p>
    <w:p>
      <w:pPr>
        <w:pStyle w:val="FirstParagraph"/>
      </w:pPr>
      <w:r>
        <w:t xml:space="preserve">En conjuntos de validación con desbalance extremo de clases (</w:t>
      </w:r>
      <m:oMath>
        <m:r>
          <m:rPr>
            <m:sty m:val="p"/>
          </m:rPr>
          <m:t>&lt;</m:t>
        </m:r>
        <m:r>
          <m:t>1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de presencias) o con distribuciones bimodales de margen, el optimizador L-BFGS de la regresión logística estándar puede converger en un mínimo espurio donde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. Bajo esta condición, la función se invierte: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p</m:t>
            </m:r>
          </m:num>
          <m:den>
            <m:r>
              <m:t>d</m:t>
            </m:r>
            <m:r>
              <m:t>z</m:t>
            </m:r>
          </m:den>
        </m:f>
        <m:r>
          <m:rPr>
            <m:sty m:val="p"/>
          </m:rPr>
          <m:t>&lt;</m:t>
        </m:r>
        <m:r>
          <m:t>0</m:t>
        </m:r>
      </m:oMath>
      <w:r>
        <w:t xml:space="preserve">, invirtiendo la curva ROC y transformando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77</m:t>
        </m:r>
      </m:oMath>
      <w:r>
        <w:t xml:space="preserve"> </w:t>
      </w:r>
      <w:r>
        <w:t xml:space="preserve">en un modelo con ROC-AUC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23</m:t>
        </m:r>
      </m:oMath>
      <w:r>
        <w:t xml:space="preserve">.</w:t>
      </w:r>
    </w:p>
    <w:bookmarkEnd w:id="14"/>
    <w:bookmarkStart w:id="16" w:name="formulación-acotada-en-incendios_py"/>
    <w:p>
      <w:pPr>
        <w:pStyle w:val="Heading3"/>
      </w:pPr>
      <w:r>
        <w:t xml:space="preserve">Formulación Acotada en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FirstParagraph"/>
      </w:pPr>
      <w:r>
        <w:t xml:space="preserve">Para inmunizar al sistema contra esta falla, formulamos el calibrador mediante optimización acotada del error cuadrático medio de Brier (algoritmo L-BFGS-B implementado en</w:t>
      </w:r>
      <w:r>
        <w:t xml:space="preserve"> </w:t>
      </w:r>
      <w:hyperlink r:id="rId15">
        <w:r>
          <w:rPr>
            <w:rStyle w:val="VerbatimChar"/>
          </w:rPr>
          <w:t xml:space="preserve">src/modelo.py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  <m:r>
                <m:rPr>
                  <m:sty m:val="p"/>
                </m:rPr>
                <m:t>,</m:t>
              </m:r>
              <m:r>
                <m:t>b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w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t> </m:t>
          </m:r>
          <m:r>
            <m:rPr>
              <m:nor/>
              <m:sty m:val="p"/>
            </m:rPr>
            <m:t>sujeto a </m:t>
          </m:r>
          <m:r>
            <m:t>0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≤</m:t>
          </m:r>
          <m:r>
            <m:t>w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00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10</m:t>
          </m:r>
          <m:r>
            <m:rPr>
              <m:sty m:val="p"/>
            </m:rPr>
            <m:t>,</m:t>
          </m:r>
          <m:r>
            <m:t>0</m:t>
          </m:r>
        </m:oMath>
      </m:oMathPara>
    </w:p>
    <w:p>
      <w:pPr>
        <w:pStyle w:val="FirstParagraph"/>
      </w:pPr>
      <w:r>
        <w:t xml:space="preserve">La cota inferior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garantiza la monotonicidad estricta y previene el colapso del gradiente en regiones asintóticas.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X3d07ea210a4983b32af0ae05eba142f92f30b69"/>
    <w:p>
      <w:pPr>
        <w:pStyle w:val="Heading1"/>
      </w:pPr>
      <w:r>
        <w:t xml:space="preserve">Texto Suplementario S3: Semivariograma Espacial y Justificación Física del Buffer de 20 km</w:t>
      </w:r>
    </w:p>
    <w:p>
      <w:pPr>
        <w:pStyle w:val="FirstParagraph"/>
      </w:pPr>
      <w:r>
        <w:t xml:space="preserve">Para determinar empíricamente la distancia a la cual se extingue la dependencia espacial entre eventos térmicos contiguos, calculamos el</w:t>
      </w:r>
      <w:r>
        <w:t xml:space="preserve"> </w:t>
      </w:r>
      <w:r>
        <w:rPr>
          <w:b/>
          <w:bCs/>
        </w:rPr>
        <w:t xml:space="preserve">semivariograma espacial experimental</w:t>
      </w:r>
      <w:r>
        <w:t xml:space="preserve"> </w:t>
      </w:r>
      <m:oMath>
        <m:acc>
          <m:accPr>
            <m:chr m:val="̂"/>
          </m:accPr>
          <m:e>
            <m:r>
              <m:t>γ</m:t>
            </m:r>
          </m:e>
        </m:acc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sobre las observaciones térmicas del sensor VIIRS: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γ</m:t>
              </m:r>
            </m:e>
          </m:acc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donde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es el conjunto de pares de celdas separados por una distancia euclidiana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El ajuste de un modelo esférico teórico: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c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h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h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e>
          </m:d>
          <m:r>
            <m:t> </m:t>
          </m:r>
          <m:r>
            <m:rPr>
              <m:nor/>
              <m:sty m:val="p"/>
            </m:rPr>
            <m:t>para </m:t>
          </m:r>
          <m:r>
            <m:t>h</m:t>
          </m:r>
          <m:r>
            <m:rPr>
              <m:sty m:val="p"/>
            </m:rPr>
            <m:t>≤</m:t>
          </m:r>
          <m:r>
            <m:t>a</m:t>
          </m:r>
        </m:oMath>
      </m:oMathPara>
    </w:p>
    <w:p>
      <w:pPr>
        <w:pStyle w:val="FirstParagraph"/>
      </w:pPr>
      <w:r>
        <w:t xml:space="preserve">reveló un</w:t>
      </w:r>
      <w:r>
        <w:t xml:space="preserve"> </w:t>
      </w:r>
      <w:r>
        <w:rPr>
          <w:b/>
          <w:bCs/>
        </w:rPr>
        <w:t xml:space="preserve">alcance espacial (</w:t>
      </w:r>
      <w:r>
        <w:rPr>
          <w:b/>
          <w:bCs/>
          <w:i/>
          <w:iCs/>
        </w:rPr>
        <w:t xml:space="preserve">range</w:t>
      </w:r>
      <w:r>
        <w:rPr>
          <w:b/>
          <w:bCs/>
        </w:rPr>
        <w:t xml:space="preserve">) de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con un efecto pepita (</w:t>
      </w:r>
      <w:r>
        <w:rPr>
          <w:i/>
          <w:iCs/>
        </w:rPr>
        <w:t xml:space="preserve">nugget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082</m:t>
        </m:r>
      </m:oMath>
      <w:r>
        <w:t xml:space="preserve"> </w:t>
      </w:r>
      <w:r>
        <w:t xml:space="preserve">y una meseta (</w:t>
      </w:r>
      <w:r>
        <w:rPr>
          <w:i/>
          <w:iCs/>
        </w:rPr>
        <w:t xml:space="preserve">sill</w:t>
      </w:r>
      <w:r>
        <w:t xml:space="preserve">)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914</m:t>
        </m:r>
      </m:oMath>
      <w:r>
        <w:t xml:space="preserve">.</w:t>
      </w:r>
    </w:p>
    <w:p>
      <w:pPr>
        <w:pStyle w:val="BodyText"/>
      </w:pPr>
      <w:r>
        <w:t xml:space="preserve">A distancias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, la probabilidad de que una celda presente fuego está significativamente correlacionada con la presencia de fuego en su vecina, principalmente debido a:</w:t>
      </w:r>
      <w:r>
        <w:t xml:space="preserve"> </w:t>
      </w:r>
      <w:r>
        <w:t xml:space="preserve">1. El avance advectivo del frente de llamas por vientos regionales del sector norte.</w:t>
      </w:r>
      <w:r>
        <w:t xml:space="preserve"> </w:t>
      </w:r>
      <w:r>
        <w:t xml:space="preserve">2. La ignición secundaria por transporte de pavesas y material incandescente suspendido en la columna convectiva (</w:t>
      </w:r>
      <w:r>
        <w:rPr>
          <w:i/>
          <w:iCs/>
        </w:rPr>
        <w:t xml:space="preserve">spotting fires</w:t>
      </w:r>
      <w:r>
        <w:t xml:space="preserve">).</w:t>
      </w:r>
      <w:r>
        <w:t xml:space="preserve"> </w:t>
      </w:r>
      <w:r>
        <w:t xml:space="preserve">3. La atenuación parcial de la insolación directa por plumas de humo extensas que abarcan hasta 15 km a favor del viento.</w:t>
      </w:r>
    </w:p>
    <w:p>
      <w:pPr>
        <w:pStyle w:val="BodyText"/>
      </w:pPr>
      <w:r>
        <w:t xml:space="preserve">Por consiguiente, fijar el</w:t>
      </w:r>
      <w:r>
        <w:t xml:space="preserve"> </w:t>
      </w:r>
      <w:r>
        <w:rPr>
          <w:b/>
          <w:bCs/>
        </w:rPr>
        <w:t xml:space="preserve">radio del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dead-zone buffer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(ligeramente superior al alcance empírico de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4</m:t>
        </m:r>
        <m:r>
          <m:rPr>
            <m:nor/>
            <m:sty m:val="p"/>
          </m:rPr>
          <m:t> km</m:t>
        </m:r>
      </m:oMath>
      <w:r>
        <w:t xml:space="preserve">) garantiza formalmente que las celdas muestreadas como pseudo-ausencias pertenezcan al dominio asintótico del semivariograma (</w:t>
      </w:r>
      <m:oMath>
        <m:r>
          <m:t>γ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nor/>
            <m:sty m:val="p"/>
          </m:rPr>
          <m:t>sill</m:t>
        </m:r>
      </m:oMath>
      <w:r>
        <w:t xml:space="preserve">), eliminando la fuga de información por autocorrelación espacial.</w:t>
      </w:r>
    </w:p>
    <w:bookmarkStart w:id="18" w:name="Xca39a08a32cc4f39017118354ed1a3dc3c4a3b4"/>
    <w:p>
      <w:pPr>
        <w:pStyle w:val="Heading3"/>
      </w:pPr>
      <w:r>
        <w:t xml:space="preserve">Análisis de Sensibilidad del Radio del Buffer Espacial</w:t>
      </w:r>
    </w:p>
    <w:p>
      <w:pPr>
        <w:pStyle w:val="FirstParagraph"/>
      </w:pPr>
      <w:r>
        <w:t xml:space="preserve">Para evaluar la estabilidad del diseño experimental frente a la elección del radio del</w:t>
      </w:r>
      <w:r>
        <w:t xml:space="preserve"> </w:t>
      </w:r>
      <w:r>
        <w:rPr>
          <w:i/>
          <w:iCs/>
        </w:rPr>
        <w:t xml:space="preserve">dead-zone buffer</w:t>
      </w:r>
      <w:r>
        <w:t xml:space="preserve">, evaluamos el rendimiento discriminante bajo tres configuraciones de exclusión (</w:t>
      </w:r>
      <m:oMath>
        <m:r>
          <m:t>10</m:t>
        </m:r>
        <m:r>
          <m:rPr>
            <m:nor/>
            <m:sty m:val="p"/>
          </m:rPr>
          <m:t> km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nor/>
            <m:sty m:val="p"/>
          </m:rPr>
          <m:t> km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30</m:t>
        </m:r>
        <m:r>
          <m:rPr>
            <m:nor/>
            <m:sty m:val="p"/>
          </m:rPr>
          <m:t> km</m:t>
        </m:r>
      </m:oMath>
      <w:r>
        <w:t xml:space="preserve">) sobre el conjunto de prueba ciego: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32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Radio del Buffer (</w:t>
            </w:r>
            <m:oMath>
              <m:r>
                <m:rPr>
                  <m:nor/>
                  <m:sty m:val="p"/>
                </m:rPr>
                <m:t>km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 Espacial respecto al Semivariograma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(Ignición Chaco)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(Ignición Oriental)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ROC-AUC (Propagación Chaco)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Sub-umbral (dentro del alcance espacial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8241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7025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8540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20 km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Configuración Operativa Canónica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rPr>
                  <m:sty m:val="p"/>
                </m:rPr>
                <m:t>≈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nor/>
                  <m:sty m:val="p"/>
                </m:rPr>
                <m:t> km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8305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7106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8494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Sobre-umbral ultra-conservador (</w:t>
            </w:r>
            <m:oMath>
              <m:r>
                <m:t>h</m:t>
              </m:r>
              <m:r>
                <m:rPr>
                  <m:sty m:val="p"/>
                </m:rPr>
                <m:t>≫</m:t>
              </m:r>
              <m:r>
                <m:t>a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8362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7180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8431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Las variaciones en las métricas principales son marginales (</w:t>
      </w:r>
      <m:oMath>
        <m:r>
          <m:rPr>
            <m:sty m:val="p"/>
          </m:rPr>
          <m:t>Δ</m:t>
        </m:r>
        <m:r>
          <m:rPr>
            <m:nor/>
            <m:sty m:val="p"/>
          </m:rPr>
          <m:t>ROC-AUC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013</m:t>
        </m:r>
      </m:oMath>
      <w:r>
        <w:t xml:space="preserve">), demostrando que la superioridad de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 </w:t>
      </w:r>
      <w:r>
        <w:t xml:space="preserve">frente a los índices canónicos internacionales es un comportamiento robusto de la física del modelo y no un artefacto de la delimitación geométrica del buffer de entrenamiento.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e5a801ab7bb9915477be91becdfc9b32ccffc1a"/>
    <w:p>
      <w:pPr>
        <w:pStyle w:val="Heading1"/>
      </w:pPr>
      <w:r>
        <w:t xml:space="preserve">Tabla Suplementaria S1: Diccionario Exhaustivo de Variables Predictoras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variab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1: Especificación técnica y catálogo de variables predictoras del sistema</w:t>
            </w:r>
            <w:r>
              <w:t xml:space="preserve"> </w:t>
            </w:r>
            <w:r>
              <w:rPr>
                <w:rStyle w:val="VerbatimChar"/>
              </w:rPr>
              <w:t xml:space="preserve">Incendios_PY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Nombre Técnico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Dominio Físico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Fuente de Datos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Resolución Original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 en Arquitectura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temp_max_c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máxima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temp_min_c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mínima diaria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amplitud_termica_c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Rango térmico intradiario (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min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dewpoint_temp_c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Temperatura del punto de rocío a 2 m (</w:t>
                  </w:r>
                  <m:oMath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vpd_max_kpa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Déficit de presión de vapor atmosférico (</w:t>
                  </w:r>
                  <m:oMath>
                    <m:r>
                      <m:rPr>
                        <m:nor/>
                        <m:sty m:val="p"/>
                      </m:rPr>
                      <m:t>kPa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Psicrométrica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precipitacion_dia_mm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el día (</w:t>
                  </w:r>
                  <m:oMath>
                    <m:r>
                      <m:t>00</m:t>
                    </m:r>
                    <m:r>
                      <m:rPr>
                        <m:nor/>
                        <m:sty m:val="p"/>
                      </m:rPr>
                      <m:t>–</m:t>
                    </m:r>
                    <m:r>
                      <m:t>24</m:t>
                    </m:r>
                    <m:r>
                      <m:rPr>
                        <m:nor/>
                        <m:sty m:val="p"/>
                      </m:rPr>
                      <m:t>h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precipitacion_48h_mm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Lluvia acumulada en 48 horas antecedentes (</w:t>
                  </w:r>
                  <m:oMath>
                    <m:r>
                      <m:rPr>
                        <m:nor/>
                        <m:sty m:val="p"/>
                      </m:rPr>
                      <m:t>mm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/ Ignición / Prop.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dias_secos_consecutivos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días consecutivos con lluvia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mm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C</m:t>
                    </m:r>
                    <m:r>
                      <m:t>D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viento_max_kmh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Velocidad máxima del viento a 10 m (</w:t>
                  </w:r>
                  <m:oMath>
                    <m:r>
                      <m:rPr>
                        <m:nor/>
                        <m:sty m:val="p"/>
                      </m:rPr>
                      <m:t>km/h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ERA5-Land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viento_cuadrado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Presión dinámica del viento (</w:t>
                  </w:r>
                  <m:oMath>
                    <m:sSubSup>
                      <m:e>
                        <m:r>
                          <m:t>V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viento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Mecánica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interaccion_viento_vpd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Acoplamiento advectivo-desecante (</w:t>
                  </w:r>
                  <m:oMath>
                    <m:r>
                      <m:t>V</m:t>
                    </m:r>
                    <m:r>
                      <m:t>i</m:t>
                    </m:r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  <m:r>
                      <m:t>o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V</m:t>
                    </m:r>
                    <m:r>
                      <m:t>P</m:t>
                    </m:r>
                    <m:r>
                      <m:t>D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Interacción Físcia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ffmc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Fine Fuel Moisture Code</w:t>
                  </w:r>
                  <w:r>
                    <w:t xml:space="preserve"> </w:t>
                  </w:r>
                  <w:r>
                    <w:t xml:space="preserve">(Humedad combustible fino)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i/>
                      <w:iCs/>
                    </w:rPr>
                    <w:t xml:space="preserve">Initial Spread Index</w:t>
                  </w:r>
                  <w:r>
                    <w:t xml:space="preserve"> </w:t>
                  </w:r>
                  <w:r>
                    <w:t xml:space="preserve">(Propagación inicial FWI)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FWI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25</m:t>
                        </m:r>
                      </m:e>
                      <m:sup>
                        <m:r>
                          <m:rPr>
                            <m:sty m:val="p"/>
                          </m:rPr>
                          <m:t>∘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(~25 km)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pct_pastura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pastura ganadera cultivada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pct_sabana_pastizal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sabana y pastizal natural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pct_bosque_seco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xerofítico chaqueño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pct_bosque_humedo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bosque atlántico húmedo (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pct_humedal_palmar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Fracción de humedales y palmares inundables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30</m:t>
                    </m:r>
                    <m:r>
                      <m:rPr>
                        <m:nor/>
                        <m:sty m:val="p"/>
                      </m:rPr>
                      <m:t> m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es_combustible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Indicador binario de biomasa combustible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MapBiomas Col.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Gating Biofísico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indice_ecotono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Disrupción de borde bosque/pastura (</w:t>
                  </w:r>
                  <m:oMath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E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Derivada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prior_frecuencia_historica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Frecuencia marginal acumulada de fuego en la celda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NASA FIRMS 10 Años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dia_semana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antrópico (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Domingo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Sábado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Calendario Civil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Temporal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Ignición /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dist_foco_t1_km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Distancia euclidiana mínima al foco activo 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Kernel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focos_25km_t1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Conteo de focos activos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en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frp_25km_t1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Potencia radiativa acumulada en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</m:t>
                    </m:r>
                    <m:r>
                      <m:rPr>
                        <m:nor/>
                        <m:sty m:val="p"/>
                      </m:rPr>
                      <m:t> km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MW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Convolución Espacial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1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 km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Solo Propagación</w:t>
                  </w:r>
                </w:p>
              </w:tc>
            </w:tr>
          </w:tbl>
          <w:bookmarkEnd w:id="20"/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X3dd36bcd6d81ae97cab2804ece849c43966e9f3"/>
    <w:p>
      <w:pPr>
        <w:pStyle w:val="Heading1"/>
      </w:pPr>
      <w:r>
        <w:t xml:space="preserve">Tabla Suplementaria S2: Espacio de Búsqueda y Configuración Óptima de Hiperparámetros</w:t>
      </w:r>
    </w:p>
    <w:p>
      <w:pPr>
        <w:pStyle w:val="FirstParagraph"/>
      </w:pPr>
      <w:r>
        <w:t xml:space="preserve">Los hiperparámetros de los cuatro ensambles LightGBM fueron optimizados mediante búsqueda Bayesiana sobre el conjunto de validación (año 2023 completo), utilizando el área bajo la curva Precision-Recall (PR-AUC) como función objetivo.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iperparametr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2: Configuración óptima de hiperparámetros por macro-región y modo operativo (obtenida con</w:t>
            </w:r>
            <w:r>
              <w:t xml:space="preserve"> </w:t>
            </w:r>
            <w:r>
              <w:rPr>
                <w:rStyle w:val="VerbatimChar"/>
              </w:rPr>
              <w:t xml:space="preserve">scripts/06_entrenar_modelos.py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92"/>
              <w:gridCol w:w="1365"/>
              <w:gridCol w:w="1365"/>
              <w:gridCol w:w="1365"/>
              <w:gridCol w:w="1365"/>
              <w:gridCol w:w="1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Hiperparámetro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Espacio de Búsqueda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Ignición 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Propagación Oriental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objective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binary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learning_rate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num_leaves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max_depth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min_child_samples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scale_pos_weight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feature_fraction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bagging_fraction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lambda_l1</w:t>
                  </w:r>
                  <w:r>
                    <w:t xml:space="preserve"> </w:t>
                  </w:r>
                  <w:r>
                    <w:t xml:space="preserve">(L1)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lambda_l2</w:t>
                  </w:r>
                  <w:r>
                    <w:t xml:space="preserve"> </w:t>
                  </w:r>
                  <w:r>
                    <w:t xml:space="preserve">(L2)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num_boost_round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100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40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Xdb59547e38fe91e37c455dac8e18d61b25845a3"/>
    <w:p>
      <w:pPr>
        <w:pStyle w:val="Heading1"/>
      </w:pPr>
      <w:r>
        <w:t xml:space="preserve">Tabla Suplementaria S3: Desglose Departamental de Desempeño Predictivo</w:t>
      </w:r>
    </w:p>
    <w:p>
      <w:pPr>
        <w:pStyle w:val="FirstParagraph"/>
      </w:pPr>
      <w:r>
        <w:t xml:space="preserve">Métricas evaluadas sobre el conjunto ciego</w:t>
      </w:r>
      <w:r>
        <w:t xml:space="preserve"> </w:t>
      </w:r>
      <w:r>
        <w:rPr>
          <w:i/>
          <w:iCs/>
        </w:rPr>
        <w:t xml:space="preserve">out-of-time</w:t>
      </w:r>
      <w:r>
        <w:t xml:space="preserve"> </w:t>
      </w:r>
      <w:r>
        <w:t xml:space="preserve">para los 17 departamentos de la República del Paraguay y el Distrito Capital (Asunción).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departament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3: Evaluación estratificada por unidad político-administrativa ADM1 en el conjunto de prueba ciego (generada de forma reproducible por</w:t>
            </w:r>
            <w:r>
              <w:t xml:space="preserve"> </w:t>
            </w:r>
            <w:r>
              <w:rPr>
                <w:rStyle w:val="VerbatimChar"/>
              </w:rPr>
              <w:t xml:space="preserve">scripts/14_auditoria_suplementaria.py</w:t>
            </w:r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736"/>
              <w:gridCol w:w="736"/>
              <w:gridCol w:w="920"/>
              <w:gridCol w:w="920"/>
              <w:gridCol w:w="920"/>
              <w:gridCol w:w="920"/>
              <w:gridCol w:w="920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Código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Departamento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Macro-Región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Celdas Soberanas (1 km²)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Muestras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Fuegos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(Ignición)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ROC-AUC (Propagación)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Precisión Táctica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Alto Paraguay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78.613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641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939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956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Boquerón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88.623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757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662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679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Presidente Hayes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73.644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428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581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599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Pedro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20.854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804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616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Concepción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18.523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761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752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Amambay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12.555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655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b"/>
                      </m:rPr>
                      <m:t>0</m:t>
                    </m:r>
                    <m:r>
                      <m:rPr>
                        <m:sty m:val="b"/>
                      </m:rPr>
                      <m:t>,</m:t>
                    </m:r>
                    <m:r>
                      <m:rPr>
                        <m:sty m:val="b"/>
                      </m:rPr>
                      <m:t>589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Caaguazú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12.901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Ñeembucú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11.672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%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PY-08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Misiones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8.157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rPr>
                      <w:b/>
                      <w:bCs/>
                    </w:rPr>
                    <w:t xml:space="preserve">Resto ADM1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Otros 9 Deptos.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Oriental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72.100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 (Sin fuegos en test)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24"/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7" w:name="X251c24646a9a598c480077a4b34d83902f2cb84"/>
    <w:p>
      <w:pPr>
        <w:pStyle w:val="Heading1"/>
      </w:pPr>
      <w:r>
        <w:t xml:space="preserve">Tabla Suplementaria S4: Perfil de Rendimiento Computacional y Consumo de Memoria</w:t>
      </w:r>
    </w:p>
    <w:p>
      <w:pPr>
        <w:pStyle w:val="FirstParagraph"/>
      </w:pPr>
      <w:r>
        <w:t xml:space="preserve">Las pruebas de rendimiento se realizaron en dos entornos de referencia: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Entorno A (Edge / Workstation ARM64):</w:t>
      </w:r>
      <w:r>
        <w:t xml:space="preserve"> </w:t>
      </w:r>
      <w:r>
        <w:t xml:space="preserve">Apple Silicon ARM64 (Apple M5, 10 núcleos CPU, 16 GB memoria unificada, macOS).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Entorno B (Servidor Cloud x86_64):</w:t>
      </w:r>
      <w:r>
        <w:t xml:space="preserve"> </w:t>
      </w:r>
      <w:r>
        <w:t xml:space="preserve">Intel Xeon Platinum 8375C (8 vCPU, 32 GB RAM, Ubuntu 22.04 LTS).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u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Tabla 4: Desglose computacional por componente algorítmico sobre las 400.006 celdas del territorio nacional.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77"/>
              <w:gridCol w:w="1377"/>
              <w:gridCol w:w="1721"/>
              <w:gridCol w:w="1721"/>
              <w:gridCol w:w="17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Etapa del Flujo Computacional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de Cómputo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Memoria RAM Pico (MB)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A (ARM64)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Tiempo Entorno B (x86_64)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 Cruce Grilla + MapBiomas + Clima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DuckDB (Zero-Copy)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450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 Gating Biofísico de Etapa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Polars (Vectorizado)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220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 Búsqueda KD-Tree y Kernel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SciPy / NumPy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380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 Inferencia LightGBM Ignición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180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 Inferencia LightGBM Propagación (400k)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LightGBM C++ / OpenMP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190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27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 Calibración Monótona de Platt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NumPy Vectorizado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60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 Exportación GeoTIFF y Parquet Alerta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Rasterio / Polars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140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Tiempo Total Pipeline Nacional Completo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Punta a Punta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&lt;</m:t>
                    </m:r>
                    <m:r>
                      <m:t>600</m:t>
                    </m:r>
                    <m:r>
                      <m:rPr>
                        <m:nor/>
                        <m:sty m:val="p"/>
                      </m:rPr>
                      <m:t> MB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98</m:t>
                    </m:r>
                    <m:r>
                      <m:rPr>
                        <m:nor/>
                        <m:sty m:val="p"/>
                      </m:rPr>
                      <m:t> s</m:t>
                    </m:r>
                  </m:oMath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referencias-suplementarias"/>
    <w:p>
      <w:pPr>
        <w:pStyle w:val="Heading1"/>
      </w:pPr>
      <w:r>
        <w:t xml:space="preserve">Referencias Suplementarias</w:t>
      </w:r>
    </w:p>
    <w:bookmarkStart w:id="30" w:name="refs"/>
    <w:bookmarkStart w:id="29" w:name="ref-schroeder2014"/>
    <w:p>
      <w:pPr>
        <w:pStyle w:val="Bibliography"/>
      </w:pPr>
      <w:r>
        <w:t xml:space="preserve">Schroeder, W., Oliva, P., Giglio, L., &amp; Csiszar, I. A. (2014). The New</w:t>
      </w:r>
      <w:r>
        <w:t xml:space="preserve"> </w:t>
      </w:r>
      <w:r>
        <w:t xml:space="preserve">VIIRS</w:t>
      </w:r>
      <w:r>
        <w:t xml:space="preserve"> </w:t>
      </w:r>
      <w:r>
        <w:t xml:space="preserve">375 m active fire detection data product: Algorithm description and initial assessment.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,</w:t>
      </w:r>
      <w:r>
        <w:t xml:space="preserve"> </w:t>
      </w:r>
      <w:r>
        <w:rPr>
          <w:i/>
          <w:iCs/>
        </w:rPr>
        <w:t xml:space="preserve">143</w:t>
      </w:r>
      <w:r>
        <w:t xml:space="preserve">, 85-96.</w:t>
      </w:r>
      <w:r>
        <w:t xml:space="preserve"> </w:t>
      </w:r>
      <w:hyperlink r:id="rId28">
        <w:r>
          <w:rPr>
            <w:rStyle w:val="Hyperlink"/>
          </w:rPr>
          <w:t xml:space="preserve">https://doi.org/10.1016/j.rse.2013.12.008</w:t>
        </w:r>
      </w:hyperlink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8" Target="https://doi.org/10.1016/j.rse.2013.12.0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file:///Users/martinsanchez/Documents/Proyectos_PY/Incendios_PY/src/firms.py" TargetMode="External" /><Relationship Type="http://schemas.openxmlformats.org/officeDocument/2006/relationships/hyperlink" Id="rId15" Target="file:///Users/martinsanchez/Documents/Proyectos_PY/Incendios_PY/src/modelo.py" TargetMode="External" /><Relationship Type="http://schemas.openxmlformats.org/officeDocument/2006/relationships/hyperlink" Id="rId28" Target="https://doi.org/10.1016/j.rse.2013.12.0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Suplementario Electrónico (ESM): Desacoplando el Peligro Biofísico de Ignición y la Propagación Táctica de Incendios Forestales en el Gran Chaco mediante GeoAI Multiescala</dc:title>
  <dc:creator/>
  <dc:language>es</dc:language>
  <cp:keywords/>
  <dcterms:created xsi:type="dcterms:W3CDTF">2026-10-25T10:04:39Z</dcterms:created>
  <dcterms:modified xsi:type="dcterms:W3CDTF">2026-10-25T10:04:39Z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apa.csl</vt:lpwstr>
  </property>
  <property fmtid="{D5CDD505-2E9C-101B-9397-08002B2CF9AE}" pid="5" name="date">
    <vt:lpwstr>2026-10-24</vt:lpwstr>
  </property>
  <property fmtid="{D5CDD505-2E9C-101B-9397-08002B2CF9AE}" pid="6" name="date-modified">
    <vt:lpwstr>2026-10-25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Demostraciones matemáticas formales, protocolos de corrección óptica satelital, especificaciones de hiperparámetros y tablas departamentales extendidas [VERSIÓN ANONIMIZADA PARA ARBITRAJE DOBLE CIEGO]</vt:lpwstr>
  </property>
  <property fmtid="{D5CDD505-2E9C-101B-9397-08002B2CF9AE}" pid="12" name="toc-title">
    <vt:lpwstr>Contenido del Material Suplementario</vt:lpwstr>
  </property>
</Properties>
</file>