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sz w:val="28"/>
        </w:rPr>
        <w:t xml:space="preserve">Cover Letter to the Editor-in-Chief</w:t>
      </w:r>
    </w:p>
    <w:p>
      <w:pPr>
        <w:pStyle w:val="Date"/>
      </w:pPr>
      <w:r>
        <w:rPr>
          <w:rFonts w:ascii="Times New Roman" w:hAnsi="Times New Roman" w:cs="Times New Roman" w:eastAsia="Times New Roman"/>
          <w:sz w:val="20"/>
        </w:rPr>
        <w:t xml:space="preserve">2026-10-28</w:t>
      </w:r>
    </w:p>
    <w:p>
      <w:pPr>
        <w:pStyle w:val="FirstParagraph"/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Date: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October 28, 2026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To: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The Editors-in-Chief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i/>
          <w:iCs/>
          <w:sz w:val="20"/>
        </w:rPr>
        <w:t xml:space="preserve">Computers &amp; Geosciences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Elsevier Science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Subject: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Submission of original research paper titled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0"/>
        </w:rPr>
        <w:t xml:space="preserve">“A Reproducible Computational Framework for Decoupled Wildfire Ignition and Propagation Benchmarking in the Gran Chaco (2018–2025)”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Dear Editors-in-Chief,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Please find enclosed my original research manuscript entitled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“A Reproducible Computational Framework for Decoupled Wildfire Ignition and Propagation Benchmarking in the Gran Chaco (2018–2025): D2 Targets, M3/M2 Inference and an Open Benchmark Against Canadian FWI and INPE”</w:t>
      </w:r>
      <w:r>
        <w:rPr>
          <w:rFonts w:ascii="Times New Roman" w:hAnsi="Times New Roman" w:cs="Times New Roman" w:eastAsia="Times New Roman"/>
          <w:sz w:val="20"/>
        </w:rPr>
        <w:t xml:space="preserve">, which I submit for consideration as a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Research Paper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in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0"/>
        </w:rPr>
        <w:t xml:space="preserve">Computers &amp; Geosciences</w:t>
      </w:r>
      <w:r>
        <w:rPr>
          <w:rFonts w:ascii="Times New Roman" w:hAnsi="Times New Roman" w:cs="Times New Roman" w:eastAsia="Times New Roman"/>
          <w:sz w:val="20"/>
        </w:rPr>
        <w:t xml:space="preserve">.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The manuscript presents an auditable computational protocol and reproducible software infrastructure, rather than a regional machine-learning case study. Its central contribution is the formal D2 target operator, the gated M3/M2 inference policy and the open evaluation harness; the learner is deliberately replaceable.</w:t>
      </w:r>
    </w:p>
    <w:bookmarkStart w:id="9" w:name="motivation-and-core-scientific-novelty"/>
    <w:p>
      <w:pPr>
        <w:pStyle w:val="Heading3"/>
      </w:pPr>
      <w:r>
        <w:rPr>
          <w:rFonts w:ascii="Times New Roman" w:hAnsi="Times New Roman" w:cs="Times New Roman" w:eastAsia="Times New Roman"/>
          <w:sz w:val="20"/>
        </w:rPr>
        <w:t xml:space="preserve">Motivation and Core Scientific Novelty</w:t>
      </w:r>
    </w:p>
    <w:p>
      <w:pPr>
        <w:pStyle w:val="FirstParagraph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Operational wildfire forecasting in geoscience machine learning frequently suffers from two pervasive methodological pathologies: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1.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Spatial Shortcut Learning: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When models include autoregressive spatial lags without isolating causal mechanisms, gradient-boosted ensembles learn trivial spatial persistence heuristics (</w:t>
      </w:r>
      <w:r>
        <w:rPr>
          <w:rFonts w:ascii="Times New Roman" w:hAnsi="Times New Roman" w:cs="Times New Roman" w:eastAsia="Times New Roman"/>
          <w:i/>
          <w:iCs/>
          <w:sz w:val="20"/>
        </w:rPr>
        <w:t xml:space="preserve">“fire will persist where thermal anomalies already exist”</w:t>
      </w:r>
      <w:r>
        <w:rPr>
          <w:rFonts w:ascii="Times New Roman" w:hAnsi="Times New Roman" w:cs="Times New Roman" w:eastAsia="Times New Roman"/>
          <w:sz w:val="20"/>
        </w:rPr>
        <w:t xml:space="preserve">), resulting in severe false confidence while remaining incapable of anticipating new, spontaneous, or anthropic primary ignitions.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2.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Failure of Canonical Boreal Indices in the Subtropics: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Widely deployed operational frameworks—such as the Canadian Forest Fire Weather Index (FWI) used by EFFIS/GWIS and the CPTEC/INPE Risco de Fogo—consistently fail or invert hazard rankings in water-limited subtropical biomes (e.g., the South American Gran Chaco), where vapor pressure deficit (VPD) and non-linear fuel-curing dynamics govern fire risk.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To address these challenges, I introduce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Incendios_PY</w:t>
      </w:r>
      <w:r>
        <w:rPr>
          <w:rFonts w:ascii="Times New Roman" w:hAnsi="Times New Roman" w:cs="Times New Roman" w:eastAsia="Times New Roman"/>
          <w:sz w:val="20"/>
        </w:rPr>
        <w:t xml:space="preserve">, an open-source computational framework for reproducible decoupled wildfire modeling across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400 006 1-km² grid cells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over an 8-year multi-annual observation baseline (2018–2025). This horizon is anchored to the multi-sensor VIIRS 375 m constellation (Suomi-NPP, NOAA-20 and NOAA-21), which reduces single-sensor sampling bias across the modeling phases. The framework analytically decouples the operational task into two distinct models: (i)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Multiscale Socio-Ecological Hybrid Ignition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(M3), guided by physics-based monotonic constraints, ecotone edge gradients, and static anthropogenic priors at 10-km and 25-km scales; and (ii)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Tactical Propagation</w:t>
      </w:r>
      <w:r>
        <w:rPr>
          <w:rFonts w:ascii="Times New Roman" w:hAnsi="Times New Roman" w:cs="Times New Roman" w:eastAsia="Times New Roman"/>
          <w:sz w:val="20"/>
        </w:rPr>
        <w:t xml:space="preserve">, driven by a causal spatial contagion kernel at lag t−1.</w:t>
      </w:r>
    </w:p>
    <w:bookmarkEnd w:id="9"/>
    <w:bookmarkStart w:id="10" w:name="X69688a67aa6c464cbd796cd38e62e3faf43da12"/>
    <w:p>
      <w:pPr>
        <w:pStyle w:val="Heading3"/>
      </w:pPr>
      <w:r>
        <w:rPr>
          <w:rFonts w:ascii="Times New Roman" w:hAnsi="Times New Roman" w:cs="Times New Roman" w:eastAsia="Times New Roman"/>
          <w:sz w:val="20"/>
        </w:rPr>
        <w:t xml:space="preserve">Why this Manuscript Fits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i/>
          <w:iCs/>
          <w:sz w:val="20"/>
        </w:rPr>
        <w:t xml:space="preserve">Computers &amp; Geosciences</w:t>
      </w:r>
    </w:p>
    <w:p>
      <w:pPr>
        <w:pStyle w:val="FirstParagraph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My work sits precisely at the convergence of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Computer Science Applications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and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Earth and Planetary Sciences</w:t>
      </w:r>
      <w:r>
        <w:rPr>
          <w:rFonts w:ascii="Times New Roman" w:hAnsi="Times New Roman" w:cs="Times New Roman" w:eastAsia="Times New Roman"/>
          <w:sz w:val="20"/>
        </w:rPr>
        <w:t xml:space="preserve">. The computational contribution is the D2 target operator, the gated M3/M2 inference policy and a reusable evaluation harness, released as documented software. The learner is replaceable; the novelty lies in the computational contract.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High-Performance Columnar Computational Pipeline: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By integrating Apache Arrow, DuckDB, and Polars, the inference engine processes the entire national territory (400 006 km²) in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~3.47 seconds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on a standard ARM64 machine (~2.21 GB peak RAM), demonstrating that national early-warning systems do not require prohibitive cloud infrastructure.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Physics-Guided Machine Learning (PGML):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The framework enforces structural monotonic constraints within LightGBM (+1 for atmospheric dryness and wind pressure, −1 for antecedent rainfall and distance), mathematically preventing counterintuitive artifacts.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Spatial and Temporal Control: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The study uses the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D2 target definition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(no t-1 fire within 25 km; no same-cell fire in 10 days) and multi-year out-of-time test partitions (2024–2025). The framework also implements a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50-km spatial block holdout with a 20-km buffer</w:t>
      </w:r>
      <w:r>
        <w:rPr>
          <w:rFonts w:ascii="Times New Roman" w:hAnsi="Times New Roman" w:cs="Times New Roman" w:eastAsia="Times New Roman"/>
          <w:sz w:val="20"/>
        </w:rPr>
        <w:t xml:space="preserve">. Priors are causal (monthly cutoff, rolling 3-year window).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Software Engineering and Reproducibility Standards: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The framework is packaged with a complete automated test suite of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76 unit tests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(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tests/</w:t>
      </w:r>
      <w:r>
        <w:rPr>
          <w:rFonts w:ascii="Times New Roman" w:hAnsi="Times New Roman" w:cs="Times New Roman" w:eastAsia="Times New Roman"/>
          <w:sz w:val="20"/>
        </w:rPr>
        <w:t xml:space="preserve">) running in ≈1 minute, verifying algebraic invariants, physical monotonicity, conformal coverage, and spatial KD-Tree queries. All code and workflows are versioned from raw ingestion (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scripts/00_...</w:t>
      </w:r>
      <w:r>
        <w:rPr>
          <w:rFonts w:ascii="Times New Roman" w:hAnsi="Times New Roman" w:cs="Times New Roman" w:eastAsia="Times New Roman"/>
          <w:sz w:val="20"/>
        </w:rPr>
        <w:t xml:space="preserve">) to release and validation outputs (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scripts/34_...</w:t>
      </w:r>
      <w:r>
        <w:rPr>
          <w:rFonts w:ascii="Times New Roman" w:hAnsi="Times New Roman" w:cs="Times New Roman" w:eastAsia="Times New Roman"/>
          <w:sz w:val="20"/>
        </w:rPr>
        <w:t xml:space="preserve">) under the permissive MIT License.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Quantitative International Benchmarking: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In retrospective temporal testing over 1 813 966 D2 cell-days during 2024–2025, the hybrid ignition layer M3 achieves a ROC-AUC of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0.8021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in the Gran Chaco and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0.7534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in the Oriental Region, versus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0.5059 / 0.5611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for the full Canadian FWI and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0.5266 / 0.4973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for the INPE. Case-control F0.5 precision is 32.82 % / 30.13 %; after correction to population prevalence (~0.015 % / 0.041 %), operational precision is 0.082 % / 0.198 %. Tactical propagation achieves ROC-AUC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0"/>
        </w:rPr>
        <w:t xml:space="preserve">0.9039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Fonts w:ascii="Times New Roman" w:hAnsi="Times New Roman" w:cs="Times New Roman" w:eastAsia="Times New Roman"/>
          <w:sz w:val="20"/>
        </w:rPr>
        <w:t xml:space="preserve">(Chaco) and population precision 9.67 %. The 2023 validation selected M3 for temporal nowcasting and M2 as the operational fallback; M1 was rejected as a fallback. These corrected metrics are the honest operational benchmark.</w:t>
      </w:r>
    </w:p>
    <w:bookmarkEnd w:id="10"/>
    <w:bookmarkStart w:id="13" w:name="mandatory-declarations"/>
    <w:p>
      <w:pPr>
        <w:pStyle w:val="Heading3"/>
      </w:pPr>
      <w:r>
        <w:rPr>
          <w:rFonts w:ascii="Times New Roman" w:hAnsi="Times New Roman" w:cs="Times New Roman" w:eastAsia="Times New Roman"/>
          <w:sz w:val="20"/>
        </w:rPr>
        <w:t xml:space="preserve">Mandatory Declarations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This manuscript has not been published previously, is not under consideration for publication elsewhere, and its publication has been approved by the author.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All source code and reproduction scripts are openly hosted on GitHub (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https://github.com/sanchezmartin093-code/Incendios_PY</w:t>
      </w:r>
      <w:r>
        <w:rPr>
          <w:rFonts w:ascii="Times New Roman" w:hAnsi="Times New Roman" w:cs="Times New Roman" w:eastAsia="Times New Roman"/>
          <w:sz w:val="20"/>
        </w:rPr>
        <w:t xml:space="preserve">). Processed data and trained models are documented with SHA-256 hashes in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fuentes/MANIFIESTO_DATOS_v3.csv</w:t>
      </w:r>
      <w:r>
        <w:rPr>
          <w:rFonts w:ascii="Times New Roman" w:hAnsi="Times New Roman" w:cs="Times New Roman" w:eastAsia="Times New Roman"/>
          <w:sz w:val="20"/>
        </w:rPr>
        <w:t xml:space="preserve">, available in the v2.1.0 GitHub release, and indexed by the code and data concept DOIs (10.5281/zenodo.23675104; 10.5281/zenodo.23675278).</w:t>
      </w:r>
    </w:p>
    <w:p>
      <w:pPr>
        <w:pStyle w:val="Compact"/>
        <w:numPr>
          <w:ilvl w:val="0"/>
          <w:numId w:val="1002"/>
        </w:numPr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I declare no competing financial or non-financial conflicts of interest.</w:t>
      </w:r>
    </w:p>
    <w:p>
      <w:pPr>
        <w:pStyle w:val="FirstParagraph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Thank you very much for your time, consideration, and editorial guidance.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sz w:val="20"/>
        </w:rPr>
        <w:t xml:space="preserve">Sincerely,</w:t>
      </w:r>
    </w:p>
    <w:p>
      <w:pPr>
        <w:pStyle w:val="BodyText"/>
        <w:spacing w:line="480" w:lineRule="auto"/>
      </w:pPr>
      <w:r>
        <w:rPr>
          <w:rFonts w:ascii="Times New Roman" w:hAnsi="Times New Roman" w:cs="Times New Roman" w:eastAsia="Times New Roman"/>
          <w:b/>
          <w:bCs/>
          <w:sz w:val="20"/>
        </w:rPr>
        <w:t xml:space="preserve">Martín Sánchez Insfrán, MD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Independent Researcher / Surgeon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Asunción, Republic of Paraguay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ORCID: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hyperlink r:id="rId11">
        <w:r>
          <w:rPr>
            <w:rStyle w:val="Hyperlink"/>
          </w:rPr>
          <w:t xml:space="preserve">0000-0003-4138-9668</w:t>
        </w:r>
      </w:hyperlink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Email: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sz w:val="20"/>
        </w:rPr>
        <w:t xml:space="preserve">sanchez.martin093@gmail.com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Phone: +595 971 907 727</w:t>
      </w:r>
      <w:r>
        <w:rPr>
          <w:rFonts w:ascii="Times New Roman" w:hAnsi="Times New Roman" w:cs="Times New Roman" w:eastAsia="Times New Roman"/>
          <w:sz w:val="20"/>
        </w:rPr>
        <w:br/>
      </w:r>
      <w:r>
        <w:rPr>
          <w:rFonts w:ascii="Times New Roman" w:hAnsi="Times New Roman" w:cs="Times New Roman" w:eastAsia="Times New Roman"/>
          <w:sz w:val="20"/>
        </w:rPr>
        <w:t xml:space="preserve">Code Repository:</w:t>
      </w:r>
      <w:r>
        <w:rPr>
          <w:rFonts w:ascii="Times New Roman" w:hAnsi="Times New Roman" w:cs="Times New Roman" w:eastAsia="Times New Roman"/>
          <w:sz w:val="20"/>
        </w:rPr>
        <w:t xml:space="preserve"> </w:t>
      </w:r>
      <w:hyperlink r:id="rId12">
        <w:r>
          <w:rPr>
            <w:rStyle w:val="Hyperlink"/>
          </w:rPr>
          <w:t xml:space="preserve">https://github.com/sanchezmartin093-code/Incendios_PY</w:t>
        </w:r>
      </w:hyperlink>
    </w:p>
    <w:bookmarkEnd w:id="13"/>
    <w:sectPr>
      <w:footerReference w:type="default" r:id="rId9"/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t>Sánchez Insfrán: Preprint submitted to Elsevier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hAnsi="Times New Roman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/>
      <w:sz w:val="20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 w:val="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480" w:lineRule="auto"/>
    </w:pPr>
    <w:rPr>
      <w:rFonts w:ascii="Times New Roman" w:hAnsi="Times New Roman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480" w:lineRule="auto"/>
    </w:pPr>
    <w:rPr>
      <w:rFonts w:ascii="Times New Roman" w:hAnsi="Times New Roman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480" w:lineRule="auto"/>
      <w:outlineLvl w:val="0"/>
    </w:pPr>
    <w:rPr>
      <w:rFonts w:asciiTheme="majorHAnsi" w:cstheme="majorBidi" w:eastAsiaTheme="majorEastAsia" w:hAnsiTheme="majorHAnsi" w:ascii="Times New Roman" w:hAnsi="Times New Roman"/>
      <w:b w:val="0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github.com/sanchezmartin093-code/Incendios_PY" TargetMode="External"/><Relationship Id="rId11" Type="http://schemas.openxmlformats.org/officeDocument/2006/relationships/hyperlink" Target="https://orcid.org/0000-0003-4138-9668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github.com/sanchezmartin093-code/Incendios_PY" TargetMode="External"/><Relationship Id="rId11" Type="http://schemas.openxmlformats.org/officeDocument/2006/relationships/hyperlink" Target="https://orcid.org/0000-0003-4138-96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to the Editor-in-Chief</dc:title>
  <dc:creator/>
  <cp:keywords/>
  <dcterms:created xsi:type="dcterms:W3CDTF">2026-10-29T01:18:22Z</dcterms:created>
  <dcterms:modified xsi:type="dcterms:W3CDTF">2026-10-29T01:18:22Z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2026-10-28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