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25.png" ContentType="image/png"/>
  <Override PartName="/word/media/rId3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 D2 targets, M3/M2 inference, and an open benchmark against Canadian FWI and INPE</w:t>
      </w:r>
    </w:p>
    <w:p>
      <w:pPr>
        <w:pStyle w:val="FirstParagraph"/>
      </w:pPr>
      <w:r>
        <w:rPr>
          <w:b/>
          <w:bCs/>
        </w:rPr>
        <w:t xml:space="preserve">Martín Sánchez Insfrán</w:t>
      </w:r>
    </w:p>
    <w:p>
      <w:pPr>
        <w:pStyle w:val="BodyText"/>
      </w:pPr>
      <w:r>
        <w:t xml:space="preserve">Independent Researcher, Asunción, Paraguay. ORCID: 0000-0003-4138-9668</w:t>
      </w:r>
    </w:p>
    <w:p>
      <w:pPr>
        <w:pStyle w:val="BodyText"/>
      </w:pPr>
      <w:r>
        <w:t xml:space="preserve">Corresponding author. E-mail: sanchez.martin093@gmail.com · Telephone: +595 971 907 727</w:t>
      </w:r>
    </w:p>
    <w:p>
      <w:pPr>
        <w:pStyle w:val="BodyText"/>
      </w:pPr>
      <w:r>
        <w:rPr>
          <w:b/>
          <w:bCs/>
        </w:rPr>
        <w:t xml:space="preserve">ARTICLE INFO</w:t>
      </w:r>
    </w:p>
    <w:p>
      <w:pPr>
        <w:pStyle w:val="BodyText"/>
      </w:pPr>
      <w:r>
        <w:rPr>
          <w:b/>
          <w:bCs/>
        </w:rPr>
        <w:t xml:space="preserve">Keywords:</w:t>
      </w:r>
      <w:r>
        <w:t xml:space="preserve"> </w:t>
      </w:r>
      <w:r>
        <w:t xml:space="preserve">Wildfire nowcasting · GeoAI · Reproducibility · Spatial cross-validation · LightGBM · Gran Chaco</w:t>
      </w:r>
    </w:p>
    <w:p>
      <w:pPr>
        <w:pStyle w:val="BodyText"/>
      </w:pPr>
      <w:r>
        <w:rPr>
          <w:b/>
          <w:bCs/>
        </w:rPr>
        <w:t xml:space="preserve">ABSTRACT</w:t>
      </w:r>
    </w:p>
    <w:p>
      <w:pPr>
        <w:pStyle w:val="BodyText"/>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0.5059/0.5611 for the Canadian Forest Fire Weather Index (FWI) and 0.5266/0.4973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bookmarkStart w:id="9"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9"/>
    <w:bookmarkStart w:id="22" w:name="computational-framework"/>
    <w:p>
      <w:pPr>
        <w:pStyle w:val="Heading1"/>
      </w:pPr>
      <w:r>
        <w:t xml:space="preserve">2. Computational framework</w:t>
      </w:r>
    </w:p>
    <w:bookmarkStart w:id="10"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Same-cell detections recurring within 2–10 days without an active neighbor within 25 km on day</w:t>
      </w:r>
      <w:r>
        <w:t xml:space="preserve"> </w:t>
      </w:r>
      <w:r>
        <w:rPr>
          <w:i/>
          <w:iCs/>
        </w:rPr>
        <w:t xml:space="preserve">t</w:t>
      </w:r>
      <w:r>
        <w:t xml:space="preserve">−1—typically multi-day smoldering holdovers or cloud-obscured satellite omissions—are not assigned to either positive target set; they remain candidate negatives. This prevents holdover persistence from entering the ignition target. The 25-km threshold is a domain restriction, not a negative-sampling buffer; no 20-km buffer is applied to the test sample. The buffer is used only in the spatial block holdout described below.</w:t>
      </w:r>
    </w:p>
    <w:bookmarkEnd w:id="10"/>
    <w:bookmarkStart w:id="15"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These cutoffs are operational rather than a formal extinction model: cell-days with VPD &lt; 0.8 kPa or ≥ 10 mm rainfall in 48 h are excluded as persistently humid or wet, while sufficiently cured fine fuels are retained. The gate is not used as a label filter: it only removes physically implausible candidates. A stricter gate and an independent ungated 1:10 sample are evaluated in Note S5.6 and Table S31; neither changes the model ranking.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4" w:name="fig-framework"/>
          <w:p>
            <w:pPr>
              <w:pStyle w:val="Compact"/>
              <w:jc w:val="center"/>
            </w:pPr>
            <w:r>
              <w:drawing>
                <wp:inline>
                  <wp:extent cx="5334000" cy="2936902"/>
                  <wp:effectExtent b="0" l="0" r="0" t="0"/>
                  <wp:docPr descr="" title="" id="12" name="Picture"/>
                  <a:graphic>
                    <a:graphicData uri="http://schemas.openxmlformats.org/drawingml/2006/picture">
                      <pic:pic>
                        <pic:nvPicPr>
                          <pic:cNvPr descr="../../entregables/figuras/fig01_framework_conceptual.png" id="13" name="Picture"/>
                          <pic:cNvPicPr>
                            <a:picLocks noChangeArrowheads="1" noChangeAspect="1"/>
                          </pic:cNvPicPr>
                        </pic:nvPicPr>
                        <pic:blipFill>
                          <a:blip r:embed="rId11"/>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4"/>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and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5"/>
    <w:bookmarkStart w:id="16"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16"/>
    <w:bookmarkStart w:id="21"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and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0" w:name="fig-area"/>
          <w:p>
            <w:pPr>
              <w:pStyle w:val="Compact"/>
              <w:jc w:val="center"/>
            </w:pPr>
            <w:r>
              <w:drawing>
                <wp:inline>
                  <wp:extent cx="4267200" cy="4742348"/>
                  <wp:effectExtent b="0" l="0" r="0" t="0"/>
                  <wp:docPr descr="" title="" id="18" name="Picture"/>
                  <a:graphic>
                    <a:graphicData uri="http://schemas.openxmlformats.org/drawingml/2006/picture">
                      <pic:pic>
                        <pic:nvPicPr>
                          <pic:cNvPr descr="../../entregables/figuras/fig01_macro_regiones_cobertura.png" id="19" name="Picture"/>
                          <pic:cNvPicPr>
                            <a:picLocks noChangeArrowheads="1" noChangeAspect="1"/>
                          </pic:cNvPicPr>
                        </pic:nvPicPr>
                        <pic:blipFill>
                          <a:blip r:embed="rId17"/>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 (EPSG:32721).</w:t>
            </w:r>
          </w:p>
          <w:bookmarkEnd w:id="20"/>
        </w:tc>
      </w:tr>
    </w:tbl>
    <w:bookmarkEnd w:id="21"/>
    <w:bookmarkEnd w:id="22"/>
    <w:bookmarkStart w:id="45" w:name="results"/>
    <w:p>
      <w:pPr>
        <w:pStyle w:val="Heading1"/>
      </w:pPr>
      <w:r>
        <w:t xml:space="preserve">3. Results</w:t>
      </w:r>
    </w:p>
    <w:bookmarkStart w:id="29"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3"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3"/>
          <w:p/>
        </w:tc>
      </w:tr>
    </w:tbl>
    <w:p>
      <w:pPr>
        <w:pStyle w:val="BodyText"/>
      </w:pPr>
      <w:r>
        <w:t xml:space="preserve">The paired M3 − M2 difference was +0.0028 [+0.0001, +0.0054] ROC-AUC and +0.0089 [+0.0034, +0.0144] PR-AUC in Chaco, and +0.0132 [+0.0097, +0.0169] and +0.0221 [+0.0166, +0.0272] in Oriental (grouped-by-date bootstrap, B = 1 000). The pre-specified margin δ = 0.01 was met in Oriental for both ROC-AUC and PR-AUC, but not in Chaco: the Chaco gains were +0.0028 and +0.0089, below δ, although both intervals exclude zero. M3 is therefore not claimed to be superior to M2 in Chaco. The shared architecture uses M3 where fire history exists because the propagation component is the operational target; the Chaco ignition gain is incremental.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4"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4"/>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5.3× and 4.8× above chance, while propagation precision is about 62× and 23× above chance. At population weighting, M2 slightly exceeds M3 in Chaco ROC-AUC (0.8078 vs. 0.8059) and precision (0.090 % vs. 0.082 %), whereas M3 leads in the Oriental Region (0.7627 vs. 0.7549).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The 2024 evaluation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790514"/>
                  <wp:effectExtent b="0" l="0" r="0" t="0"/>
                  <wp:docPr descr="" title="" id="26" name="Picture"/>
                  <a:graphic>
                    <a:graphicData uri="http://schemas.openxmlformats.org/drawingml/2006/picture">
                      <pic:pic>
                        <pic:nvPicPr>
                          <pic:cNvPr descr="../../entregables/figuras/fig02_curvas_roc_pr_test.png" id="27" name="Picture"/>
                          <pic:cNvPicPr>
                            <a:picLocks noChangeArrowheads="1" noChangeAspect="1"/>
                          </pic:cNvPicPr>
                        </pic:nvPicPr>
                        <pic:blipFill>
                          <a:blip r:embed="rId25"/>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8"/>
        </w:tc>
      </w:tr>
    </w:tbl>
    <w:bookmarkEnd w:id="29"/>
    <w:bookmarkStart w:id="35"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+0.2963 in Chaco and +0.1922 in Oriental, and INPE by +0.2756 and +0.2561.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3.1285 and 0.0364 in Chaco and 20.4720 and 0.0596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0"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(M3 − reference)</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0.5059</w:t>
                  </w:r>
                </w:p>
              </w:tc>
              <w:tc>
                <w:tcPr/>
                <w:p>
                  <w:pPr>
                    <w:pStyle w:val="Compact"/>
                    <w:jc w:val="right"/>
                    <w:jc w:val="center"/>
                  </w:pPr>
                  <w:r>
                    <w:t xml:space="preserve">0.0897</w:t>
                  </w:r>
                </w:p>
              </w:tc>
              <w:tc>
                <w:tcPr/>
                <w:p>
                  <w:pPr>
                    <w:pStyle w:val="Compact"/>
                    <w:jc w:val="right"/>
                    <w:jc w:val="center"/>
                  </w:pPr>
                  <w:r>
                    <w:t xml:space="preserve">+0.2963</w:t>
                  </w:r>
                </w:p>
              </w:tc>
              <w:tc>
                <w:tcPr/>
                <w:p>
                  <w:pPr>
                    <w:pStyle w:val="Compact"/>
                    <w:jc w:val="right"/>
                    <w:jc w:val="center"/>
                  </w:pPr>
                  <w:r>
                    <w:t xml:space="preserve">≤0.001</w:t>
                  </w:r>
                </w:p>
              </w:tc>
              <w:tc>
                <w:tcPr/>
                <w:p>
                  <w:pPr>
                    <w:pStyle w:val="Compact"/>
                    <w:jc w:val="right"/>
                    <w:jc w:val="center"/>
                  </w:pPr>
                  <w:r>
                    <w:t xml:space="preserve">3.1285</w:t>
                  </w:r>
                </w:p>
              </w:tc>
              <w:tc>
                <w:tcPr/>
                <w:p>
                  <w:pPr>
                    <w:pStyle w:val="Compact"/>
                    <w:jc w:val="right"/>
                    <w:jc w:val="center"/>
                  </w:pPr>
                  <w:r>
                    <w:t xml:space="preserve">9.25</w:t>
                  </w:r>
                </w:p>
              </w:tc>
              <w:tc>
                <w:tcPr/>
                <w:p>
                  <w:pPr>
                    <w:pStyle w:val="Compact"/>
                    <w:jc w:val="right"/>
                    <w:jc w:val="center"/>
                  </w:pPr>
                  <w:r>
                    <w:t xml:space="preserve">95.73</w:t>
                  </w:r>
                </w:p>
              </w:tc>
              <w:tc>
                <w:tcPr/>
                <w:p>
                  <w:pPr>
                    <w:pStyle w:val="Compact"/>
                    <w:jc w:val="right"/>
                    <w:jc w:val="center"/>
                  </w:pPr>
                  <w:r>
                    <w:t xml:space="preserve">0.1130</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0.5266</w:t>
                  </w:r>
                </w:p>
              </w:tc>
              <w:tc>
                <w:tcPr/>
                <w:p>
                  <w:pPr>
                    <w:pStyle w:val="Compact"/>
                    <w:jc w:val="right"/>
                    <w:jc w:val="center"/>
                  </w:pPr>
                  <w:r>
                    <w:t xml:space="preserve">0.0964</w:t>
                  </w:r>
                </w:p>
              </w:tc>
              <w:tc>
                <w:tcPr/>
                <w:p>
                  <w:pPr>
                    <w:pStyle w:val="Compact"/>
                    <w:jc w:val="right"/>
                    <w:jc w:val="center"/>
                  </w:pPr>
                  <w:r>
                    <w:t xml:space="preserve">+0.2756</w:t>
                  </w:r>
                </w:p>
              </w:tc>
              <w:tc>
                <w:tcPr/>
                <w:p>
                  <w:pPr>
                    <w:pStyle w:val="Compact"/>
                    <w:jc w:val="right"/>
                    <w:jc w:val="center"/>
                  </w:pPr>
                  <w:r>
                    <w:t xml:space="preserve">≤0.001</w:t>
                  </w:r>
                </w:p>
              </w:tc>
              <w:tc>
                <w:tcPr/>
                <w:p>
                  <w:pPr>
                    <w:pStyle w:val="Compact"/>
                    <w:jc w:val="right"/>
                    <w:jc w:val="center"/>
                  </w:pPr>
                  <w:r>
                    <w:t xml:space="preserve">0.0364</w:t>
                  </w:r>
                </w:p>
              </w:tc>
              <w:tc>
                <w:tcPr/>
                <w:p>
                  <w:pPr>
                    <w:pStyle w:val="Compact"/>
                    <w:jc w:val="right"/>
                    <w:jc w:val="center"/>
                  </w:pPr>
                  <w:r>
                    <w:t xml:space="preserve">9.24</w:t>
                  </w:r>
                </w:p>
              </w:tc>
              <w:tc>
                <w:tcPr/>
                <w:p>
                  <w:pPr>
                    <w:pStyle w:val="Compact"/>
                    <w:jc w:val="right"/>
                    <w:jc w:val="center"/>
                  </w:pPr>
                  <w:r>
                    <w:t xml:space="preserve">92.47</w:t>
                  </w:r>
                </w:p>
              </w:tc>
              <w:tc>
                <w:tcPr/>
                <w:p>
                  <w:pPr>
                    <w:pStyle w:val="Compact"/>
                    <w:jc w:val="right"/>
                    <w:jc w:val="center"/>
                  </w:pPr>
                  <w:r>
                    <w:t xml:space="preserve">0.1126</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0.5611</w:t>
                  </w:r>
                </w:p>
              </w:tc>
              <w:tc>
                <w:tcPr/>
                <w:p>
                  <w:pPr>
                    <w:pStyle w:val="Compact"/>
                    <w:jc w:val="right"/>
                    <w:jc w:val="center"/>
                  </w:pPr>
                  <w:r>
                    <w:t xml:space="preserve">0.1122</w:t>
                  </w:r>
                </w:p>
              </w:tc>
              <w:tc>
                <w:tcPr/>
                <w:p>
                  <w:pPr>
                    <w:pStyle w:val="Compact"/>
                    <w:jc w:val="right"/>
                    <w:jc w:val="center"/>
                  </w:pPr>
                  <w:r>
                    <w:t xml:space="preserve">+0.1922</w:t>
                  </w:r>
                </w:p>
              </w:tc>
              <w:tc>
                <w:tcPr/>
                <w:p>
                  <w:pPr>
                    <w:pStyle w:val="Compact"/>
                    <w:jc w:val="right"/>
                    <w:jc w:val="center"/>
                  </w:pPr>
                  <w:r>
                    <w:t xml:space="preserve">≤0.001</w:t>
                  </w:r>
                </w:p>
              </w:tc>
              <w:tc>
                <w:tcPr/>
                <w:p>
                  <w:pPr>
                    <w:pStyle w:val="Compact"/>
                    <w:jc w:val="right"/>
                    <w:jc w:val="center"/>
                  </w:pPr>
                  <w:r>
                    <w:t xml:space="preserve">20.4720</w:t>
                  </w:r>
                </w:p>
              </w:tc>
              <w:tc>
                <w:tcPr/>
                <w:p>
                  <w:pPr>
                    <w:pStyle w:val="Compact"/>
                    <w:jc w:val="right"/>
                    <w:jc w:val="center"/>
                  </w:pPr>
                  <w:r>
                    <w:t xml:space="preserve">12.22</w:t>
                  </w:r>
                </w:p>
              </w:tc>
              <w:tc>
                <w:tcPr/>
                <w:p>
                  <w:pPr>
                    <w:pStyle w:val="Compact"/>
                    <w:jc w:val="right"/>
                    <w:jc w:val="center"/>
                  </w:pPr>
                  <w:r>
                    <w:t xml:space="preserve">21.85</w:t>
                  </w:r>
                </w:p>
              </w:tc>
              <w:tc>
                <w:tcPr/>
                <w:p>
                  <w:pPr>
                    <w:pStyle w:val="Compact"/>
                    <w:jc w:val="right"/>
                    <w:jc w:val="center"/>
                  </w:pPr>
                  <w:r>
                    <w:t xml:space="preserve">0.1340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0.4973</w:t>
                  </w:r>
                </w:p>
              </w:tc>
              <w:tc>
                <w:tcPr/>
                <w:p>
                  <w:pPr>
                    <w:pStyle w:val="Compact"/>
                    <w:jc w:val="right"/>
                    <w:jc w:val="center"/>
                  </w:pPr>
                  <w:r>
                    <w:t xml:space="preserve">0.0902</w:t>
                  </w:r>
                </w:p>
              </w:tc>
              <w:tc>
                <w:tcPr/>
                <w:p>
                  <w:pPr>
                    <w:pStyle w:val="Compact"/>
                    <w:jc w:val="right"/>
                    <w:jc w:val="center"/>
                  </w:pPr>
                  <w:r>
                    <w:t xml:space="preserve">+0.2561</w:t>
                  </w:r>
                </w:p>
              </w:tc>
              <w:tc>
                <w:tcPr/>
                <w:p>
                  <w:pPr>
                    <w:pStyle w:val="Compact"/>
                    <w:jc w:val="right"/>
                    <w:jc w:val="center"/>
                  </w:pPr>
                  <w:r>
                    <w:t xml:space="preserve">≤0.001</w:t>
                  </w:r>
                </w:p>
              </w:tc>
              <w:tc>
                <w:tcPr/>
                <w:p>
                  <w:pPr>
                    <w:pStyle w:val="Compact"/>
                    <w:jc w:val="right"/>
                    <w:jc w:val="center"/>
                  </w:pPr>
                  <w:r>
                    <w:t xml:space="preserve">0.0596</w:t>
                  </w:r>
                </w:p>
              </w:tc>
              <w:tc>
                <w:tcPr/>
                <w:p>
                  <w:pPr>
                    <w:pStyle w:val="Compact"/>
                    <w:jc w:val="right"/>
                    <w:jc w:val="center"/>
                  </w:pPr>
                  <w:r>
                    <w:t xml:space="preserve">9.24</w:t>
                  </w:r>
                </w:p>
              </w:tc>
              <w:tc>
                <w:tcPr/>
                <w:p>
                  <w:pPr>
                    <w:pStyle w:val="Compact"/>
                    <w:jc w:val="right"/>
                    <w:jc w:val="center"/>
                  </w:pPr>
                  <w:r>
                    <w:t xml:space="preserve">82.56</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0"/>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0.5059/0.5611 and INPE 0.5266/0.4973;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Because the INPE implementation weights A by land-cover fractions (the primary specification), we repeated the benchmark with a fixed A = 3.0 (the INPE open-savanna coefficient, fixed a priori). The fixed version reaches ROC-AUC 0.4976/0.5497 versus 0.5266/0.4973 for local A (ΔROC = −0.0290/+0.0524; p = 0.001; Table S22). The sign of the difference is region-dependent, but both versions remain far below M3 (0.8021/0.7534), so the weak INPE performance is not an artifact of the local land-cover weighting. Combining the two indices with the full M3 feature set does not close the gap: the augmented GBT reaches ROC-AUC 0.8018/0.7548 versus 0.8021/0.7534 for M3 (Δ = −0.0003/+0.0015; p = 0.612/0.001; Table S11 continuation). Once fuel, accessibility and historical context are present, the indices add essentially no ranking information; in Oriental the small gain is statistically detectable but operationally negligible.</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+0.0453/+0.0034 above full FWI and far below M3 (0.8021/0.7534; ΔROC = +0.2509/+0.1889, p ≤ 0.001). The failure of the canonical indices is therefore an information limitation rather than an artifact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4757598"/>
                  <wp:effectExtent b="0" l="0" r="0" t="0"/>
                  <wp:docPr descr="" title="" id="32" name="Picture"/>
                  <a:graphic>
                    <a:graphicData uri="http://schemas.openxmlformats.org/drawingml/2006/picture">
                      <pic:pic>
                        <pic:nvPicPr>
                          <pic:cNvPr descr="../../entregables/figuras/fig05_benchmarking_curvas_roc_pr.png" id="33" name="Picture"/>
                          <pic:cNvPicPr>
                            <a:picLocks noChangeArrowheads="1" noChangeAspect="1"/>
                          </pic:cNvPicPr>
                        </pic:nvPicPr>
                        <pic:blipFill>
                          <a:blip r:embed="rId31"/>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4"/>
        </w:tc>
      </w:tr>
    </w:tbl>
    <w:bookmarkEnd w:id="35"/>
    <w:bookmarkStart w:id="37"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6"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6"/>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unique 1-km² cells; 16 579/14 551 sampled ignition cell-days in Chaco/Oriental),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rPr>
          <w:b/>
          <w:bCs/>
        </w:rPr>
        <w:t xml:space="preserve">Temporal stability and D2 parameter sensitivity.</w:t>
      </w:r>
      <w:r>
        <w:t xml:space="preserve"> </w:t>
      </w:r>
      <w:r>
        <w:t xml:space="preserve">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(+0.0059/+0.0059;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 The ROC-AUC increase in the no-train-fire subset is consistent with removing chronically burned cells that act as difficult negatives; because prevalence falls to 7.66 % in Chaco, PR-AUC and precision are not directly comparable across subsets.</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artifact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artifact of the single 2024–2025 split. Across 20 runs (five seeds × two capacities × two regions), the M3−M2 difference remained positive in every run, with mean differences of +0.0036/+0.0035 in Chaco and +0.0128/+0.0128 in Oriental for the current/high-capacity configurations (Table S25).</w:t>
      </w:r>
    </w:p>
    <w:p>
      <w:pPr>
        <w:pStyle w:val="BodyText"/>
      </w:pPr>
      <w:r>
        <w:rPr>
          <w:b/>
          <w:bCs/>
        </w:rPr>
        <w:t xml:space="preserve">Distribution shift and negative controls.</w:t>
      </w:r>
      <w:r>
        <w:t xml:space="preserve"> </w:t>
      </w:r>
      <w:r>
        <w:t xml:space="preserve">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A permuted-label negative control reached AUC 0.6297/0.5138; removing historical features did not eliminate the excess (0.6276/0.5168), indicating residual cell-level association or feature leakage in Chaco (Table S32; Figure S7). This excess over 0.50 is consistent with spatial heterogeneity in baseline fire prevalence and with the 90.65 % cell overlap between training and test; it is not evidence of causal signal. The M3 score should therefore be read as a nowcast/prioritization signal, not a causal attribution.</w:t>
      </w:r>
    </w:p>
    <w:p>
      <w:pPr>
        <w:pStyle w:val="BodyText"/>
      </w:pPr>
      <w:r>
        <w:rPr>
          <w:b/>
          <w:bCs/>
        </w:rPr>
        <w:t xml:space="preserve">Sampling, gating and label-quality robustness.</w:t>
      </w:r>
      <w:r>
        <w:t xml:space="preserve"> </w:t>
      </w:r>
      <w:r>
        <w:t xml:space="preserve">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(0.4988/0.5528;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w:t>
      </w:r>
    </w:p>
    <w:p>
      <w:pPr>
        <w:pStyle w:val="BodyText"/>
      </w:pPr>
      <w:r>
        <w:rPr>
          <w:b/>
          <w:bCs/>
        </w:rPr>
        <w:t xml:space="preserve">External spatial validation.</w:t>
      </w:r>
      <w:r>
        <w:t xml:space="preserve"> </w:t>
      </w:r>
      <w:r>
        <w:t xml:space="preserve">External spatial validation in Boquerón, after excluding the department and a 25-km buffer and recomputing priors, reproduced the M2/M3 discrimination (ROC-AUC 0.8104/0.8120; PR-AUC 0.2440/0.2505) but not a significant M3−M2 gain (+0.0016; p = 0.254). FWI was below chance (0.4708) and INPE reached 0.5817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7"/>
    <w:bookmarkStart w:id="42" w:name="operational-value"/>
    <w:p>
      <w:pPr>
        <w:pStyle w:val="Heading2"/>
      </w:pPr>
      <w:r>
        <w:t xml:space="preserve">3.4 Operational value</w:t>
      </w:r>
    </w:p>
    <w:p>
      <w:pPr>
        <w:pStyle w:val="FirstParagraph"/>
      </w:pPr>
      <w:r>
        <w:t xml:space="preserve">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 xml:space="preserve">α</w:t>
      </w:r>
      <w:r>
        <w:t xml:space="preserve"> </w:t>
      </w:r>
      <w:r>
        <w:t xml:space="preserve">=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 xml:space="preserve">Decision curve analysis on the case-control sample (Figure S4; Table S23) reproduces the ordering: at</w:t>
      </w:r>
      <w:r>
        <w:t xml:space="preserve"> </w:t>
      </w:r>
      <m:oMath>
        <m:sSub>
          <m:e>
            <m:r>
              <m:t>p</m:t>
            </m:r>
          </m:e>
          <m:sub>
            <m:r>
              <m:t>t</m:t>
            </m:r>
          </m:sub>
        </m:sSub>
        <m:r>
          <m:rPr>
            <m:sty m:val="p"/>
          </m:rPr>
          <m:t>=</m:t>
        </m:r>
        <m:r>
          <m:t>0.10</m:t>
        </m:r>
      </m:oMath>
      <w:r>
        <w:t xml:space="preserve">, M3 yields 37.6/29.4 net detections per 1 000 sampled cell-days, M2 37.7/27.3, M1 13.5/19.9 and FWI −0.01/4.1 (Chaco/Oriental); the propagation model remains positive up to</w:t>
      </w:r>
      <w:r>
        <w:t xml:space="preserve"> </w:t>
      </w:r>
      <m:oMath>
        <m:sSub>
          <m:e>
            <m:r>
              <m:t>p</m:t>
            </m:r>
          </m:e>
          <m:sub>
            <m:r>
              <m:t>t</m:t>
            </m:r>
          </m:sub>
        </m:sSub>
        <m:r>
          <m:rPr>
            <m:sty m:val="p"/>
          </m:rPr>
          <m:t>≈</m:t>
        </m:r>
        <m:r>
          <m:t>0.7</m:t>
        </m:r>
      </m:oMath>
      <w:r>
        <w:t xml:space="preserve">. Because net benefit is computed on the case-control sample, it complements the population-weighted decision value in Table S14.</w:t>
      </w:r>
    </w:p>
    <w:p>
      <w:pPr>
        <w:pStyle w:val="BodyText"/>
      </w:pPr>
      <w:r>
        <w:t xml:space="preserve">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maximizes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 xml:space="preserve">At their frozen F0.5 operating points, FWI has positive decision value only at α = 0.0001 in Chaco (V = 0.070) and α = 0.0005 in Oriental (V = 0.077); INPE is non-positive at every α (V ≤ 0). Even in that narrow window, FWI remains far below M3 (0.372/0.313). Allowing the indices their best validation threshold at each α leaves the ranking unchanged (Table S24). The AUC advantage of M3 therefore translates into decision value against the indices, but not uniformly against M2.</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p>
      <w:pPr>
        <w:pStyle w:val="BodyText"/>
      </w:pPr>
      <w:r>
        <w:t xml:space="preserve">The conspicuous ring of high alerts in northern Alto Paraguay is the 25-km t-1 propagation footprint around the Chovoreca fire front, not an independent ignition prediction.</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2348"/>
                  <wp:effectExtent b="0" l="0" r="0" t="0"/>
                  <wp:docPr descr="" title="" id="39" name="Picture"/>
                  <a:graphic>
                    <a:graphicData uri="http://schemas.openxmlformats.org/drawingml/2006/picture">
                      <pic:pic>
                        <pic:nvPicPr>
                          <pic:cNvPr descr="../../entregables/figuras/fig03_mapa_riesgo_operativo_nacional.png" id="40" name="Picture"/>
                          <pic:cNvPicPr>
                            <a:picLocks noChangeArrowheads="1" noChangeAspect="1"/>
                          </pic:cNvPicPr>
                        </pic:nvPicPr>
                        <pic:blipFill>
                          <a:blip r:embed="rId3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1"/>
        </w:tc>
      </w:tr>
    </w:tbl>
    <w:bookmarkEnd w:id="42"/>
    <w:bookmarkStart w:id="43" w:name="calibration"/>
    <w:p>
      <w:pPr>
        <w:pStyle w:val="Heading2"/>
      </w:pPr>
      <w:r>
        <w:t xml:space="preserve">3.5 Calibration</w:t>
      </w:r>
    </w:p>
    <w:p>
      <w:pPr>
        <w:pStyle w:val="FirstParagraph"/>
      </w:pPr>
      <w:r>
        <w:t xml:space="preserve">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The full empirical conformal coverage table is in Supplementary Table S5, and expected calibration errors for the benchmark models are in Supplementary Table S11.</w:t>
      </w:r>
    </w:p>
    <w:bookmarkEnd w:id="43"/>
    <w:bookmarkStart w:id="44" w:name="reproducibility-checks"/>
    <w:p>
      <w:pPr>
        <w:pStyle w:val="Heading2"/>
      </w:pPr>
      <w:r>
        <w:t xml:space="preserve">3.6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A permuted-label negative control sharpens this point. Retraining M3 on shuffled training labels yields AUC 0.6297/0.5138, and removing the historical features does not eliminate the excess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0.5059/0.5611) and the INPE Risco de Fogo (0.5266/0.4973),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(0.4708) and INPE reached 0.5817.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4" w:name="data-availability"/>
    <w:p>
      <w:pPr>
        <w:pStyle w:val="Heading1"/>
      </w:pPr>
      <w:r>
        <w:t xml:space="preserve">Data availability</w:t>
      </w:r>
    </w:p>
    <w:p>
      <w:pPr>
        <w:pStyle w:val="FirstParagraph"/>
      </w:pPr>
      <w:r>
        <w:t xml:space="preserve">Processed data, test predictions, trained models and derived tables are available in the v2.1.0 GitHub release at</w:t>
      </w:r>
      <w:r>
        <w:t xml:space="preserve"> </w:t>
      </w:r>
      <w:hyperlink r:id="rId52">
        <w:r>
          <w:rPr>
            <w:rStyle w:val="Hyperlink"/>
          </w:rPr>
          <w:t xml:space="preserve">github.com/sanchezmartin093-code/Incendios_PY</w:t>
        </w:r>
      </w:hyperlink>
      <w:r>
        <w:t xml:space="preserve"> </w:t>
      </w:r>
      <w:r>
        <w:t xml:space="preserve">under CC BY 4.0 and are indexed by the data concept DOI</w:t>
      </w:r>
      <w:r>
        <w:t xml:space="preserve"> </w:t>
      </w:r>
      <w:hyperlink r:id="rId53">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5"/>
    <w:bookmarkStart w:id="57" w:name="computer-code-availability"/>
    <w:p>
      <w:pPr>
        <w:pStyle w:val="Heading1"/>
      </w:pPr>
      <w:r>
        <w:t xml:space="preserve">Computer Code Availability</w:t>
      </w:r>
    </w:p>
    <w:p>
      <w:pPr>
        <w:pStyle w:val="Compact"/>
        <w:numPr>
          <w:ilvl w:val="0"/>
          <w:numId w:val="1005"/>
        </w:numPr>
      </w:pPr>
      <w:r>
        <w:rPr>
          <w:b/>
          <w:bCs/>
        </w:rPr>
        <w:t xml:space="preserve">Name of code:</w:t>
      </w:r>
      <w:r>
        <w:t xml:space="preserve"> </w:t>
      </w:r>
      <w:r>
        <w:rPr>
          <w:rStyle w:val="VerbatimChar"/>
        </w:rPr>
        <w:t xml:space="preserve">Incendios_PY</w:t>
      </w:r>
      <w:r>
        <w:t xml:space="preserve"> </w:t>
      </w:r>
      <w:r>
        <w:t xml:space="preserve">(v2.1.0)</w:t>
      </w:r>
    </w:p>
    <w:p>
      <w:pPr>
        <w:pStyle w:val="Compact"/>
        <w:numPr>
          <w:ilvl w:val="0"/>
          <w:numId w:val="1005"/>
        </w:numPr>
      </w:pPr>
      <w:r>
        <w:rPr>
          <w:b/>
          <w:bCs/>
        </w:rPr>
        <w:t xml:space="preserve">Developer and contact address:</w:t>
      </w:r>
      <w:r>
        <w:t xml:space="preserve"> </w:t>
      </w:r>
      <w:r>
        <w:t xml:space="preserve">Martín Sánchez Insfrán, Independent Researcher, Asunción, Paraguay.</w:t>
      </w:r>
    </w:p>
    <w:p>
      <w:pPr>
        <w:pStyle w:val="Compact"/>
        <w:numPr>
          <w:ilvl w:val="0"/>
          <w:numId w:val="1005"/>
        </w:numPr>
      </w:pPr>
      <w:r>
        <w:rPr>
          <w:b/>
          <w:bCs/>
        </w:rPr>
        <w:t xml:space="preserve">Telephone:</w:t>
      </w:r>
      <w:r>
        <w:t xml:space="preserve"> </w:t>
      </w:r>
      <w:r>
        <w:t xml:space="preserve">+595 971 907 727</w:t>
      </w:r>
    </w:p>
    <w:p>
      <w:pPr>
        <w:pStyle w:val="Compact"/>
        <w:numPr>
          <w:ilvl w:val="0"/>
          <w:numId w:val="1005"/>
        </w:numPr>
      </w:pPr>
      <w:r>
        <w:rPr>
          <w:b/>
          <w:bCs/>
        </w:rPr>
        <w:t xml:space="preserve">E-mail:</w:t>
      </w:r>
      <w:r>
        <w:t xml:space="preserve"> </w:t>
      </w:r>
      <w:r>
        <w:t xml:space="preserve">sanchez.martin093@gmail.com</w:t>
      </w:r>
    </w:p>
    <w:p>
      <w:pPr>
        <w:pStyle w:val="Compact"/>
        <w:numPr>
          <w:ilvl w:val="0"/>
          <w:numId w:val="1005"/>
        </w:numPr>
      </w:pPr>
      <w:r>
        <w:rPr>
          <w:b/>
          <w:bCs/>
        </w:rPr>
        <w:t xml:space="preserve">Year first available:</w:t>
      </w:r>
      <w:r>
        <w:t xml:space="preserve"> </w:t>
      </w:r>
      <w:r>
        <w:t xml:space="preserve">2026</w:t>
      </w:r>
    </w:p>
    <w:p>
      <w:pPr>
        <w:pStyle w:val="Compact"/>
        <w:numPr>
          <w:ilvl w:val="0"/>
          <w:numId w:val="1005"/>
        </w:numPr>
      </w:pPr>
      <w:r>
        <w:rPr>
          <w:b/>
          <w:bCs/>
        </w:rPr>
        <w:t xml:space="preserve">Hardware required:</w:t>
      </w:r>
      <w:r>
        <w:t xml:space="preserve"> </w:t>
      </w:r>
      <w:r>
        <w:t xml:space="preserve">x86_64 or ARM64 CPU; minimum 8 GB RAM.</w:t>
      </w:r>
    </w:p>
    <w:p>
      <w:pPr>
        <w:pStyle w:val="Compact"/>
        <w:numPr>
          <w:ilvl w:val="0"/>
          <w:numId w:val="1005"/>
        </w:numPr>
      </w:pPr>
      <w:r>
        <w:rPr>
          <w:b/>
          <w:bCs/>
        </w:rPr>
        <w:t xml:space="preserve">Software required:</w:t>
      </w:r>
      <w:r>
        <w:t xml:space="preserve"> </w:t>
      </w:r>
      <w:r>
        <w:t xml:space="preserve">macOS 13+, Linux Ubuntu 22.04+, or Windows 11 with WSL2; Python 3.12+ with Polars, DuckDB, NumPy and the LightGBM C++ backend; pinned in</w:t>
      </w:r>
      <w:r>
        <w:t xml:space="preserve"> </w:t>
      </w:r>
      <w:r>
        <w:rPr>
          <w:rStyle w:val="VerbatimChar"/>
        </w:rPr>
        <w:t xml:space="preserve">requirements-lock.txt</w:t>
      </w:r>
      <w:r>
        <w:t xml:space="preserve">.</w:t>
      </w:r>
    </w:p>
    <w:p>
      <w:pPr>
        <w:pStyle w:val="Compact"/>
        <w:numPr>
          <w:ilvl w:val="0"/>
          <w:numId w:val="1005"/>
        </w:numPr>
      </w:pPr>
      <w:r>
        <w:rPr>
          <w:b/>
          <w:bCs/>
        </w:rPr>
        <w:t xml:space="preserve">Program language:</w:t>
      </w:r>
      <w:r>
        <w:t xml:space="preserve"> </w:t>
      </w:r>
      <w:r>
        <w:t xml:space="preserve">Python 3.12+.</w:t>
      </w:r>
    </w:p>
    <w:p>
      <w:pPr>
        <w:pStyle w:val="Compact"/>
        <w:numPr>
          <w:ilvl w:val="0"/>
          <w:numId w:val="1005"/>
        </w:numPr>
      </w:pPr>
      <w:r>
        <w:rPr>
          <w:b/>
          <w:bCs/>
        </w:rPr>
        <w:t xml:space="preserve">Program size:</w:t>
      </w:r>
      <w:r>
        <w:t xml:space="preserve"> </w:t>
      </w:r>
      <w:r>
        <w:t xml:space="preserve">1.7 MB source tree (approximately 0.9 MB Python source); the processed benchmark archive is 11 GB.</w:t>
      </w:r>
    </w:p>
    <w:p>
      <w:pPr>
        <w:pStyle w:val="Compact"/>
        <w:numPr>
          <w:ilvl w:val="0"/>
          <w:numId w:val="1005"/>
        </w:numPr>
      </w:pPr>
      <w:r>
        <w:rPr>
          <w:b/>
          <w:bCs/>
        </w:rPr>
        <w:t xml:space="preserve">Availability and license:</w:t>
      </w:r>
      <w:r>
        <w:t xml:space="preserve"> </w:t>
      </w:r>
      <w:r>
        <w:t xml:space="preserve">Freely available under the MIT License at</w:t>
      </w:r>
      <w:r>
        <w:t xml:space="preserve"> </w:t>
      </w:r>
      <w:hyperlink r:id="rId52">
        <w:r>
          <w:rPr>
            <w:rStyle w:val="Hyperlink"/>
          </w:rPr>
          <w:t xml:space="preserve">github.com/sanchezmartin093-code/Incendios_PY</w:t>
        </w:r>
      </w:hyperlink>
      <w:r>
        <w:t xml:space="preserve">. Code concept DOI:</w:t>
      </w:r>
      <w:r>
        <w:t xml:space="preserve"> </w:t>
      </w:r>
      <w:hyperlink r:id="rId56">
        <w:r>
          <w:rPr>
            <w:rStyle w:val="Hyperlink"/>
          </w:rPr>
          <w:t xml:space="preserve">10.5281/zenodo.23675104</w:t>
        </w:r>
      </w:hyperlink>
      <w:r>
        <w:t xml:space="preserve">; data concept DOI:</w:t>
      </w:r>
      <w:r>
        <w:t xml:space="preserve"> </w:t>
      </w:r>
      <w:hyperlink r:id="rId53">
        <w:r>
          <w:rPr>
            <w:rStyle w:val="Hyperlink"/>
          </w:rPr>
          <w:t xml:space="preserve">10.5281/zenodo.23675278</w:t>
        </w:r>
      </w:hyperlink>
      <w:r>
        <w:t xml:space="preserve">. Both concept DOIs resolve to the latest archived release (v2.1.0).</w:t>
      </w:r>
    </w:p>
    <w:p>
      <w:pPr>
        <w:pStyle w:val="Compact"/>
        <w:numPr>
          <w:ilvl w:val="0"/>
          <w:numId w:val="1005"/>
        </w:numPr>
      </w:pPr>
      <w:r>
        <w:rPr>
          <w:b/>
          <w:bCs/>
        </w:rPr>
        <w:t xml:space="preserve">User guide:</w:t>
      </w:r>
      <w:r>
        <w:t xml:space="preserve"> </w:t>
      </w:r>
      <w:r>
        <w:rPr>
          <w:rStyle w:val="VerbatimChar"/>
        </w:rPr>
        <w:t xml:space="preserve">docs/USER_GUIDE.md</w:t>
      </w:r>
      <w:r>
        <w:t xml:space="preserve">;</w:t>
      </w:r>
      <w:r>
        <w:t xml:space="preserve"> </w:t>
      </w:r>
      <w:r>
        <w:rPr>
          <w:b/>
          <w:bCs/>
        </w:rPr>
        <w:t xml:space="preserve">tutorial:</w:t>
      </w:r>
      <w:r>
        <w:t xml:space="preserve"> </w:t>
      </w:r>
      <w:r>
        <w:rPr>
          <w:rStyle w:val="VerbatimChar"/>
        </w:rPr>
        <w:t xml:space="preserve">docs/TUTORIAL.md</w:t>
      </w:r>
      <w:r>
        <w:t xml:space="preserve">.</w:t>
      </w:r>
    </w:p>
    <w:p>
      <w:pPr>
        <w:pStyle w:val="Compact"/>
        <w:numPr>
          <w:ilvl w:val="0"/>
          <w:numId w:val="1005"/>
        </w:numPr>
      </w:pPr>
      <w:r>
        <w:rPr>
          <w:b/>
          <w:bCs/>
        </w:rPr>
        <w:t xml:space="preserve">Tests:</w:t>
      </w:r>
      <w:r>
        <w:t xml:space="preserve"> </w:t>
      </w:r>
      <w:r>
        <w:t xml:space="preserve">76 tests pass with</w:t>
      </w:r>
      <w:r>
        <w:t xml:space="preserve"> </w:t>
      </w:r>
      <w:r>
        <w:rPr>
          <w:rStyle w:val="VerbatimChar"/>
        </w:rPr>
        <w:t xml:space="preserve">python -m pytest -q tests</w:t>
      </w:r>
      <w:r>
        <w:t xml:space="preserve">.</w:t>
      </w:r>
    </w:p>
    <w:p>
      <w:pPr>
        <w:pStyle w:val="FirstParagraph"/>
      </w:pPr>
      <w:r>
        <w:rPr>
          <w:b/>
          <w:bCs/>
        </w:rPr>
        <w:t xml:space="preserve">Authorship contribution statement</w:t>
      </w:r>
    </w:p>
    <w:p>
      <w:pPr>
        <w:pStyle w:val="BodyText"/>
      </w:pPr>
      <w:r>
        <w:t xml:space="preserve">Martín Sánchez Insfrán: conceptualization, methodology, software, data curation, formal analysis, validation, visualization, writing—original draft, writing—review and editing, project administration.</w:t>
      </w:r>
    </w:p>
    <w:bookmarkEnd w:id="57"/>
    <w:bookmarkStart w:id="58" w:name="funding"/>
    <w:p>
      <w:pPr>
        <w:pStyle w:val="Heading1"/>
      </w:pPr>
      <w:r>
        <w:t xml:space="preserve">Funding</w:t>
      </w:r>
    </w:p>
    <w:p>
      <w:pPr>
        <w:pStyle w:val="FirstParagraph"/>
      </w:pPr>
      <w:r>
        <w:t xml:space="preserve">This research received no specific grant from public, commercial or not-for-profit funding agencies.</w:t>
      </w:r>
    </w:p>
    <w:bookmarkEnd w:id="58"/>
    <w:bookmarkStart w:id="59" w:name="competing-interests"/>
    <w:p>
      <w:pPr>
        <w:pStyle w:val="Heading1"/>
      </w:pPr>
      <w:r>
        <w:t xml:space="preserve">Competing interests</w:t>
      </w:r>
    </w:p>
    <w:p>
      <w:pPr>
        <w:pStyle w:val="FirstParagraph"/>
      </w:pPr>
      <w:r>
        <w:t xml:space="preserve">The author declares no competing financial or non-financial interests.</w:t>
      </w:r>
    </w:p>
    <w:bookmarkEnd w:id="59"/>
    <w:bookmarkStart w:id="60" w:name="generative-ai-declaration"/>
    <w:p>
      <w:pPr>
        <w:pStyle w:val="Heading1"/>
      </w:pPr>
      <w:r>
        <w:t xml:space="preserve">Generative AI declaration</w:t>
      </w:r>
    </w:p>
    <w:p>
      <w:pPr>
        <w:pStyle w:val="FirstParagraph"/>
      </w:pPr>
      <w:r>
        <w:t xml:space="preserve">During the preparation of this work the author used Google Gemini for language editing and code assistance. After using this tool/service, the author reviewed and edited the content as needed and takes full responsibility for the content of the published article.</w:t>
      </w:r>
    </w:p>
    <w:bookmarkEnd w:id="60"/>
    <w:bookmarkStart w:id="113" w:name="references"/>
    <w:p>
      <w:pPr>
        <w:pStyle w:val="Heading1"/>
      </w:pPr>
      <w:r>
        <w:t xml:space="preserve">References</w:t>
      </w:r>
    </w:p>
    <w:bookmarkStart w:id="112" w:name="refs"/>
    <w:bookmarkStart w:id="62" w:name="ref-alvarado2018"/>
    <w:p>
      <w:pPr>
        <w:pStyle w:val="Bibliography"/>
      </w:pPr>
      <w:r>
        <w:t xml:space="preserve">Alvarado, S.T., Silva, C.A., Archibald, S., 2018. Drivers of fire occurrence in a savanna-forest mosaic in the southern</w:t>
      </w:r>
      <w:r>
        <w:t xml:space="preserve"> </w:t>
      </w:r>
      <w:r>
        <w:t xml:space="preserve">Amazon</w:t>
      </w:r>
      <w:r>
        <w:t xml:space="preserve">. Remote Sensing 10, 1438.</w:t>
      </w:r>
      <w:r>
        <w:t xml:space="preserve"> </w:t>
      </w:r>
      <w:hyperlink r:id="rId61">
        <w:r>
          <w:rPr>
            <w:rStyle w:val="Hyperlink"/>
          </w:rPr>
          <w:t xml:space="preserve">https://doi.org/10.3390/rs10091438</w:t>
        </w:r>
      </w:hyperlink>
    </w:p>
    <w:bookmarkEnd w:id="62"/>
    <w:bookmarkStart w:id="64" w:name="ref-barmpoutis2020"/>
    <w:p>
      <w:pPr>
        <w:pStyle w:val="Bibliography"/>
      </w:pPr>
      <w:r>
        <w:t xml:space="preserve">Barmpoutis, P., Papaioannou, P., Dimitropoulos, K., Grammalidis, N., 2020. A review on early forest fire detection systems using optical remote sensing. Sensors 20, 6442.</w:t>
      </w:r>
      <w:r>
        <w:t xml:space="preserve"> </w:t>
      </w:r>
      <w:hyperlink r:id="rId63">
        <w:r>
          <w:rPr>
            <w:rStyle w:val="Hyperlink"/>
          </w:rPr>
          <w:t xml:space="preserve">https://doi.org/10.3390/s20226442</w:t>
        </w:r>
      </w:hyperlink>
    </w:p>
    <w:bookmarkEnd w:id="64"/>
    <w:bookmarkStart w:id="66" w:name="ref-baumann2017"/>
    <w:p>
      <w:pPr>
        <w:pStyle w:val="Bibliography"/>
      </w:pPr>
      <w:r>
        <w:t xml:space="preserve">Baumann, M., Gasparri, I., Piquer-Rodríguez, M., Ponzoni, G., Volante, J., Kuemmerle, T., 2017. Carbon emissions from agricultural expansion and intensification in the</w:t>
      </w:r>
      <w:r>
        <w:t xml:space="preserve"> </w:t>
      </w:r>
      <w:r>
        <w:t xml:space="preserve">Chaco</w:t>
      </w:r>
      <w:r>
        <w:t xml:space="preserve">. Global Change Biology 23, 1902–1916.</w:t>
      </w:r>
      <w:r>
        <w:t xml:space="preserve"> </w:t>
      </w:r>
      <w:hyperlink r:id="rId65">
        <w:r>
          <w:rPr>
            <w:rStyle w:val="Hyperlink"/>
          </w:rPr>
          <w:t xml:space="preserve">https://doi.org/10.1111/gcb.13521</w:t>
        </w:r>
      </w:hyperlink>
    </w:p>
    <w:bookmarkEnd w:id="66"/>
    <w:bookmarkStart w:id="68" w:name="ref-dormann2007"/>
    <w:p>
      <w:pPr>
        <w:pStyle w:val="Bibliography"/>
      </w:pPr>
      <w:r>
        <w:t xml:space="preserve">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67">
        <w:r>
          <w:rPr>
            <w:rStyle w:val="Hyperlink"/>
          </w:rPr>
          <w:t xml:space="preserve">https://doi.org/10.1111/j.2007.0906-7590.05171.x</w:t>
        </w:r>
      </w:hyperlink>
    </w:p>
    <w:bookmarkEnd w:id="68"/>
    <w:bookmarkStart w:id="70" w:name="ref-flannigan2009"/>
    <w:p>
      <w:pPr>
        <w:pStyle w:val="Bibliography"/>
      </w:pPr>
      <w:r>
        <w:t xml:space="preserve">Flannigan, M.D., Krawchuk, M.A., Groot, W.J. de, Wotton, B.M., Gowman, L.M., 2009. Implications of changing climate for global wildland fire. International Journal of Wildland Fire 18, 483–507.</w:t>
      </w:r>
      <w:r>
        <w:t xml:space="preserve"> </w:t>
      </w:r>
      <w:hyperlink r:id="rId69">
        <w:r>
          <w:rPr>
            <w:rStyle w:val="Hyperlink"/>
          </w:rPr>
          <w:t xml:space="preserve">https://doi.org/10.1071/WF08187</w:t>
        </w:r>
      </w:hyperlink>
    </w:p>
    <w:bookmarkEnd w:id="70"/>
    <w:bookmarkStart w:id="72" w:name="ref-flannigan2016"/>
    <w:p>
      <w:pPr>
        <w:pStyle w:val="Bibliography"/>
      </w:pPr>
      <w:r>
        <w:t xml:space="preserve">Flannigan, M.D., Wotton, B.M., Marshall, G.A., Groot, W.J. de, Johnston, J., Jurko, N., Cantin, A.S., 2016. Fuel moisture sensitivity to temperature and precipitation: Climate change implications. Climatic Change 134, 59–71.</w:t>
      </w:r>
      <w:r>
        <w:t xml:space="preserve"> </w:t>
      </w:r>
      <w:hyperlink r:id="rId71">
        <w:r>
          <w:rPr>
            <w:rStyle w:val="Hyperlink"/>
          </w:rPr>
          <w:t xml:space="preserve">https://doi.org/10.1007/s10584-015-1521-0</w:t>
        </w:r>
      </w:hyperlink>
    </w:p>
    <w:bookmarkEnd w:id="72"/>
    <w:bookmarkStart w:id="74" w:name="ref-hansen2013"/>
    <w:p>
      <w:pPr>
        <w:pStyle w:val="Bibliography"/>
      </w:pPr>
      <w:r>
        <w:t xml:space="preserve">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3">
        <w:r>
          <w:rPr>
            <w:rStyle w:val="Hyperlink"/>
          </w:rPr>
          <w:t xml:space="preserve">https://doi.org/10.1126/science.1244693</w:t>
        </w:r>
      </w:hyperlink>
    </w:p>
    <w:bookmarkEnd w:id="74"/>
    <w:bookmarkStart w:id="76" w:name="ref-jain2020review"/>
    <w:p>
      <w:pPr>
        <w:pStyle w:val="Bibliography"/>
      </w:pPr>
      <w:r>
        <w:t xml:space="preserve">Jain, P., Coogan, S.C.P., Subramanian, S.G., Crowley, M., Taylor, S., Flannigan, M.D., 2020. A review of machine learning applications in wildland fire science and management. Environmental Reviews 28, 478–505.</w:t>
      </w:r>
      <w:r>
        <w:t xml:space="preserve"> </w:t>
      </w:r>
      <w:hyperlink r:id="rId75">
        <w:r>
          <w:rPr>
            <w:rStyle w:val="Hyperlink"/>
          </w:rPr>
          <w:t xml:space="preserve">https://doi.org/10.1139/er-2020-0019</w:t>
        </w:r>
      </w:hyperlink>
    </w:p>
    <w:bookmarkEnd w:id="76"/>
    <w:bookmarkStart w:id="78" w:name="ref-jolly2015"/>
    <w:p>
      <w:pPr>
        <w:pStyle w:val="Bibliography"/>
      </w:pPr>
      <w:r>
        <w:t xml:space="preserve">Jolly, W.M., Cochrane, M.A., Freeborn, P.H., Holden, Z.A., Brown, T.J., Williamson, G.J., Bowman, D.M.J.S., 2015. Climate-induced variations in global wildfire danger from 1979 to 2013. Nature Communications 6, 7537.</w:t>
      </w:r>
      <w:r>
        <w:t xml:space="preserve"> </w:t>
      </w:r>
      <w:hyperlink r:id="rId77">
        <w:r>
          <w:rPr>
            <w:rStyle w:val="Hyperlink"/>
          </w:rPr>
          <w:t xml:space="preserve">https://doi.org/10.1038/ncomms8537</w:t>
        </w:r>
      </w:hyperlink>
    </w:p>
    <w:bookmarkEnd w:id="78"/>
    <w:bookmarkStart w:id="79"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9"/>
    <w:bookmarkStart w:id="81" w:name="ref-legendre1993"/>
    <w:p>
      <w:pPr>
        <w:pStyle w:val="Bibliography"/>
      </w:pPr>
      <w:r>
        <w:t xml:space="preserve">Legendre, P., 1993. Spatial autocorrelation: Trouble or new paradigm? Ecology 74, 1659–1673.</w:t>
      </w:r>
      <w:r>
        <w:t xml:space="preserve"> </w:t>
      </w:r>
      <w:hyperlink r:id="rId80">
        <w:r>
          <w:rPr>
            <w:rStyle w:val="Hyperlink"/>
          </w:rPr>
          <w:t xml:space="preserve">https://doi.org/10.2307/1939924</w:t>
        </w:r>
      </w:hyperlink>
    </w:p>
    <w:bookmarkEnd w:id="81"/>
    <w:bookmarkStart w:id="83"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r>
        <w:t xml:space="preserve"> </w:t>
      </w:r>
      <w:hyperlink r:id="rId82">
        <w:r>
          <w:rPr>
            <w:rStyle w:val="Hyperlink"/>
          </w:rPr>
          <w:t xml:space="preserve">https://doi.org/10.1038/s42256-019-0138-9</w:t>
        </w:r>
      </w:hyperlink>
    </w:p>
    <w:bookmarkEnd w:id="83"/>
    <w:bookmarkStart w:id="85"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84">
        <w:r>
          <w:rPr>
            <w:rStyle w:val="Hyperlink"/>
          </w:rPr>
          <w:t xml:space="preserve">https://chaco.mapbiomas.org/</w:t>
        </w:r>
      </w:hyperlink>
      <w:r>
        <w:t xml:space="preserve"> </w:t>
      </w:r>
      <w:r>
        <w:t xml:space="preserve">(accessed 10.28.2026).</w:t>
      </w:r>
    </w:p>
    <w:bookmarkEnd w:id="85"/>
    <w:bookmarkStart w:id="87"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86">
        <w:r>
          <w:rPr>
            <w:rStyle w:val="Hyperlink"/>
          </w:rPr>
          <w:t xml:space="preserve">https://doi.org/10.5194/essd-13-4349-2021</w:t>
        </w:r>
      </w:hyperlink>
    </w:p>
    <w:bookmarkEnd w:id="87"/>
    <w:bookmarkStart w:id="89" w:name="ref-niculescu2005"/>
    <w:p>
      <w:pPr>
        <w:pStyle w:val="Bibliography"/>
      </w:pPr>
      <w:r>
        <w:t xml:space="preserve">Niculescu-Mizil, A., Caruana, R., 2005. Predicting good probabilities with supervised learning, in: Proceedings of the 22nd International Conference on Machine Learning (ICML). pp. 625–632.</w:t>
      </w:r>
      <w:r>
        <w:t xml:space="preserve"> </w:t>
      </w:r>
      <w:hyperlink r:id="rId88">
        <w:r>
          <w:rPr>
            <w:rStyle w:val="Hyperlink"/>
          </w:rPr>
          <w:t xml:space="preserve">https://doi.org/10.1145/1102351.1102430</w:t>
        </w:r>
      </w:hyperlink>
    </w:p>
    <w:bookmarkEnd w:id="89"/>
    <w:bookmarkStart w:id="91" w:name="ref-pivello2021"/>
    <w:p>
      <w:pPr>
        <w:pStyle w:val="Bibliography"/>
      </w:pPr>
      <w:r>
        <w:t xml:space="preserve">Pivello, V.R., Vieira, I., Christianini, A.V., Ribeiro, D.B., Silva Menezes, L. da, Berlinck, C.N., Melo, F.P.L., Marengo, J.A., Tornquist, C.G., Tomas, W.M., Overbeck, G.E., 2021. Understanding</w:t>
      </w:r>
      <w:r>
        <w:t xml:space="preserve"> </w:t>
      </w:r>
      <w:r>
        <w:t xml:space="preserve">Brazil</w:t>
      </w:r>
      <w:r>
        <w:t xml:space="preserve">’s catastrophic fires: Causes, consequences and policy needed. Perspectives in Ecology and Conservation 19, 233–255.</w:t>
      </w:r>
      <w:r>
        <w:t xml:space="preserve"> </w:t>
      </w:r>
      <w:hyperlink r:id="rId90">
        <w:r>
          <w:rPr>
            <w:rStyle w:val="Hyperlink"/>
          </w:rPr>
          <w:t xml:space="preserve">https://doi.org/10.1016/j.pecon.2021.06.005</w:t>
        </w:r>
      </w:hyperlink>
    </w:p>
    <w:bookmarkEnd w:id="91"/>
    <w:bookmarkStart w:id="92" w:name="ref-platt1999"/>
    <w:p>
      <w:pPr>
        <w:pStyle w:val="Bibliography"/>
      </w:pPr>
      <w:r>
        <w:t xml:space="preserve">Platt, J., 1999. Probabilistic outputs for support vector machines and comparisons to regularized likelihood methods, in: Advances in Large Margin Classifiers. MIT Press, pp. 61–74.</w:t>
      </w:r>
    </w:p>
    <w:bookmarkEnd w:id="92"/>
    <w:bookmarkStart w:id="94" w:name="ref-ploton2020"/>
    <w:p>
      <w:pPr>
        <w:pStyle w:val="Bibliography"/>
      </w:pPr>
      <w:r>
        <w:t xml:space="preserve">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3">
        <w:r>
          <w:rPr>
            <w:rStyle w:val="Hyperlink"/>
          </w:rPr>
          <w:t xml:space="preserve">https://doi.org/10.1038/s41467-020-18321-y</w:t>
        </w:r>
      </w:hyperlink>
    </w:p>
    <w:bookmarkEnd w:id="94"/>
    <w:bookmarkStart w:id="96" w:name="ref-raasveldt2019duckdb"/>
    <w:p>
      <w:pPr>
        <w:pStyle w:val="Bibliography"/>
      </w:pPr>
      <w:r>
        <w:t xml:space="preserve">Raasveldt, M., Mühleisen, H., 2019. DuckDB: An embeddable analytical database, in: Proceedings of the 2019 International Conference on Management of Data (SIGMOD). pp. 1981–1984.</w:t>
      </w:r>
      <w:r>
        <w:t xml:space="preserve"> </w:t>
      </w:r>
      <w:hyperlink r:id="rId95">
        <w:r>
          <w:rPr>
            <w:rStyle w:val="Hyperlink"/>
          </w:rPr>
          <w:t xml:space="preserve">https://doi.org/10.1145/3299869.3320212</w:t>
        </w:r>
      </w:hyperlink>
    </w:p>
    <w:bookmarkEnd w:id="96"/>
    <w:bookmarkStart w:id="98"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97">
        <w:r>
          <w:rPr>
            <w:rStyle w:val="Hyperlink"/>
          </w:rPr>
          <w:t xml:space="preserve">https://doi.org/10.1111/ecog.02881</w:t>
        </w:r>
      </w:hyperlink>
    </w:p>
    <w:bookmarkEnd w:id="98"/>
    <w:bookmarkStart w:id="100" w:name="ref-sanmiguel2012"/>
    <w:p>
      <w:pPr>
        <w:pStyle w:val="Bibliography"/>
      </w:pPr>
      <w:r>
        <w:t xml:space="preserve">San-Miguel-Ayanz, J., Schulte, E., Schmuck, G., Camia, A., Strobl, P., Liberta, G., Giovando, C., Boca, R., Sedano, F., Kempeneers, P., McInerney, D., Houston Durrant, T., 2012. Comprehensive monitoring of wildfires in</w:t>
      </w:r>
      <w:r>
        <w:t xml:space="preserve"> </w:t>
      </w:r>
      <w:r>
        <w:t xml:space="preserve">Europe</w:t>
      </w:r>
      <w:r>
        <w:t xml:space="preserve">: The</w:t>
      </w:r>
      <w:r>
        <w:t xml:space="preserve"> </w:t>
      </w:r>
      <w:r>
        <w:t xml:space="preserve">European Forest Fire Information System</w:t>
      </w:r>
      <w:r>
        <w:t xml:space="preserve"> </w:t>
      </w:r>
      <w:r>
        <w:t xml:space="preserve">(</w:t>
      </w:r>
      <w:r>
        <w:t xml:space="preserve">EFFIS</w:t>
      </w:r>
      <w:r>
        <w:t xml:space="preserve">). Approaches to Managing Disaster - Assessing Hazards, Emergencies and Disaster Impacts 87–108.</w:t>
      </w:r>
      <w:r>
        <w:t xml:space="preserve"> </w:t>
      </w:r>
      <w:hyperlink r:id="rId99">
        <w:r>
          <w:rPr>
            <w:rStyle w:val="Hyperlink"/>
          </w:rPr>
          <w:t xml:space="preserve">https://doi.org/10.5772/28441</w:t>
        </w:r>
      </w:hyperlink>
    </w:p>
    <w:bookmarkEnd w:id="100"/>
    <w:bookmarkStart w:id="102"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101">
        <w:r>
          <w:rPr>
            <w:rStyle w:val="Hyperlink"/>
          </w:rPr>
          <w:t xml:space="preserve">https://doi.org/10.1016/j.rse.2013.12.008</w:t>
        </w:r>
      </w:hyperlink>
    </w:p>
    <w:bookmarkEnd w:id="102"/>
    <w:bookmarkStart w:id="104"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103">
        <w:r>
          <w:rPr>
            <w:rStyle w:val="Hyperlink"/>
          </w:rPr>
          <w:t xml:space="preserve">http://queimadas.dgi.inpe.br</w:t>
        </w:r>
      </w:hyperlink>
      <w:r>
        <w:t xml:space="preserve"> </w:t>
      </w:r>
      <w:r>
        <w:t xml:space="preserve">(accessed 10.28.2026).</w:t>
      </w:r>
    </w:p>
    <w:bookmarkEnd w:id="104"/>
    <w:bookmarkStart w:id="106" w:name="ref-stocks1989"/>
    <w:p>
      <w:pPr>
        <w:pStyle w:val="Bibliography"/>
      </w:pPr>
      <w:r>
        <w:t xml:space="preserve">Stocks, B.J., Lawson, B.D., Alexander, M.E., Van Wagner, C.E., McAlpine, R.S., Lynham, T.J., Dubé, D.E., 1989. The</w:t>
      </w:r>
      <w:r>
        <w:t xml:space="preserve"> </w:t>
      </w:r>
      <w:r>
        <w:t xml:space="preserve">Canadian Forest Fire Danger Rating System</w:t>
      </w:r>
      <w:r>
        <w:t xml:space="preserve">: An overview. The Forestry Chronicle 65, 258–265.</w:t>
      </w:r>
      <w:r>
        <w:t xml:space="preserve"> </w:t>
      </w:r>
      <w:hyperlink r:id="rId105">
        <w:r>
          <w:rPr>
            <w:rStyle w:val="Hyperlink"/>
          </w:rPr>
          <w:t xml:space="preserve">https://doi.org/10.5558/tfc65258-4</w:t>
        </w:r>
      </w:hyperlink>
    </w:p>
    <w:bookmarkEnd w:id="106"/>
    <w:bookmarkStart w:id="108" w:name="ref-tobler1970"/>
    <w:p>
      <w:pPr>
        <w:pStyle w:val="Bibliography"/>
      </w:pPr>
      <w:r>
        <w:t xml:space="preserve">Tobler, W.R., 1970. A computer movie simulating urban growth in the</w:t>
      </w:r>
      <w:r>
        <w:t xml:space="preserve"> </w:t>
      </w:r>
      <w:r>
        <w:t xml:space="preserve">Detroit</w:t>
      </w:r>
      <w:r>
        <w:t xml:space="preserve"> </w:t>
      </w:r>
      <w:r>
        <w:t xml:space="preserve">region. Economic Geography 46, 234–240.</w:t>
      </w:r>
      <w:r>
        <w:t xml:space="preserve"> </w:t>
      </w:r>
      <w:hyperlink r:id="rId107">
        <w:r>
          <w:rPr>
            <w:rStyle w:val="Hyperlink"/>
          </w:rPr>
          <w:t xml:space="preserve">https://doi.org/10.2307/143141</w:t>
        </w:r>
      </w:hyperlink>
    </w:p>
    <w:bookmarkEnd w:id="108"/>
    <w:bookmarkStart w:id="110" w:name="ref-vallejos2015"/>
    <w:p>
      <w:pPr>
        <w:pStyle w:val="Bibliography"/>
      </w:pPr>
      <w:r>
        <w:t xml:space="preserve">Vallejos, M., Volante, J.N., Mosciaro, M.J., Vale, L.M., Bustamante, M.L., Paruelo, J.M., 2015. Transformation dynamics of the natural cover in the</w:t>
      </w:r>
      <w:r>
        <w:t xml:space="preserve"> </w:t>
      </w:r>
      <w:r>
        <w:t xml:space="preserve">Dry Chaco</w:t>
      </w:r>
      <w:r>
        <w:t xml:space="preserve"> </w:t>
      </w:r>
      <w:r>
        <w:t xml:space="preserve">ecoregion: A plot level geo-database from 1976 to 2012. Journal of Arid Environments 123, 3–11.</w:t>
      </w:r>
      <w:r>
        <w:t xml:space="preserve"> </w:t>
      </w:r>
      <w:hyperlink r:id="rId109">
        <w:r>
          <w:rPr>
            <w:rStyle w:val="Hyperlink"/>
          </w:rPr>
          <w:t xml:space="preserve">https://doi.org/10.1016/j.jaridenv.2014.11.009</w:t>
        </w:r>
      </w:hyperlink>
    </w:p>
    <w:bookmarkEnd w:id="110"/>
    <w:bookmarkStart w:id="111"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111"/>
    <w:bookmarkEnd w:id="112"/>
    <w:bookmarkEnd w:id="113"/>
    <w:bookmarkStart w:id="114" w:name="list-of-figures"/>
    <w:p>
      <w:pPr>
        <w:pStyle w:val="Heading1"/>
      </w:pPr>
      <w:r>
        <w:t xml:space="preserve">List of Figures</w:t>
      </w:r>
    </w:p>
    <w:p>
      <w:pPr>
        <w:pStyle w:val="FirstParagraph"/>
      </w:pPr>
      <w:r>
        <w:t xml:space="preserve">Figure 1: Computational framework: multi-source inputs, D2 target operator, biophysical gate, decoupled M3/M2 ignition and t-1 propagation, reproducible evaluation and open outputs.</w:t>
      </w:r>
    </w:p>
    <w:p>
      <w:pPr>
        <w:pStyle w:val="BodyText"/>
      </w:pPr>
      <w:r>
        <w:t xml:space="preserve">Figure 2: Study domain and regional split: Dry Chaco (west) and Oriental Region (east) over the national 1-km² grid (EPSG:32721).</w:t>
      </w:r>
    </w:p>
    <w:p>
      <w:pPr>
        <w:pStyle w:val="BodyText"/>
      </w:pPr>
      <w:r>
        <w:t xml:space="preserve">Figure 3: ROC and precision–recall curves for the retrospective D2 test (2024–2025), by region and task. The ignition curves correspond to M3; propagation uses the causal t-1 layer.</w:t>
      </w:r>
    </w:p>
    <w:p>
      <w:pPr>
        <w:pStyle w:val="BodyText"/>
      </w:pPr>
      <w:r>
        <w:t xml:space="preserve">Figure 4: ROC and precision–recall curves for M3 against full Canadian FWI, INPE and the weather-only GBT under D2.</w:t>
      </w:r>
    </w:p>
    <w:p>
      <w:pPr>
        <w:pStyle w:val="BodyText"/>
      </w:pPr>
      <w:r>
        <w:t xml:space="preserve">Figure 5: Illustrative national 1-km² alert map for 2024-09-09, showing the spatial distribution of low, moderate and high alert cells.</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38" Target="media/rId38.png" /><Relationship Type="http://schemas.openxmlformats.org/officeDocument/2006/relationships/image" Id="rId31" Target="media/rId31.png" /><Relationship Type="http://schemas.openxmlformats.org/officeDocument/2006/relationships/hyperlink" Id="rId103" Target="http://queimadas.dgi.inpe.br" TargetMode="External" /><Relationship Type="http://schemas.openxmlformats.org/officeDocument/2006/relationships/hyperlink" Id="rId84" Target="https://chaco.mapbiomas.org/" TargetMode="External" /><Relationship Type="http://schemas.openxmlformats.org/officeDocument/2006/relationships/hyperlink" Id="rId71" Target="https://doi.org/10.1007/s10584-015-1521-0" TargetMode="External" /><Relationship Type="http://schemas.openxmlformats.org/officeDocument/2006/relationships/hyperlink" Id="rId109" Target="https://doi.org/10.1016/j.jaridenv.2014.11.009" TargetMode="External" /><Relationship Type="http://schemas.openxmlformats.org/officeDocument/2006/relationships/hyperlink" Id="rId90" Target="https://doi.org/10.1016/j.pecon.2021.06.005" TargetMode="External" /><Relationship Type="http://schemas.openxmlformats.org/officeDocument/2006/relationships/hyperlink" Id="rId101" Target="https://doi.org/10.1016/j.rse.2013.12.008" TargetMode="External" /><Relationship Type="http://schemas.openxmlformats.org/officeDocument/2006/relationships/hyperlink" Id="rId77" Target="https://doi.org/10.1038/ncomms8537" TargetMode="External" /><Relationship Type="http://schemas.openxmlformats.org/officeDocument/2006/relationships/hyperlink" Id="rId93" Target="https://doi.org/10.1038/s41467-020-18321-y" TargetMode="External" /><Relationship Type="http://schemas.openxmlformats.org/officeDocument/2006/relationships/hyperlink" Id="rId82" Target="https://doi.org/10.1038/s42256-019-0138-9" TargetMode="External" /><Relationship Type="http://schemas.openxmlformats.org/officeDocument/2006/relationships/hyperlink" Id="rId69" Target="https://doi.org/10.1071/WF08187" TargetMode="External" /><Relationship Type="http://schemas.openxmlformats.org/officeDocument/2006/relationships/hyperlink" Id="rId97" Target="https://doi.org/10.1111/ecog.02881" TargetMode="External" /><Relationship Type="http://schemas.openxmlformats.org/officeDocument/2006/relationships/hyperlink" Id="rId65" Target="https://doi.org/10.1111/gcb.13521" TargetMode="External" /><Relationship Type="http://schemas.openxmlformats.org/officeDocument/2006/relationships/hyperlink" Id="rId67" Target="https://doi.org/10.1111/j.2007.0906-7590.05171.x" TargetMode="External" /><Relationship Type="http://schemas.openxmlformats.org/officeDocument/2006/relationships/hyperlink" Id="rId73" Target="https://doi.org/10.1126/science.1244693" TargetMode="External" /><Relationship Type="http://schemas.openxmlformats.org/officeDocument/2006/relationships/hyperlink" Id="rId75" Target="https://doi.org/10.1139/er-2020-0019" TargetMode="External" /><Relationship Type="http://schemas.openxmlformats.org/officeDocument/2006/relationships/hyperlink" Id="rId88" Target="https://doi.org/10.1145/1102351.1102430" TargetMode="External" /><Relationship Type="http://schemas.openxmlformats.org/officeDocument/2006/relationships/hyperlink" Id="rId95" Target="https://doi.org/10.1145/3299869.3320212" TargetMode="External" /><Relationship Type="http://schemas.openxmlformats.org/officeDocument/2006/relationships/hyperlink" Id="rId107" Target="https://doi.org/10.2307/143141" TargetMode="External" /><Relationship Type="http://schemas.openxmlformats.org/officeDocument/2006/relationships/hyperlink" Id="rId80" Target="https://doi.org/10.2307/1939924" TargetMode="External" /><Relationship Type="http://schemas.openxmlformats.org/officeDocument/2006/relationships/hyperlink" Id="rId61" Target="https://doi.org/10.3390/rs10091438" TargetMode="External" /><Relationship Type="http://schemas.openxmlformats.org/officeDocument/2006/relationships/hyperlink" Id="rId63" Target="https://doi.org/10.3390/s20226442" TargetMode="External" /><Relationship Type="http://schemas.openxmlformats.org/officeDocument/2006/relationships/hyperlink" Id="rId86" Target="https://doi.org/10.5194/essd-13-4349-2021" TargetMode="External" /><Relationship Type="http://schemas.openxmlformats.org/officeDocument/2006/relationships/hyperlink" Id="rId56"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5" Target="https://doi.org/10.5558/tfc65258-4" TargetMode="External" /><Relationship Type="http://schemas.openxmlformats.org/officeDocument/2006/relationships/hyperlink" Id="rId99" Target="https://doi.org/10.5772/28441" TargetMode="External" /><Relationship Type="http://schemas.openxmlformats.org/officeDocument/2006/relationships/hyperlink" Id="rId52"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103" Target="http://queimadas.dgi.inpe.br" TargetMode="External" /><Relationship Type="http://schemas.openxmlformats.org/officeDocument/2006/relationships/hyperlink" Id="rId84" Target="https://chaco.mapbiomas.org/" TargetMode="External" /><Relationship Type="http://schemas.openxmlformats.org/officeDocument/2006/relationships/hyperlink" Id="rId71" Target="https://doi.org/10.1007/s10584-015-1521-0" TargetMode="External" /><Relationship Type="http://schemas.openxmlformats.org/officeDocument/2006/relationships/hyperlink" Id="rId109" Target="https://doi.org/10.1016/j.jaridenv.2014.11.009" TargetMode="External" /><Relationship Type="http://schemas.openxmlformats.org/officeDocument/2006/relationships/hyperlink" Id="rId90" Target="https://doi.org/10.1016/j.pecon.2021.06.005" TargetMode="External" /><Relationship Type="http://schemas.openxmlformats.org/officeDocument/2006/relationships/hyperlink" Id="rId101" Target="https://doi.org/10.1016/j.rse.2013.12.008" TargetMode="External" /><Relationship Type="http://schemas.openxmlformats.org/officeDocument/2006/relationships/hyperlink" Id="rId77" Target="https://doi.org/10.1038/ncomms8537" TargetMode="External" /><Relationship Type="http://schemas.openxmlformats.org/officeDocument/2006/relationships/hyperlink" Id="rId93" Target="https://doi.org/10.1038/s41467-020-18321-y" TargetMode="External" /><Relationship Type="http://schemas.openxmlformats.org/officeDocument/2006/relationships/hyperlink" Id="rId82" Target="https://doi.org/10.1038/s42256-019-0138-9" TargetMode="External" /><Relationship Type="http://schemas.openxmlformats.org/officeDocument/2006/relationships/hyperlink" Id="rId69" Target="https://doi.org/10.1071/WF08187" TargetMode="External" /><Relationship Type="http://schemas.openxmlformats.org/officeDocument/2006/relationships/hyperlink" Id="rId97" Target="https://doi.org/10.1111/ecog.02881" TargetMode="External" /><Relationship Type="http://schemas.openxmlformats.org/officeDocument/2006/relationships/hyperlink" Id="rId65" Target="https://doi.org/10.1111/gcb.13521" TargetMode="External" /><Relationship Type="http://schemas.openxmlformats.org/officeDocument/2006/relationships/hyperlink" Id="rId67" Target="https://doi.org/10.1111/j.2007.0906-7590.05171.x" TargetMode="External" /><Relationship Type="http://schemas.openxmlformats.org/officeDocument/2006/relationships/hyperlink" Id="rId73" Target="https://doi.org/10.1126/science.1244693" TargetMode="External" /><Relationship Type="http://schemas.openxmlformats.org/officeDocument/2006/relationships/hyperlink" Id="rId75" Target="https://doi.org/10.1139/er-2020-0019" TargetMode="External" /><Relationship Type="http://schemas.openxmlformats.org/officeDocument/2006/relationships/hyperlink" Id="rId88" Target="https://doi.org/10.1145/1102351.1102430" TargetMode="External" /><Relationship Type="http://schemas.openxmlformats.org/officeDocument/2006/relationships/hyperlink" Id="rId95" Target="https://doi.org/10.1145/3299869.3320212" TargetMode="External" /><Relationship Type="http://schemas.openxmlformats.org/officeDocument/2006/relationships/hyperlink" Id="rId107" Target="https://doi.org/10.2307/143141" TargetMode="External" /><Relationship Type="http://schemas.openxmlformats.org/officeDocument/2006/relationships/hyperlink" Id="rId80" Target="https://doi.org/10.2307/1939924" TargetMode="External" /><Relationship Type="http://schemas.openxmlformats.org/officeDocument/2006/relationships/hyperlink" Id="rId61" Target="https://doi.org/10.3390/rs10091438" TargetMode="External" /><Relationship Type="http://schemas.openxmlformats.org/officeDocument/2006/relationships/hyperlink" Id="rId63" Target="https://doi.org/10.3390/s20226442" TargetMode="External" /><Relationship Type="http://schemas.openxmlformats.org/officeDocument/2006/relationships/hyperlink" Id="rId86" Target="https://doi.org/10.5194/essd-13-4349-2021" TargetMode="External" /><Relationship Type="http://schemas.openxmlformats.org/officeDocument/2006/relationships/hyperlink" Id="rId56"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105" Target="https://doi.org/10.5558/tfc65258-4" TargetMode="External" /><Relationship Type="http://schemas.openxmlformats.org/officeDocument/2006/relationships/hyperlink" Id="rId99" Target="https://doi.org/10.5772/28441" TargetMode="External" /><Relationship Type="http://schemas.openxmlformats.org/officeDocument/2006/relationships/hyperlink" Id="rId52"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 D2 targets, M3/M2 inference, and an open benchmark against Canadian FWI and INPE</dc:title>
  <dc:creator/>
  <dc:language>en</dc:language>
  <cp:keywords/>
  <dcterms:created xsi:type="dcterms:W3CDTF">2026-10-29T02:25:54Z</dcterms:created>
  <dcterms:modified xsi:type="dcterms:W3CDTF">2026-10-29T02:25:54Z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