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0.5059/0.5611 del Canadian Forest Fire Weather Index (FWI) y 0.5266/0.4973 del INPE Risco de Fogo; la propagación alcanza 0.9039/0.7859. La precisión poblacional de ignición es 0.082 %/0.198 % (IC 95 % 0.075–0.088/0.178–0.222), y el valor de decisión se concentra en la propagación, lo que confirma un papel de cribado y priorización y no un sistema de alerta autónomo. La contribución es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novedad es computacional e infraestructural más que algorítmica: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el valor operativo.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y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Definimos una familia preespecificada de seis comparaciones confirmatorias (cuatro frente a FWI e INPE y dos M3 − M2) y reportamos valores p ajustados por Holm–Bonferroni y Benjamini–Hochberg; todas siguen siendo significativas con α = 0.05 (Holm p = 0.006, BH p = 0.001). La resolución del bootstrap es 0.001, por lo que los valores p crudos en el piso son cotas superiores. El protocolo se aplica sin modificar el test. El operador de objetivos, la lista de celdas-día de test y los scripts de evaluación están archivados con la release del código. El protocolo completo se reporta en la Nota complementaria S3 y las Tablas S7–S14; el protocolo de robustez está en la Nota S5.</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y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6"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(IC bootstrap 95 % 0.075–0.088) en el Chaco y 0.198 % (0.178–0.222) en la Región Oriental; el recall es 27.3 % (26.2–28.6) y 20.7 % (19.3–22.3). La precisión de propagación es 9.67 % (9.09–10.32) y 4.78 % (4.13–5.49). Estos valores son los relevantes para la operación y son mucho más bajos que los valores caso-control. Respecto a la prevalencia, la precisión de ignición es aproximadamente 5.4× y 4.8× superior al azar, mientras que la de propagación es aproximadamente 62× y 23× superior. Con ponderación poblacional, M2 supera ligeramente a M3 en ROC-AUC poblacional del Chaco (0.8078 vs. 0.8059) y en precisión (0.090 % vs. 0.082 %), mientras que M3 lidera en la Región Oriental (0.7627 vs. 0.7549). La precisión absoluta sigue siendo baja; el modelo es, por tanto, una capa de priorización y nowcast, no un sistema de alerta autónomo. La Figura S8 muestra el compromiso precisión–presupuesto: con 100 alertas/día, la precisión de ignición de M3 es 0.21 %/0.66 % y la de propagación 22.1 %/10.0 %; con 1 000 alertas/día baja a 0.15 %/0.28 % y 5.1 %/3.3 %.</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+0.2963 en el Chaco y +0.1922 en la Región Oriental, y al INPE por +0.2756 y +0.2561. Todas las comparaciones pareadas tienen p crudo ≤ 0.001 con B = 1 000; el p ajustado por Holm es 0.006 y el de BH 0.001, por lo que las seis siguen siendo significativas con α = 0.05.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3.1285 y 0.0364 en el Chaco y 20.4720 y 0.0596 en Oriental para FWI e INPE, respectivamente. La implementación completa, incluidos los códigos de combustible, la inicialización y la meteorología del mismo día, se documenta en la Nota S4 del suplemento.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columna p reporta valores crudos; el p ajustado por Holm es 0.006 para la familia de seis comparaciones confirmatorias (Tabla S7 del suplemento).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 (crudo)</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0.5059</w:t>
                  </w:r>
                </w:p>
              </w:tc>
              <w:tc>
                <w:tcPr/>
                <w:p>
                  <w:pPr>
                    <w:pStyle w:val="Compact"/>
                    <w:jc w:val="right"/>
                    <w:jc w:val="center"/>
                  </w:pPr>
                  <w:r>
                    <w:t xml:space="preserve">0.0897</w:t>
                  </w:r>
                </w:p>
              </w:tc>
              <w:tc>
                <w:tcPr/>
                <w:p>
                  <w:pPr>
                    <w:pStyle w:val="Compact"/>
                    <w:jc w:val="right"/>
                    <w:jc w:val="center"/>
                  </w:pPr>
                  <w:r>
                    <w:t xml:space="preserve">+0.2963</w:t>
                  </w:r>
                </w:p>
              </w:tc>
              <w:tc>
                <w:tcPr/>
                <w:p>
                  <w:pPr>
                    <w:pStyle w:val="Compact"/>
                    <w:jc w:val="right"/>
                    <w:jc w:val="center"/>
                  </w:pPr>
                  <w:r>
                    <w:t xml:space="preserve">≤0.001</w:t>
                  </w:r>
                </w:p>
              </w:tc>
              <w:tc>
                <w:tcPr/>
                <w:p>
                  <w:pPr>
                    <w:pStyle w:val="Compact"/>
                    <w:jc w:val="right"/>
                    <w:jc w:val="center"/>
                  </w:pPr>
                  <w:r>
                    <w:t xml:space="preserve">3.1285</w:t>
                  </w:r>
                </w:p>
              </w:tc>
              <w:tc>
                <w:tcPr/>
                <w:p>
                  <w:pPr>
                    <w:pStyle w:val="Compact"/>
                    <w:jc w:val="right"/>
                    <w:jc w:val="center"/>
                  </w:pPr>
                  <w:r>
                    <w:t xml:space="preserve">9.25</w:t>
                  </w:r>
                </w:p>
              </w:tc>
              <w:tc>
                <w:tcPr/>
                <w:p>
                  <w:pPr>
                    <w:pStyle w:val="Compact"/>
                    <w:jc w:val="right"/>
                    <w:jc w:val="center"/>
                  </w:pPr>
                  <w:r>
                    <w:t xml:space="preserve">95.73</w:t>
                  </w:r>
                </w:p>
              </w:tc>
              <w:tc>
                <w:tcPr/>
                <w:p>
                  <w:pPr>
                    <w:pStyle w:val="Compact"/>
                    <w:jc w:val="right"/>
                    <w:jc w:val="center"/>
                  </w:pPr>
                  <w:r>
                    <w:t xml:space="preserve">0.1130</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0.5266</w:t>
                  </w:r>
                </w:p>
              </w:tc>
              <w:tc>
                <w:tcPr/>
                <w:p>
                  <w:pPr>
                    <w:pStyle w:val="Compact"/>
                    <w:jc w:val="right"/>
                    <w:jc w:val="center"/>
                  </w:pPr>
                  <w:r>
                    <w:t xml:space="preserve">0.0964</w:t>
                  </w:r>
                </w:p>
              </w:tc>
              <w:tc>
                <w:tcPr/>
                <w:p>
                  <w:pPr>
                    <w:pStyle w:val="Compact"/>
                    <w:jc w:val="right"/>
                    <w:jc w:val="center"/>
                  </w:pPr>
                  <w:r>
                    <w:t xml:space="preserve">+0.2756</w:t>
                  </w:r>
                </w:p>
              </w:tc>
              <w:tc>
                <w:tcPr/>
                <w:p>
                  <w:pPr>
                    <w:pStyle w:val="Compact"/>
                    <w:jc w:val="right"/>
                    <w:jc w:val="center"/>
                  </w:pPr>
                  <w:r>
                    <w:t xml:space="preserve">≤0.001</w:t>
                  </w:r>
                </w:p>
              </w:tc>
              <w:tc>
                <w:tcPr/>
                <w:p>
                  <w:pPr>
                    <w:pStyle w:val="Compact"/>
                    <w:jc w:val="right"/>
                    <w:jc w:val="center"/>
                  </w:pPr>
                  <w:r>
                    <w:t xml:space="preserve">0.0364</w:t>
                  </w:r>
                </w:p>
              </w:tc>
              <w:tc>
                <w:tcPr/>
                <w:p>
                  <w:pPr>
                    <w:pStyle w:val="Compact"/>
                    <w:jc w:val="right"/>
                    <w:jc w:val="center"/>
                  </w:pPr>
                  <w:r>
                    <w:t xml:space="preserve">9.24</w:t>
                  </w:r>
                </w:p>
              </w:tc>
              <w:tc>
                <w:tcPr/>
                <w:p>
                  <w:pPr>
                    <w:pStyle w:val="Compact"/>
                    <w:jc w:val="right"/>
                    <w:jc w:val="center"/>
                  </w:pPr>
                  <w:r>
                    <w:t xml:space="preserve">92.47</w:t>
                  </w:r>
                </w:p>
              </w:tc>
              <w:tc>
                <w:tcPr/>
                <w:p>
                  <w:pPr>
                    <w:pStyle w:val="Compact"/>
                    <w:jc w:val="right"/>
                    <w:jc w:val="center"/>
                  </w:pPr>
                  <w:r>
                    <w:t xml:space="preserve">0.1126</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0.5611</w:t>
                  </w:r>
                </w:p>
              </w:tc>
              <w:tc>
                <w:tcPr/>
                <w:p>
                  <w:pPr>
                    <w:pStyle w:val="Compact"/>
                    <w:jc w:val="right"/>
                    <w:jc w:val="center"/>
                  </w:pPr>
                  <w:r>
                    <w:t xml:space="preserve">0.1122</w:t>
                  </w:r>
                </w:p>
              </w:tc>
              <w:tc>
                <w:tcPr/>
                <w:p>
                  <w:pPr>
                    <w:pStyle w:val="Compact"/>
                    <w:jc w:val="right"/>
                    <w:jc w:val="center"/>
                  </w:pPr>
                  <w:r>
                    <w:t xml:space="preserve">+0.1922</w:t>
                  </w:r>
                </w:p>
              </w:tc>
              <w:tc>
                <w:tcPr/>
                <w:p>
                  <w:pPr>
                    <w:pStyle w:val="Compact"/>
                    <w:jc w:val="right"/>
                    <w:jc w:val="center"/>
                  </w:pPr>
                  <w:r>
                    <w:t xml:space="preserve">≤0.001</w:t>
                  </w:r>
                </w:p>
              </w:tc>
              <w:tc>
                <w:tcPr/>
                <w:p>
                  <w:pPr>
                    <w:pStyle w:val="Compact"/>
                    <w:jc w:val="right"/>
                    <w:jc w:val="center"/>
                  </w:pPr>
                  <w:r>
                    <w:t xml:space="preserve">20.4720</w:t>
                  </w:r>
                </w:p>
              </w:tc>
              <w:tc>
                <w:tcPr/>
                <w:p>
                  <w:pPr>
                    <w:pStyle w:val="Compact"/>
                    <w:jc w:val="right"/>
                    <w:jc w:val="center"/>
                  </w:pPr>
                  <w:r>
                    <w:t xml:space="preserve">12.22</w:t>
                  </w:r>
                </w:p>
              </w:tc>
              <w:tc>
                <w:tcPr/>
                <w:p>
                  <w:pPr>
                    <w:pStyle w:val="Compact"/>
                    <w:jc w:val="right"/>
                    <w:jc w:val="center"/>
                  </w:pPr>
                  <w:r>
                    <w:t xml:space="preserve">21.85</w:t>
                  </w:r>
                </w:p>
              </w:tc>
              <w:tc>
                <w:tcPr/>
                <w:p>
                  <w:pPr>
                    <w:pStyle w:val="Compact"/>
                    <w:jc w:val="right"/>
                    <w:jc w:val="center"/>
                  </w:pPr>
                  <w:r>
                    <w:t xml:space="preserve">0.1340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0.4973</w:t>
                  </w:r>
                </w:p>
              </w:tc>
              <w:tc>
                <w:tcPr/>
                <w:p>
                  <w:pPr>
                    <w:pStyle w:val="Compact"/>
                    <w:jc w:val="right"/>
                    <w:jc w:val="center"/>
                  </w:pPr>
                  <w:r>
                    <w:t xml:space="preserve">0.0902</w:t>
                  </w:r>
                </w:p>
              </w:tc>
              <w:tc>
                <w:tcPr/>
                <w:p>
                  <w:pPr>
                    <w:pStyle w:val="Compact"/>
                    <w:jc w:val="right"/>
                    <w:jc w:val="center"/>
                  </w:pPr>
                  <w:r>
                    <w:t xml:space="preserve">+0.2561</w:t>
                  </w:r>
                </w:p>
              </w:tc>
              <w:tc>
                <w:tcPr/>
                <w:p>
                  <w:pPr>
                    <w:pStyle w:val="Compact"/>
                    <w:jc w:val="right"/>
                    <w:jc w:val="center"/>
                  </w:pPr>
                  <w:r>
                    <w:t xml:space="preserve">≤0.001</w:t>
                  </w:r>
                </w:p>
              </w:tc>
              <w:tc>
                <w:tcPr/>
                <w:p>
                  <w:pPr>
                    <w:pStyle w:val="Compact"/>
                    <w:jc w:val="right"/>
                    <w:jc w:val="center"/>
                  </w:pPr>
                  <w:r>
                    <w:t xml:space="preserve">0.0596</w:t>
                  </w:r>
                </w:p>
              </w:tc>
              <w:tc>
                <w:tcPr/>
                <w:p>
                  <w:pPr>
                    <w:pStyle w:val="Compact"/>
                    <w:jc w:val="right"/>
                    <w:jc w:val="center"/>
                  </w:pPr>
                  <w:r>
                    <w:t xml:space="preserve">9.24</w:t>
                  </w:r>
                </w:p>
              </w:tc>
              <w:tc>
                <w:tcPr/>
                <w:p>
                  <w:pPr>
                    <w:pStyle w:val="Compact"/>
                    <w:jc w:val="right"/>
                    <w:jc w:val="center"/>
                  </w:pPr>
                  <w:r>
                    <w:t xml:space="preserve">82.56</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0.5059/0.5611 y el INPE de 0.5266/0.4973;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Como la implementación del INPE pondera A por fracciones de cobertura (la especificación primaria), repetimos el benchmark con A fija = 3.0 (el coeficiente INPE de sabana abierta, fijado a priori). La versión fija alcanza ROC-AUC 0.4976/0.5497 frente a 0.5266/0.4973 con A local (ΔROC = −0.0290/+0.0524; p = 0.001; Tabla S22). El signo de la diferencia depende de la región, pero ambas versiones quedan muy por debajo de M3 (0.8021/0.7534), por lo que el débil desempeño del INPE no es un artefacto de la ponderación local de A. Combinar los dos índices con el conjunto completo de variables de M3 no cierra la brecha: el GBT aumentado alcanza ROC-AUC 0.8018/0.7548 frente a 0.8021/0.7534 de M3 (Δ = −0.0003/+0.0015; p = 0.612/0.001; Tabla S11 continuación). Una vez que existen combustible, accesibilidad y contexto histórico, los índices no aportan información de ranking esencial; en Oriental la pequeña ganancia es estadísticamente detectable pero operativamente despreciable.</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+0.0339/+0.0081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Como el test es temporal, el 90.65 % de sus celdas también aparece en entrenamiento. Al restringir a celdas nunca vistas en entrenamiento (n = 23 074/9 378; 2 115/882 positivos), el ROC-AUC de M3 baja de 0.8021/0.7534 a 0.7841/0.7148 y el de M2 de 0.7991/0.7406 a 0.7781/0.7089, pero el orden M3 &gt; M2 se mantiene en ROC-AUC (+0.0060/+0.0059; bootstrap pareado p = 0.004/0.174) y en PR-AUC (+0.0152/+0.0133; p = 0.012/0.018). Excluir las celdas con cualquier fuego en entrenamiento mantiene el diferencial de ROC positivo y resuelto (p = 0.008/≤0.001); en 2025 el diferencial es positivo pero solo se resuelve en Oriental (p = 0.120/≤0.001). En el dominio sin historia el signo se invierte por región: M2 va por delante en el Chaco (Δ = −0.0035, p = 0.002) y M3 en Oriental (Δ = +0.0101, p ≤ 0.001). La caída es modesta, pero el subconjunto de celdas no vistas es pequeño, espacialmente sesgado y no sustituye a un holdout espacial ciego (Tabla S27 del suplemento).</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 Un backtest rolling-origin de cuatro folds reentrenó M1/M2/M3 con entrenamiento hasta Y−2, validación en Y−1 y test en Y. La diferencia de ROC-AUC M3−M2 fue +0.0030/+0.0059 en 2022, +0.0029/+0.0120 en 2023, +0.0038/+0.0166 en 2024 y +0.0019/+0.0084 en 2025 (Chaco/Oriental); los p correspondientes fueron 0.032/0.006, 0.082/0.001, 0.004/0.001 y 0.148/0.001. El signo fue positivo en las ocho comparaciones región-fold, y M1 quedó por debajo de M2 en todos los folds (Tabla S26; Figura S5). El orden temporal no es, por tanto, un artefacto del único split 2024–2025. En 20 corridas (cinco semillas × dos capacidades × dos regiones), la diferencia M3−M2 se mantuvo positiva en todas, con diferencias medias de +0.0036/+0.0035 en el Chaco y +0.0128/+0.0128 en Oriental para las configuraciones actual/alta capacidad (Tabla S25). La validación adversarial separa las filas de entrenamiento (2018–2022) de las de test (2024–2025) con AUC 0.8832/0.9241 (Chaco/Oriental); el día del año, los armónicos estacionales, la densidad histórica a 25 km y el déficit hídrico de 60 días dominan el discriminador (Tabla S29). El cambio de distribución es real y no lo elimina el diseño temporal; por eso los resultados espaciales y de todas las celdas se reportan por separado. Tres sensibilidades adicionales acotan el resultado. Umbrales de gate más estrictos (VPD ≥ 1.0/1.2 kPa y lluvia 48 h &lt; 5/2 mm) retuvieron 92–73 % de los positivos de test y mantuvieron a M3 por encima de M2 y FWI; quitar el gate por completo (muestra 1:10 independiente) bajó M3 a 0.7924/0.7510 y M2 a 0.7833/0.7379, pero M3 siguió por encima de M2 (+0.0091/+0.0131) y de FWI (0.4988/0.5528; Tabla S31). Restringir las etiquetas a detecciones de confianza alta retuvo 12.2 %/6.5 % de los positivos y elevó el ROC-AUC a 0.8228/0.7793, pero la precisión–recall cayó (0.0719/0.0246) porque el subconjunto retenido tiene otra prevalencia; FRP ≥ 10 MW retuvo 31.9 %/19.0 % y dio 0.8136/0.7763 (Tabla S30). La variante de máscara de nubes no está disponible. El muestreo 1:5 cambió el ROC-AUC en menos de 0.001; la muestra 1:20 independiente bajó el ROC-AUC de M3 en el Chaco a 0.7926 y la precisión poblacional ~7 %, mientras Oriental quedó estable (0.7526), y M3 siguió por encima de M2 en ambas regiones (Tabla S28). Un control negativo con etiquetas permutadas alcanzó AUC 0.6297/0.5138; quitar las variables históricas no lo redujo (0.6276/0.5168), lo que indica asociación residual de celda o fuga de variables en el Chaco (Tabla S32; Figura S7). El score de M3 debe leerse, por tanto, como una señal de nowcast/priorización, no como una atribución causal. La validación espacial externa en Boquerón, tras excluir el departamento y un buffer de 25 km y recalcular los priors, reprodujo la discriminación M2/M3 (ROC-AUC 0.8104/0.8120; PR-AUC 0.2440/0.2505) pero no una ganancia M3−M2 significativa (+0.0016; p = 0.254). El FWI quedó por debajo del azar (0.4708) y el INPE alcanzó 0.5817 (Tabla S33; Figura S9). La precisión poblacional fue 0.0891 %/0.0678 % para M2/M3, con recall 16.2 %/27.1 %; M3 cambia precisión por recall. La diferencia M3−M2 fue +0.0039 (p = 0.010) con buffer de 20 km, +0.0016 (p = 0.254) con 25 km y +0.0020 (p = 0.206) con 30 km (Tabla S33b), por lo que la ventaja híbrida no es robusta al buffer. El ranking se transporta espacialmente, pero la preferencia operativa por M3 frente a M2 no.</w:t>
      </w:r>
    </w:p>
    <w:bookmarkEnd w:id="38"/>
    <w:bookmarkStart w:id="43" w:name="valor-operativo"/>
    <w:p>
      <w:pPr>
        <w:pStyle w:val="Heading2"/>
      </w:pPr>
      <w:r>
        <w:t xml:space="preserve">3.4 Valor operativo</w:t>
      </w:r>
    </w:p>
    <w:p>
      <w:pPr>
        <w:pStyle w:val="FirstParagraph"/>
      </w:pPr>
      <w:r>
        <w:t xml:space="preserve">El análisis cost-loss es sobrio para la ignición: en el Chaco, M3 y M2 son indistinguibles en todos los α (los intervalos pareados de ΔV incluyen cero) y la estimación puntual de M2 es marginalmente superior en el óptimo (0.373 frente a 0.372). En Oriental, M3 supera a M2 para α = 0.0002–0.005. Frente al FWI, M3 tiene valor de decisión positivo para α = 0.0001–0.001 en el Chaco y 0.0001–0.005 en Oriental (los intervalos pareados excluyen cero; Tabla S24 del suplemento). La capa de propagación sí muestra valor cerca de</w:t>
      </w:r>
      <w:r>
        <w:t xml:space="preserve"> </w:t>
      </w:r>
      <w:r>
        <w:rPr>
          <w:i/>
          <w:iCs/>
        </w:rPr>
        <w:t xml:space="preserve">α</w:t>
      </w:r>
      <w:r>
        <w:t xml:space="preserve"> </w:t>
      </w:r>
      <w:r>
        <w:t xml:space="preserve">= 0.002: V = 0.628 [0.608–0.646] en el Chaco y 0.399 [0.371–0.419] en Oriental, con intervalos que excluyen cero. La tabla y las curvas completas, con bandas bootstrap del 95 % agrupadas por fecha (B = 1 000), están en la Tabla S14 y la Figura S3 del suplemento. El producto operativo prioriza, por tanto, la propagación y usa la ignición como capa de cribado: la ignición aporta valor de decisión frente al FWI en α bajo, pero no frente a M2 en el Chaco.</w:t>
      </w:r>
    </w:p>
    <w:p>
      <w:pPr>
        <w:pStyle w:val="BodyText"/>
      </w:pPr>
      <w:r>
        <w:t xml:space="preserve">El análisis de curvas de decisión sobre la muestra caso-control (Figura S4; Tabla S23) reproduce el orden: con</w:t>
      </w:r>
      <w:r>
        <w:t xml:space="preserve"> </w:t>
      </w:r>
      <m:oMath>
        <m:sSub>
          <m:e>
            <m:r>
              <m:t>p</m:t>
            </m:r>
          </m:e>
          <m:sub>
            <m:r>
              <m:t>t</m:t>
            </m:r>
          </m:sub>
        </m:sSub>
        <m:r>
          <m:rPr>
            <m:sty m:val="p"/>
          </m:rPr>
          <m:t>=</m:t>
        </m:r>
        <m:r>
          <m:t>0.10</m:t>
        </m:r>
      </m:oMath>
      <w:r>
        <w:t xml:space="preserve">, M3 rinde 37.6/29.4 detecciones netas por 1 000 celdas-día muestreadas, M2 37.7/27.3, M1 13.5/19.9 y FWI 0.1/2.8 (Chaco/Oriental); el modelo de propagación sigue siendo positivo hasta</w:t>
      </w:r>
      <w:r>
        <w:t xml:space="preserve"> </w:t>
      </w:r>
      <m:oMath>
        <m:sSub>
          <m:e>
            <m:r>
              <m:t>p</m:t>
            </m:r>
          </m:e>
          <m:sub>
            <m:r>
              <m:t>t</m:t>
            </m:r>
          </m:sub>
        </m:sSub>
        <m:r>
          <m:rPr>
            <m:sty m:val="p"/>
          </m:rPr>
          <m:t>≈</m:t>
        </m:r>
        <m:r>
          <m:t>0.7</m:t>
        </m:r>
      </m:oMath>
      <w:r>
        <w:t xml:space="preserve">. Como el beneficio neto se calcula sobre la muestra caso-control, complementa el valor de decisión ponderado por población de la Tabla S14.</w:t>
      </w:r>
    </w:p>
    <w:p>
      <w:pPr>
        <w:pStyle w:val="BodyText"/>
      </w:pPr>
      <w:r>
        <w:t xml:space="preserve">En términos operativos (Tabla S23), con el corte de ignición congelado M3 emite 8 238/3 073 alertas por día en Chaco/Oriental con una precisión poblacional de 0.082/0.198 % (1 227/504 alertas por acierto; lift 5.3×/4.8×). Un presupuesto de 100 alertas/día eleva la precisión de ignición solo a 0.21/0.66 % (recall 0.86/2.24 %), lo que confirma que la ignición es una capa de cribado. La propagación requiere 10.3/20.9 alertas por acierto (lift 62×/23×) con 452/525 alertas/día; con 100/día su precisión es 22.1/10.0 % y su recall 25.7/7.5 %. El α que maximiza V(α) es 0.0001–0.0005 para ignición y 0.002 para propagación. El corte F0.5 no es el único privilegiado. Seleccionar cortes por F1, F2 o Youden cambia el punto operativo pero no la conclusión (Tabla S14 continuación; Figura S6). Para la ignición M3 en el Chaco, precisión/recall pasan de 0.328/0.303 con F0.5 a 0.273/0.494 con F1 y 0.182/0.815 con F2; en Oriental pasan de 0.301/0.186 a 0.235/0.390 y 0.173/0.699. La propagación sigue siendo la capa más fuerte: en Chaco la precisión/recall es 0.837/0.524 con F0.5 y 0.515/0.702 con F2; en Oriental 0.650/0.199 y 0.215/0.632. El orden cribado/propagación es, por tanto, robusto al criterio de umbral.</w:t>
      </w:r>
    </w:p>
    <w:p>
      <w:pPr>
        <w:pStyle w:val="BodyText"/>
      </w:pPr>
      <w:r>
        <w:t xml:space="preserve">En sus puntos operativos F0.5 congelados, FWI tiene valor de decisión positivo solo con α = 0.0001 en el Chaco (V = 0.070) y α = 0.0005 en Oriental (V = 0.077); INPE no es positivo en ningún α (V ≤ 0). Incluso en esa ventana estrecha, FWI queda muy por debajo de M3 (0.372/0.313). Dar a los índices su mejor umbral de validación en cada α no cambia el orden (Tabla S24). La ventaja de AUC de M3 se traduce, por tanto, en valor de decisión frente a los índices, pero no de forma uniforme frente a M2.</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alibración"/>
    <w:p>
      <w:pPr>
        <w:pStyle w:val="Heading2"/>
      </w:pPr>
      <w:r>
        <w:t xml:space="preserve">3.5 Calibración</w:t>
      </w:r>
    </w:p>
    <w:p>
      <w:pPr>
        <w:pStyle w:val="FirstParagraph"/>
      </w:pPr>
      <w:r>
        <w:t xml:space="preserve">El error de calibración esperado de M3 es 0.0082/0.0082 en Chaco/Oriental (Tabla S11), y 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bookmarkEnd w:id="44"/>
    <w:bookmarkStart w:id="45" w:name="comprobaciones-de-reproducibilidad"/>
    <w:p>
      <w:pPr>
        <w:pStyle w:val="Heading2"/>
      </w:pPr>
      <w:r>
        <w:t xml:space="preserve">3.6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v2.1.0; los DOI conceptuales de código y datos se reportan en las secciones de disponibilidad.</w:t>
      </w:r>
    </w:p>
    <w:bookmarkEnd w:id="45"/>
    <w:bookmarkEnd w:id="46"/>
    <w:bookmarkStart w:id="51" w:name="discusión"/>
    <w:p>
      <w:pPr>
        <w:pStyle w:val="Heading1"/>
      </w:pPr>
      <w:r>
        <w:t xml:space="preserve">4. Discusión</w:t>
      </w:r>
    </w:p>
    <w:bookmarkStart w:id="47"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El FWI es puramente meteorológico; la formulación del INPE usada aquí incorpora fracciones de cobertura, pero ninguno de los dos contiene la información antrópica y de accesibilidad a escala fina que domina la ignición en el Chaco,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 Estos índices no solo rankean peor: dondequiera que alguno siga siendo positivo, también generan menos valor de decisión que M3 (Tabla S14).</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7"/>
    <w:bookmarkStart w:id="48"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Un control negativo con etiquetas permutadas afina este punto. Reentrenar M3 con etiquetas de entrenamiento permutadas da AUC 0.6297/0.5138, y quitar las variables históricas no lo reduce (0.6276/0.5168). Un control sin fuga debería estar cerca de 0.5. El exceso en el Chaco indica, por tanto, información residual de celda o de variables: no prueba que el ranking principal sea erróneo, pero obliga a evitar una lectura causal y a auditar los priors históricos y los descriptores estáticos de celda. El control se reporta en la Tabla S32 y la Figura S7.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 Una cuarta visión, el valor de decisión, pregunta si el ranking sobrevive a una relación cost-loss; es la visión que determina el uso operativo.</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8"/>
    <w:bookmarkStart w:id="49"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9"/>
    <w:bookmarkStart w:id="50"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dos macro-regiones de Paraguay e incluye solo una prueba exploratoria entre países en Formosa; esa prueba no alcanzó el umbral pre-registrado de transporte y no es una validación multi-país completa.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restringir a celdas nunca vistas en entrenamiento reduce el ROC-AUC de M3 en 0.018/0.039 pero mantiene un diferencial positivo M3 &gt; M2 en ROC-AUC y PR-AUC, aunque el de ROC-AUC no se resuelve en Oriental (Tabla S27 del suplemento). La validación adversarial alcanza AUC 0.8832/0.9241, lo que confirma que el cambio temporal es sustancial y está impulsado principalmente por variables estacionales y de densidad histórica (Tabla S29). Un control negativo con etiquetas permutadas sigue por encima del azar en el Chaco (0.63), por lo que no se puede excluir una señal residual de celda o histórica; el score es una señal de nowcast, no una atribución causal. M3 pierde su ventaja predictiva en bloques espaciales no vistos, lo que exige a M2 como respaldo operativo mientras M1 sigue siendo una línea base insuficiente; El test de Boquerón es dentro de Paraguay y aporta métricas poblacionales derivadas; el piloto entre países en Formosa fue exploratorio, usó otra fuente climática (CDS/Hargreaves) y no alcanzó el umbral de transporte, por lo que la pequeña ganancia de M3 allí no es evidencia de superioridad entre países.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IC 95 % 0.075–0.088/0.178–0.222),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50"/>
    <w:bookmarkEnd w:id="51"/>
    <w:bookmarkStart w:id="52"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0.5059/0.5611) y al Risco de Fogo del INPE (0.5266/0.4973),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IC 95 % 0.075–0.088/0.178–0.222) y la ventaja híbrida es estrictamente temporal y no espacial. Los análisis de curvas de decisión y cost-loss ubican la ganancia operativa en la propagación (V = 0.63/0.40 con α = 0.002) y en la ignición solo como capa de cribado de α bajo, lo que sitúa al sistema como una herramienta operativa de cribado y priorización y no como un sistema de alerta autónomo. Un control negativo con etiquetas permutadas sigue por encima del azar en el Chaco (0.63), por lo que este ranking es una señal de nowcast y no una atribución causal. Un test externo leave-one-department-out en Boquerón reprodujo la discriminación M2/M3 (0.8104/0.8120) pero no una ganancia M3−M2 significativa (+0.0016, p = 0.254); el FWI quedó por debajo del azar (0.4708) y el INPE alcanzó 0.5817.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2"/>
    <w:bookmarkStart w:id="55"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v2.1.0 de GitHub (</w:t>
      </w:r>
      <w:hyperlink r:id="rId53">
        <w:r>
          <w:rPr>
            <w:rStyle w:val="Hyperlink"/>
          </w:rPr>
          <w:t xml:space="preserve">https://github.com/sanchezmartin093-code/Incendios_PY/releases/tag/v2.1.0</w:t>
        </w:r>
      </w:hyperlink>
      <w:r>
        <w:t xml:space="preserve">; asset</w:t>
      </w:r>
      <w:r>
        <w:t xml:space="preserve"> </w:t>
      </w:r>
      <w:r>
        <w:rPr>
          <w:rStyle w:val="VerbatimChar"/>
        </w:rPr>
        <w:t xml:space="preserve">Incendios_PY_data_v2.1.0.zip</w:t>
      </w:r>
      <w:r>
        <w:t xml:space="preserve">) bajo CC BY 4.0, y se documentan bajo el DOI conceptual de datos</w:t>
      </w:r>
      <w:r>
        <w:t xml:space="preserve"> </w:t>
      </w:r>
      <w:hyperlink r:id="rId54">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5"/>
    <w:bookmarkStart w:id="56"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6"/>
    <w:bookmarkStart w:id="57"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7"/>
    <w:bookmarkStart w:id="58"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8"/>
    <w:bookmarkStart w:id="59"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9"/>
    <w:bookmarkStart w:id="60"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60"/>
    <w:bookmarkStart w:id="63"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1">
        <w:r>
          <w:rPr>
            <w:rStyle w:val="Hyperlink"/>
          </w:rPr>
          <w:t xml:space="preserve">https://github.com/sanchezmartin093-code/Incendios_PY</w:t>
        </w:r>
      </w:hyperlink>
      <w:r>
        <w:br/>
      </w:r>
      <w:r>
        <w:rPr>
          <w:b/>
          <w:bCs/>
        </w:rPr>
        <w:t xml:space="preserve">DOI conceptual del código (última versión):</w:t>
      </w:r>
      <w:r>
        <w:t xml:space="preserve"> </w:t>
      </w:r>
      <w:hyperlink r:id="rId62">
        <w:r>
          <w:rPr>
            <w:rStyle w:val="Hyperlink"/>
          </w:rPr>
          <w:t xml:space="preserve">10.5281/zenodo.23675104</w:t>
        </w:r>
      </w:hyperlink>
      <w:r>
        <w:br/>
      </w:r>
      <w:r>
        <w:rPr>
          <w:b/>
          <w:bCs/>
        </w:rPr>
        <w:t xml:space="preserve">DOI conceptual de los datos (última versión):</w:t>
      </w:r>
      <w:r>
        <w:t xml:space="preserve"> </w:t>
      </w:r>
      <w:hyperlink r:id="rId54">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3"/>
    <w:bookmarkStart w:id="116" w:name="referencias"/>
    <w:p>
      <w:pPr>
        <w:pStyle w:val="Heading1"/>
      </w:pPr>
      <w:r>
        <w:t xml:space="preserve">Referencias</w:t>
      </w:r>
    </w:p>
    <w:bookmarkStart w:id="115" w:name="refs"/>
    <w:bookmarkStart w:id="65" w:name="ref-alvarado2018"/>
    <w:p>
      <w:pPr>
        <w:pStyle w:val="Bibliography"/>
      </w:pPr>
      <w:r>
        <w:t xml:space="preserve">Alvarado, S.T., Silva, C.A., Archibald, S., 2018. Drivers of fire occurrence in a savanna-forest mosaic in the southern</w:t>
      </w:r>
      <w:r>
        <w:t xml:space="preserve"> </w:t>
      </w:r>
      <w:r>
        <w:t xml:space="preserve">Amazon</w:t>
      </w:r>
      <w:r>
        <w:t xml:space="preserve">. Remote Sensing 10, 1438.</w:t>
      </w:r>
      <w:r>
        <w:t xml:space="preserve"> </w:t>
      </w:r>
      <w:hyperlink r:id="rId64">
        <w:r>
          <w:rPr>
            <w:rStyle w:val="Hyperlink"/>
          </w:rPr>
          <w:t xml:space="preserve">https://doi.org/10.3390/rs10091438</w:t>
        </w:r>
      </w:hyperlink>
    </w:p>
    <w:bookmarkEnd w:id="65"/>
    <w:bookmarkStart w:id="67" w:name="ref-barmpoutis2020"/>
    <w:p>
      <w:pPr>
        <w:pStyle w:val="Bibliography"/>
      </w:pPr>
      <w:r>
        <w:t xml:space="preserve">Barmpoutis, P., Papaioannou, P., Dimitropoulos, K., Grammalidis, N., 2020. A Review on Early Forest Fire Detection Systems Using Optical Remote Sensing. Sensors 20, 6442.</w:t>
      </w:r>
      <w:r>
        <w:t xml:space="preserve"> </w:t>
      </w:r>
      <w:hyperlink r:id="rId66">
        <w:r>
          <w:rPr>
            <w:rStyle w:val="Hyperlink"/>
          </w:rPr>
          <w:t xml:space="preserve">https://doi.org/10.3390/s20226442</w:t>
        </w:r>
      </w:hyperlink>
    </w:p>
    <w:bookmarkEnd w:id="67"/>
    <w:bookmarkStart w:id="69" w:name="ref-baumann2017"/>
    <w:p>
      <w:pPr>
        <w:pStyle w:val="Bibliography"/>
      </w:pPr>
      <w:r>
        <w:t xml:space="preserve">Baumann, M., Gasparri, I., Piquer-Rodríguez, M., Ponzoni, G., Volante, J., Kuemmerle, T., 2017. Carbon emissions from agricultural expansion and intensification in the</w:t>
      </w:r>
      <w:r>
        <w:t xml:space="preserve"> </w:t>
      </w:r>
      <w:r>
        <w:t xml:space="preserve">Chaco</w:t>
      </w:r>
      <w:r>
        <w:t xml:space="preserve">. Global Change Biology 23, 1902-1916.</w:t>
      </w:r>
      <w:r>
        <w:t xml:space="preserve"> </w:t>
      </w:r>
      <w:hyperlink r:id="rId68">
        <w:r>
          <w:rPr>
            <w:rStyle w:val="Hyperlink"/>
          </w:rPr>
          <w:t xml:space="preserve">https://doi.org/10.1111/gcb.13521</w:t>
        </w:r>
      </w:hyperlink>
    </w:p>
    <w:bookmarkEnd w:id="69"/>
    <w:bookmarkStart w:id="71" w:name="ref-dormann2007"/>
    <w:p>
      <w:pPr>
        <w:pStyle w:val="Bibliography"/>
      </w:pPr>
      <w:r>
        <w:t xml:space="preserve">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70">
        <w:r>
          <w:rPr>
            <w:rStyle w:val="Hyperlink"/>
          </w:rPr>
          <w:t xml:space="preserve">https://doi.org/10.1111/j.2007.0906-7590.05171.x</w:t>
        </w:r>
      </w:hyperlink>
    </w:p>
    <w:bookmarkEnd w:id="71"/>
    <w:bookmarkStart w:id="73" w:name="ref-flannigan2009"/>
    <w:p>
      <w:pPr>
        <w:pStyle w:val="Bibliography"/>
      </w:pPr>
      <w:r>
        <w:t xml:space="preserve">Flannigan, M.D., Krawchuk, M.A., Groot, W.J. de, Wotton, B.M., Gowman, L.M., 2009. Implications of changing climate for global wildland fire. International Journal of Wildland Fire 18, 483-507.</w:t>
      </w:r>
      <w:r>
        <w:t xml:space="preserve"> </w:t>
      </w:r>
      <w:hyperlink r:id="rId72">
        <w:r>
          <w:rPr>
            <w:rStyle w:val="Hyperlink"/>
          </w:rPr>
          <w:t xml:space="preserve">https://doi.org/10.1071/WF08187</w:t>
        </w:r>
      </w:hyperlink>
    </w:p>
    <w:bookmarkEnd w:id="73"/>
    <w:bookmarkStart w:id="75" w:name="ref-flannigan2016"/>
    <w:p>
      <w:pPr>
        <w:pStyle w:val="Bibliography"/>
      </w:pPr>
      <w:r>
        <w:t xml:space="preserve">Flannigan, M.D., Wotton, B.M., Marshall, G.A., Groot, W.J. de, Johnston, J., Jurko, N., Cantin, A.S., 2016. Fuel moisture sensitivity to temperature and precipitation: climate change implications. Climatic Change 134, 59-71.</w:t>
      </w:r>
      <w:r>
        <w:t xml:space="preserve"> </w:t>
      </w:r>
      <w:hyperlink r:id="rId74">
        <w:r>
          <w:rPr>
            <w:rStyle w:val="Hyperlink"/>
          </w:rPr>
          <w:t xml:space="preserve">https://doi.org/10.1007/s10584-015-1521-0</w:t>
        </w:r>
      </w:hyperlink>
    </w:p>
    <w:bookmarkEnd w:id="75"/>
    <w:bookmarkStart w:id="77" w:name="ref-hansen2013"/>
    <w:p>
      <w:pPr>
        <w:pStyle w:val="Bibliography"/>
      </w:pPr>
      <w:r>
        <w:t xml:space="preserve">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6">
        <w:r>
          <w:rPr>
            <w:rStyle w:val="Hyperlink"/>
          </w:rPr>
          <w:t xml:space="preserve">https://doi.org/10.1126/science.1244693</w:t>
        </w:r>
      </w:hyperlink>
    </w:p>
    <w:bookmarkEnd w:id="77"/>
    <w:bookmarkStart w:id="79" w:name="ref-jain2020review"/>
    <w:p>
      <w:pPr>
        <w:pStyle w:val="Bibliography"/>
      </w:pPr>
      <w:r>
        <w:t xml:space="preserve">Jain, P., Coogan, S.C.P., Subramanian, S.G., Crowley, M., Taylor, S., Flannigan, M.D., 2020. A review of machine learning applications in wildland fire science and management. Environmental Reviews 28, 478-505.</w:t>
      </w:r>
      <w:r>
        <w:t xml:space="preserve"> </w:t>
      </w:r>
      <w:hyperlink r:id="rId78">
        <w:r>
          <w:rPr>
            <w:rStyle w:val="Hyperlink"/>
          </w:rPr>
          <w:t xml:space="preserve">https://doi.org/10.1139/er-2020-0019</w:t>
        </w:r>
      </w:hyperlink>
    </w:p>
    <w:bookmarkEnd w:id="79"/>
    <w:bookmarkStart w:id="81" w:name="ref-jolly2015"/>
    <w:p>
      <w:pPr>
        <w:pStyle w:val="Bibliography"/>
      </w:pPr>
      <w:r>
        <w:t xml:space="preserve">Jolly, W.M., Cochrane, M.A., Freeborn, P.H., Holden, Z.A., Brown, T.J., Williamson, G.J., Bowman, D.M.J.S., 2015. Climate-induced variations in global wildfire danger from 1979 to 2013. Nature Communications 6, 7537.</w:t>
      </w:r>
      <w:r>
        <w:t xml:space="preserve"> </w:t>
      </w:r>
      <w:hyperlink r:id="rId80">
        <w:r>
          <w:rPr>
            <w:rStyle w:val="Hyperlink"/>
          </w:rPr>
          <w:t xml:space="preserve">https://doi.org/10.1038/ncomms8537</w:t>
        </w:r>
      </w:hyperlink>
    </w:p>
    <w:bookmarkEnd w:id="81"/>
    <w:bookmarkStart w:id="82"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82"/>
    <w:bookmarkStart w:id="84" w:name="ref-legendre1993"/>
    <w:p>
      <w:pPr>
        <w:pStyle w:val="Bibliography"/>
      </w:pPr>
      <w:r>
        <w:t xml:space="preserve">Legendre, P., 1993. Spatial autocorrelation: trouble or new paradigm? Ecology 74, 1659-1673.</w:t>
      </w:r>
      <w:r>
        <w:t xml:space="preserve"> </w:t>
      </w:r>
      <w:hyperlink r:id="rId83">
        <w:r>
          <w:rPr>
            <w:rStyle w:val="Hyperlink"/>
          </w:rPr>
          <w:t xml:space="preserve">https://doi.org/10.2307/1939924</w:t>
        </w:r>
      </w:hyperlink>
    </w:p>
    <w:bookmarkEnd w:id="84"/>
    <w:bookmarkStart w:id="86"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r>
        <w:t xml:space="preserve"> </w:t>
      </w:r>
      <w:hyperlink r:id="rId85">
        <w:r>
          <w:rPr>
            <w:rStyle w:val="Hyperlink"/>
          </w:rPr>
          <w:t xml:space="preserve">https://doi.org/10.1038/s42256-019-0138-9</w:t>
        </w:r>
      </w:hyperlink>
    </w:p>
    <w:bookmarkEnd w:id="86"/>
    <w:bookmarkStart w:id="88"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87">
        <w:r>
          <w:rPr>
            <w:rStyle w:val="Hyperlink"/>
          </w:rPr>
          <w:t xml:space="preserve">https://chaco.mapbiomas.org/</w:t>
        </w:r>
      </w:hyperlink>
      <w:r>
        <w:t xml:space="preserve"> </w:t>
      </w:r>
      <w:r>
        <w:t xml:space="preserve">(accedido 10.28.2026).</w:t>
      </w:r>
    </w:p>
    <w:bookmarkEnd w:id="88"/>
    <w:bookmarkStart w:id="90"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89">
        <w:r>
          <w:rPr>
            <w:rStyle w:val="Hyperlink"/>
          </w:rPr>
          <w:t xml:space="preserve">https://doi.org/10.5194/essd-13-4349-2021</w:t>
        </w:r>
      </w:hyperlink>
    </w:p>
    <w:bookmarkEnd w:id="90"/>
    <w:bookmarkStart w:id="92" w:name="ref-niculescu2005"/>
    <w:p>
      <w:pPr>
        <w:pStyle w:val="Bibliography"/>
      </w:pPr>
      <w:r>
        <w:t xml:space="preserve">Niculescu-Mizil, A., Caruana, R., 2005. Predicting good probabilities with supervised learning, en: Proceedings of the 22nd International Conference on Machine Learning (ICML). pp. 625-632.</w:t>
      </w:r>
      <w:r>
        <w:t xml:space="preserve"> </w:t>
      </w:r>
      <w:hyperlink r:id="rId91">
        <w:r>
          <w:rPr>
            <w:rStyle w:val="Hyperlink"/>
          </w:rPr>
          <w:t xml:space="preserve">https://doi.org/10.1145/1102351.1102430</w:t>
        </w:r>
      </w:hyperlink>
    </w:p>
    <w:bookmarkEnd w:id="92"/>
    <w:bookmarkStart w:id="94" w:name="ref-pivello2021"/>
    <w:p>
      <w:pPr>
        <w:pStyle w:val="Bibliography"/>
      </w:pPr>
      <w:r>
        <w:t xml:space="preserve">Pivello, V.R., Vieira, I., Christianini, A.V., Ribeiro, D.B., Silva Menezes, L. da, Berlinck, C.N., Melo, F.P.L., Marengo, J.A., Tornquist, C.G., Tomas, W.M., Overbeck, G.E., 2021. Understanding</w:t>
      </w:r>
      <w:r>
        <w:t xml:space="preserve"> </w:t>
      </w:r>
      <w:r>
        <w:t xml:space="preserve">Brazil</w:t>
      </w:r>
      <w:r>
        <w:t xml:space="preserve">’s catastrophic fires: Causes, consequences and policy needed. Perspectives in Ecology and Conservation 19, 233-255.</w:t>
      </w:r>
      <w:r>
        <w:t xml:space="preserve"> </w:t>
      </w:r>
      <w:hyperlink r:id="rId93">
        <w:r>
          <w:rPr>
            <w:rStyle w:val="Hyperlink"/>
          </w:rPr>
          <w:t xml:space="preserve">https://doi.org/10.1016/j.pecon.2021.06.005</w:t>
        </w:r>
      </w:hyperlink>
    </w:p>
    <w:bookmarkEnd w:id="94"/>
    <w:bookmarkStart w:id="95" w:name="ref-platt1999"/>
    <w:p>
      <w:pPr>
        <w:pStyle w:val="Bibliography"/>
      </w:pPr>
      <w:r>
        <w:t xml:space="preserve">Platt, J., 1999. Probabilistic outputs for support vector machines and comparisons to regularized likelihood methods, en: Advances in Large Margin Classifiers. MIT Press, pp. 61-74.</w:t>
      </w:r>
    </w:p>
    <w:bookmarkEnd w:id="95"/>
    <w:bookmarkStart w:id="97" w:name="ref-ploton2020"/>
    <w:p>
      <w:pPr>
        <w:pStyle w:val="Bibliography"/>
      </w:pPr>
      <w:r>
        <w:t xml:space="preserve">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6">
        <w:r>
          <w:rPr>
            <w:rStyle w:val="Hyperlink"/>
          </w:rPr>
          <w:t xml:space="preserve">https://doi.org/10.1038/s41467-020-18321-y</w:t>
        </w:r>
      </w:hyperlink>
    </w:p>
    <w:bookmarkEnd w:id="97"/>
    <w:bookmarkStart w:id="99" w:name="ref-raasveldt2019duckdb"/>
    <w:p>
      <w:pPr>
        <w:pStyle w:val="Bibliography"/>
      </w:pPr>
      <w:r>
        <w:t xml:space="preserve">Raasveldt, M., Mühleisen, H., 2019. DuckDB: an Embeddable Analytical Database, en: Proceedings of the 2019 International Conference on Management of Data (SIGMOD). pp. 1981-1984.</w:t>
      </w:r>
      <w:r>
        <w:t xml:space="preserve"> </w:t>
      </w:r>
      <w:hyperlink r:id="rId98">
        <w:r>
          <w:rPr>
            <w:rStyle w:val="Hyperlink"/>
          </w:rPr>
          <w:t xml:space="preserve">https://doi.org/10.1145/3299869.3320212</w:t>
        </w:r>
      </w:hyperlink>
    </w:p>
    <w:bookmarkEnd w:id="99"/>
    <w:bookmarkStart w:id="101"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100">
        <w:r>
          <w:rPr>
            <w:rStyle w:val="Hyperlink"/>
          </w:rPr>
          <w:t xml:space="preserve">https://doi.org/10.1111/ecog.02881</w:t>
        </w:r>
      </w:hyperlink>
    </w:p>
    <w:bookmarkEnd w:id="101"/>
    <w:bookmarkStart w:id="103" w:name="ref-sanmiguel2012"/>
    <w:p>
      <w:pPr>
        <w:pStyle w:val="Bibliography"/>
      </w:pPr>
      <w:r>
        <w:t xml:space="preserve">San-Miguel-Ayanz, J., Schulte, E., Schmuck, G., Camia, A., Strobl, P., Liberta, G., Giovando, C., Boca, R., Sedano, F., Kempeneers, P., McInerney, D., Houston Durrant, T., 2012. Comprehensive Monitoring of Wildfires in</w:t>
      </w:r>
      <w:r>
        <w:t xml:space="preserve"> </w:t>
      </w:r>
      <w:r>
        <w:t xml:space="preserve">Europe</w:t>
      </w:r>
      <w:r>
        <w:t xml:space="preserve">: The</w:t>
      </w:r>
      <w:r>
        <w:t xml:space="preserve"> </w:t>
      </w:r>
      <w:r>
        <w:t xml:space="preserve">European Forest Fire Information System</w:t>
      </w:r>
      <w:r>
        <w:t xml:space="preserve"> </w:t>
      </w:r>
      <w:r>
        <w:t xml:space="preserve">(</w:t>
      </w:r>
      <w:r>
        <w:t xml:space="preserve">EFFIS</w:t>
      </w:r>
      <w:r>
        <w:t xml:space="preserve">). Approaches to Managing Disaster - Assessing Hazards, Emergencies and Disaster Impacts 87-108.</w:t>
      </w:r>
      <w:r>
        <w:t xml:space="preserve"> </w:t>
      </w:r>
      <w:hyperlink r:id="rId102">
        <w:r>
          <w:rPr>
            <w:rStyle w:val="Hyperlink"/>
          </w:rPr>
          <w:t xml:space="preserve">https://doi.org/10.5772/28441</w:t>
        </w:r>
      </w:hyperlink>
    </w:p>
    <w:bookmarkEnd w:id="103"/>
    <w:bookmarkStart w:id="105"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104">
        <w:r>
          <w:rPr>
            <w:rStyle w:val="Hyperlink"/>
          </w:rPr>
          <w:t xml:space="preserve">https://doi.org/10.1016/j.rse.2013.12.008</w:t>
        </w:r>
      </w:hyperlink>
    </w:p>
    <w:bookmarkEnd w:id="105"/>
    <w:bookmarkStart w:id="107"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106">
        <w:r>
          <w:rPr>
            <w:rStyle w:val="Hyperlink"/>
          </w:rPr>
          <w:t xml:space="preserve">http://queimadas.dgi.inpe.br</w:t>
        </w:r>
      </w:hyperlink>
      <w:r>
        <w:t xml:space="preserve"> </w:t>
      </w:r>
      <w:r>
        <w:t xml:space="preserve">(accedido 10.28.2026).</w:t>
      </w:r>
    </w:p>
    <w:bookmarkEnd w:id="107"/>
    <w:bookmarkStart w:id="109" w:name="ref-stocks1989"/>
    <w:p>
      <w:pPr>
        <w:pStyle w:val="Bibliography"/>
      </w:pPr>
      <w:r>
        <w:t xml:space="preserve">Stocks, B.J., Lawson, B.D., Alexander, M.E., Van Wagner, C.E., McAlpine, R.S., Lynham, T.J., Dubé, D.E., 1989. The</w:t>
      </w:r>
      <w:r>
        <w:t xml:space="preserve"> </w:t>
      </w:r>
      <w:r>
        <w:t xml:space="preserve">Canadian Forest Fire Danger Rating System</w:t>
      </w:r>
      <w:r>
        <w:t xml:space="preserve">: An overview. The Forestry Chronicle 65, 258-265.</w:t>
      </w:r>
      <w:r>
        <w:t xml:space="preserve"> </w:t>
      </w:r>
      <w:hyperlink r:id="rId108">
        <w:r>
          <w:rPr>
            <w:rStyle w:val="Hyperlink"/>
          </w:rPr>
          <w:t xml:space="preserve">https://doi.org/10.5558/tfc65258-4</w:t>
        </w:r>
      </w:hyperlink>
    </w:p>
    <w:bookmarkEnd w:id="109"/>
    <w:bookmarkStart w:id="111" w:name="ref-tobler1970"/>
    <w:p>
      <w:pPr>
        <w:pStyle w:val="Bibliography"/>
      </w:pPr>
      <w:r>
        <w:t xml:space="preserve">Tobler, W.R., 1970. A computer movie simulating urban growth in the</w:t>
      </w:r>
      <w:r>
        <w:t xml:space="preserve"> </w:t>
      </w:r>
      <w:r>
        <w:t xml:space="preserve">Detroit</w:t>
      </w:r>
      <w:r>
        <w:t xml:space="preserve"> </w:t>
      </w:r>
      <w:r>
        <w:t xml:space="preserve">region. Economic Geography 46, 234-240.</w:t>
      </w:r>
      <w:r>
        <w:t xml:space="preserve"> </w:t>
      </w:r>
      <w:hyperlink r:id="rId110">
        <w:r>
          <w:rPr>
            <w:rStyle w:val="Hyperlink"/>
          </w:rPr>
          <w:t xml:space="preserve">https://doi.org/10.2307/143141</w:t>
        </w:r>
      </w:hyperlink>
    </w:p>
    <w:bookmarkEnd w:id="111"/>
    <w:bookmarkStart w:id="113" w:name="ref-vallejos2015"/>
    <w:p>
      <w:pPr>
        <w:pStyle w:val="Bibliography"/>
      </w:pPr>
      <w:r>
        <w:t xml:space="preserve">Vallejos, M., Volante, J.N., Mosciaro, M.J., Vale, L.M., Bustamante, M.L., Paruelo, J.M., 2015. Transformation dynamics of the natural cover in the</w:t>
      </w:r>
      <w:r>
        <w:t xml:space="preserve"> </w:t>
      </w:r>
      <w:r>
        <w:t xml:space="preserve">Dry Chaco</w:t>
      </w:r>
      <w:r>
        <w:t xml:space="preserve"> </w:t>
      </w:r>
      <w:r>
        <w:t xml:space="preserve">ecoregion: A plot level geo-database from 1976 to 2012. Journal of Arid Environments 123, 3-11.</w:t>
      </w:r>
      <w:r>
        <w:t xml:space="preserve"> </w:t>
      </w:r>
      <w:hyperlink r:id="rId112">
        <w:r>
          <w:rPr>
            <w:rStyle w:val="Hyperlink"/>
          </w:rPr>
          <w:t xml:space="preserve">https://doi.org/10.1016/j.jaridenv.2014.11.009</w:t>
        </w:r>
      </w:hyperlink>
    </w:p>
    <w:bookmarkEnd w:id="113"/>
    <w:bookmarkStart w:id="114"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1.0" TargetMode="External" /></Relationships>
</file>

<file path=word/_rels/footnotes.xml.rels><?xml version="1.0" encoding="UTF-8"?><Relationships xmlns="http://schemas.openxmlformats.org/package/2006/relationships"><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2026-10-29T02:26:02Z</dcterms:created>
  <dcterms:modified xsi:type="dcterms:W3CDTF">2026-10-29T02:26:02Z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