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2026-10-29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29,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“A Reproducible Computational Framework for Decoupled Wildfire Ignition and Propagation Benchmarking in the Gran Chaco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my original research manuscript entitled</w:t>
      </w:r>
      <w:r>
        <w:t xml:space="preserve"> </w:t>
      </w:r>
      <w:r>
        <w:rPr>
          <w:b/>
          <w:bCs/>
        </w:rPr>
        <w:t xml:space="preserve">“A Reproducible Computational Framework for Decoupled Wildfire Ignition and Propagation Benchmarking in the Gran Chaco (2018–2025): D2 Targets, M3/M2 Inference and an Open Benchmark Against Canadian FWI and INPE”</w:t>
      </w:r>
      <w:r>
        <w:t xml:space="preserve">, which I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p>
      <w:pPr>
        <w:pStyle w:val="BodyText"/>
      </w:pPr>
      <w:r>
        <w:t xml:space="preserve">The manuscript presents an auditable computational protocol and reproducible software infrastructure, rather than a regional machine-learning case study. Its central contribution is the formal D2 target operator, the gated M3/M2 inference policy and the open evaluation harness; the learner is deliberately replaceable.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(VPD) and non-linear fuel-curing dynamics govern fire risk.</w:t>
      </w:r>
    </w:p>
    <w:p>
      <w:pPr>
        <w:pStyle w:val="BodyText"/>
      </w:pPr>
      <w:r>
        <w:t xml:space="preserve">To address these challenges, I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 computational framework for reproducible decoupled wildfire modeling across</w:t>
      </w:r>
      <w:r>
        <w:t xml:space="preserve"> </w:t>
      </w:r>
      <w:r>
        <w:rPr>
          <w:b/>
          <w:bCs/>
        </w:rPr>
        <w:t xml:space="preserve">400 006 1-km² grid cells</w:t>
      </w:r>
      <w:r>
        <w:t xml:space="preserve"> </w:t>
      </w:r>
      <w:r>
        <w:t xml:space="preserve">over an 8-year multi-annual observation baseline (2018–2025). This horizon is anchored to the multi-sensor VIIRS 375 m constellation (Suomi-NPP, NOAA-20 and NOAA-21), which reduces single-sensor sampling bias across the modeling phases. The framework analytically decouples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(M3),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 t−1.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My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. The computational contribution is the D2 target operator, the gated M3/M2 inference policy and a reusable evaluation harness, released as documented software. The learner is replaceable; the novelty lies in the computational contract.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Columnar Computational Pipeline:</w:t>
      </w:r>
      <w:r>
        <w:t xml:space="preserve"> </w:t>
      </w:r>
      <w:r>
        <w:t xml:space="preserve">By integrating Apache Arrow, DuckDB, and Polars, the inference engine processes the entire national territory (400 006 km²) in</w:t>
      </w:r>
      <w:r>
        <w:t xml:space="preserve"> </w:t>
      </w:r>
      <w:r>
        <w:rPr>
          <w:b/>
          <w:bCs/>
        </w:rPr>
        <w:t xml:space="preserve">~3.47 seconds</w:t>
      </w:r>
      <w:r>
        <w:t xml:space="preserve"> </w:t>
      </w:r>
      <w:r>
        <w:t xml:space="preserve">on a standard ARM64 machine (~2.21 GB peak RAM), demonstrating that national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The framework enforces structural monotonic constraints within LightGBM (+1 for atmospheric dryness and wind pressure, −1 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The study uses the</w:t>
      </w:r>
      <w:r>
        <w:t xml:space="preserve"> </w:t>
      </w:r>
      <w:r>
        <w:rPr>
          <w:b/>
          <w:bCs/>
        </w:rPr>
        <w:t xml:space="preserve">D2 target definition</w:t>
      </w:r>
      <w:r>
        <w:t xml:space="preserve"> </w:t>
      </w:r>
      <w:r>
        <w:t xml:space="preserve">(no t-1 fire within 25 km; no same-cell fire in 10 days) and multi-year out-of-time test partitions (2024–2025). The framework also implements a</w:t>
      </w:r>
      <w:r>
        <w:t xml:space="preserve"> </w:t>
      </w:r>
      <w:r>
        <w:rPr>
          <w:b/>
          <w:bCs/>
        </w:rPr>
        <w:t xml:space="preserve">50-km spatial block holdout with a 20-km buffer</w:t>
      </w:r>
      <w:r>
        <w:t xml:space="preserve">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76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 ≈1 minute,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release and validation outputs (</w:t>
      </w:r>
      <w:r>
        <w:rPr>
          <w:rStyle w:val="VerbatimChar"/>
        </w:rPr>
        <w:t xml:space="preserve">scripts/34_...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 1 813 966 D2 cell-days during 2024–2025, the hybrid ignition layer M3 achieves a ROC-AUC of</w:t>
      </w:r>
      <w:r>
        <w:t xml:space="preserve"> </w:t>
      </w:r>
      <w:r>
        <w:rPr>
          <w:b/>
          <w:bCs/>
        </w:rPr>
        <w:t xml:space="preserve">0.8021</w:t>
      </w:r>
      <w:r>
        <w:t xml:space="preserve"> </w:t>
      </w:r>
      <w:r>
        <w:t xml:space="preserve">in the Gran Chaco and</w:t>
      </w:r>
      <w:r>
        <w:t xml:space="preserve"> </w:t>
      </w:r>
      <w:r>
        <w:rPr>
          <w:b/>
          <w:bCs/>
        </w:rPr>
        <w:t xml:space="preserve">0.7534</w:t>
      </w:r>
      <w:r>
        <w:t xml:space="preserve"> </w:t>
      </w:r>
      <w:r>
        <w:t xml:space="preserve">in the Oriental Region, versus</w:t>
      </w:r>
      <w:r>
        <w:t xml:space="preserve"> </w:t>
      </w:r>
      <w:r>
        <w:rPr>
          <w:b/>
          <w:bCs/>
        </w:rPr>
        <w:t xml:space="preserve">0.5059 / 0.5611</w:t>
      </w:r>
      <w:r>
        <w:t xml:space="preserve"> </w:t>
      </w:r>
      <w:r>
        <w:t xml:space="preserve">for the full Canadian FWI and</w:t>
      </w:r>
      <w:r>
        <w:t xml:space="preserve"> </w:t>
      </w:r>
      <w:r>
        <w:rPr>
          <w:b/>
          <w:bCs/>
        </w:rPr>
        <w:t xml:space="preserve">0.5266 / 0.4973</w:t>
      </w:r>
      <w:r>
        <w:t xml:space="preserve"> </w:t>
      </w:r>
      <w:r>
        <w:t xml:space="preserve">for the INPE. Case-control F0.5 precision is 32.82 % / 30.13 %; after correction to population prevalence (~0.015 % / 0.041 %), operational precision is 0.082 % / 0.198 %. Tactical propagation achieves ROC-AUC</w:t>
      </w:r>
      <w:r>
        <w:t xml:space="preserve"> </w:t>
      </w:r>
      <w:r>
        <w:rPr>
          <w:b/>
          <w:bCs/>
        </w:rPr>
        <w:t xml:space="preserve">0.9039</w:t>
      </w:r>
      <w:r>
        <w:t xml:space="preserve"> </w:t>
      </w:r>
      <w:r>
        <w:t xml:space="preserve">(Chaco) and population precision 9.67 %. The 2023 validation selected M3 for temporal nowcasting and M2 as the operational fallback; M1 was rejected as a fallback.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fuentes/MANIFIESTO_DATOS_v3.csv</w:t>
      </w:r>
      <w:r>
        <w:t xml:space="preserve">, archived in the v2.0.1 data release asset (</w:t>
      </w:r>
      <w:r>
        <w:rPr>
          <w:rStyle w:val="VerbatimChar"/>
        </w:rPr>
        <w:t xml:space="preserve">Incendios_PY_data_v2.0.1.zip</w:t>
      </w:r>
      <w:r>
        <w:t xml:space="preserve">, 1.18 GB), and indexed by the code and data concept DOIs (10.5281/zenodo.23675104; 10.5281/zenodo.23675278). The v2.1.0 code release is on GitHub.</w:t>
      </w:r>
    </w:p>
    <w:p>
      <w:pPr>
        <w:pStyle w:val="Compact"/>
        <w:numPr>
          <w:ilvl w:val="0"/>
          <w:numId w:val="1002"/>
        </w:numPr>
      </w:pPr>
      <w:r>
        <w:t xml:space="preserve">I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Phone: +595 971 907 727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2026-10-29T15:00:36Z</dcterms:created>
  <dcterms:modified xsi:type="dcterms:W3CDTF">2026-10-29T15:00:36Z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