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lo que confirma que el sistema es una herramienta de nowcast y priorización y no un sistema de alerta autónomo. La contribución reside en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Los guiones (—) indican modelos de referencia o comparaciones no evaluadas por construcción.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y la ventaja híbrida es estrictamente temporal y no espacial, lo que sitúa al sistema como una herramienta operativa de cribado y priorización y no como un sistema de alerta autónomo.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7" w:name="referencias"/>
    <w:p>
      <w:pPr>
        <w:pStyle w:val="Heading1"/>
      </w:pPr>
      <w:r>
        <w:t xml:space="preserve">Referencias</w:t>
      </w:r>
    </w:p>
    <w:bookmarkStart w:id="116"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5">
        <w:r>
          <w:rPr>
            <w:rStyle w:val="Hyperlink"/>
          </w:rPr>
          <w:t xml:space="preserve">https://doi.org/10.1007/s10584-015-1521-0</w:t>
        </w:r>
      </w:hyperlink>
    </w:p>
    <w:bookmarkEnd w:id="76"/>
    <w:bookmarkStart w:id="78"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7">
        <w:r>
          <w:rPr>
            <w:rStyle w:val="Hyperlink"/>
          </w:rPr>
          <w:t xml:space="preserve">https://doi.org/10.1126/science.1244693</w:t>
        </w:r>
      </w:hyperlink>
    </w:p>
    <w:bookmarkEnd w:id="78"/>
    <w:bookmarkStart w:id="8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9">
        <w:r>
          <w:rPr>
            <w:rStyle w:val="Hyperlink"/>
          </w:rPr>
          <w:t xml:space="preserve">https://doi.org/10.1139/er-2020-0019</w:t>
        </w:r>
      </w:hyperlink>
    </w:p>
    <w:bookmarkEnd w:id="80"/>
    <w:bookmarkStart w:id="8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1">
        <w:r>
          <w:rPr>
            <w:rStyle w:val="Hyperlink"/>
          </w:rPr>
          <w:t xml:space="preserve">https://doi.org/10.1038/ncomms8537</w:t>
        </w:r>
      </w:hyperlink>
    </w:p>
    <w:bookmarkEnd w:id="82"/>
    <w:bookmarkStart w:id="8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3"/>
    <w:bookmarkStart w:id="8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4">
        <w:r>
          <w:rPr>
            <w:rStyle w:val="Hyperlink"/>
          </w:rPr>
          <w:t xml:space="preserve">https://doi.org/10.2307/1939924</w:t>
        </w:r>
      </w:hyperlink>
    </w:p>
    <w:bookmarkEnd w:id="85"/>
    <w:bookmarkStart w:id="8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6">
        <w:r>
          <w:rPr>
            <w:rStyle w:val="Hyperlink"/>
          </w:rPr>
          <w:t xml:space="preserve">https://doi.org/10.1038/s42256-019-0138-9</w:t>
        </w:r>
      </w:hyperlink>
    </w:p>
    <w:bookmarkEnd w:id="87"/>
    <w:bookmarkStart w:id="8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8">
        <w:r>
          <w:rPr>
            <w:rStyle w:val="Hyperlink"/>
          </w:rPr>
          <w:t xml:space="preserve">https://chaco.mapbiomas.org/</w:t>
        </w:r>
      </w:hyperlink>
      <w:r>
        <w:t xml:space="preserve">.</w:t>
      </w:r>
    </w:p>
    <w:bookmarkEnd w:id="89"/>
    <w:bookmarkStart w:id="9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0">
        <w:r>
          <w:rPr>
            <w:rStyle w:val="Hyperlink"/>
          </w:rPr>
          <w:t xml:space="preserve">https://doi.org/10.5194/essd-13-4349-2021</w:t>
        </w:r>
      </w:hyperlink>
    </w:p>
    <w:bookmarkEnd w:id="91"/>
    <w:bookmarkStart w:id="9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2">
        <w:r>
          <w:rPr>
            <w:rStyle w:val="Hyperlink"/>
          </w:rPr>
          <w:t xml:space="preserve">https://doi.org/10.1145/1102351.1102430</w:t>
        </w:r>
      </w:hyperlink>
    </w:p>
    <w:bookmarkEnd w:id="93"/>
    <w:bookmarkStart w:id="95"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4">
        <w:r>
          <w:rPr>
            <w:rStyle w:val="Hyperlink"/>
          </w:rPr>
          <w:t xml:space="preserve">https://doi.org/10.1016/j.pecon.2021.06.005</w:t>
        </w:r>
      </w:hyperlink>
    </w:p>
    <w:bookmarkEnd w:id="95"/>
    <w:bookmarkStart w:id="96"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6"/>
    <w:bookmarkStart w:id="98"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7">
        <w:r>
          <w:rPr>
            <w:rStyle w:val="Hyperlink"/>
          </w:rPr>
          <w:t xml:space="preserve">https://doi.org/10.1038/s41467-020-18321-y</w:t>
        </w:r>
      </w:hyperlink>
    </w:p>
    <w:bookmarkEnd w:id="98"/>
    <w:bookmarkStart w:id="10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9">
        <w:r>
          <w:rPr>
            <w:rStyle w:val="Hyperlink"/>
          </w:rPr>
          <w:t xml:space="preserve">https://doi.org/10.1145/3299869.3320212</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3">
        <w:r>
          <w:rPr>
            <w:rStyle w:val="Hyperlink"/>
          </w:rPr>
          <w:t xml:space="preserve">https://doi.org/10.5772/28441</w:t>
        </w:r>
      </w:hyperlink>
    </w:p>
    <w:bookmarkEnd w:id="104"/>
    <w:bookmarkStart w:id="10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5">
        <w:r>
          <w:rPr>
            <w:rStyle w:val="Hyperlink"/>
          </w:rPr>
          <w:t xml:space="preserve">https://doi.org/10.1016/j.rse.2013.12.008</w:t>
        </w:r>
      </w:hyperlink>
    </w:p>
    <w:bookmarkEnd w:id="106"/>
    <w:bookmarkStart w:id="10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7">
        <w:r>
          <w:rPr>
            <w:rStyle w:val="Hyperlink"/>
          </w:rPr>
          <w:t xml:space="preserve">http://queimadas.dgi.inpe.br</w:t>
        </w:r>
      </w:hyperlink>
    </w:p>
    <w:bookmarkEnd w:id="108"/>
    <w:bookmarkStart w:id="110"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9">
        <w:r>
          <w:rPr>
            <w:rStyle w:val="Hyperlink"/>
          </w:rPr>
          <w:t xml:space="preserve">https://doi.org/10.5558/tfc65258-4</w:t>
        </w:r>
      </w:hyperlink>
    </w:p>
    <w:bookmarkEnd w:id="110"/>
    <w:bookmarkStart w:id="112"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1">
        <w:r>
          <w:rPr>
            <w:rStyle w:val="Hyperlink"/>
          </w:rPr>
          <w:t xml:space="preserve">https://doi.org/10.2307/143141</w:t>
        </w:r>
      </w:hyperlink>
    </w:p>
    <w:bookmarkEnd w:id="112"/>
    <w:bookmarkStart w:id="114"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3">
        <w:r>
          <w:rPr>
            <w:rStyle w:val="Hyperlink"/>
          </w:rPr>
          <w:t xml:space="preserve">https://doi.org/10.1016/j.jaridenv.2014.11.009</w:t>
        </w:r>
      </w:hyperlink>
    </w:p>
    <w:bookmarkEnd w:id="114"/>
    <w:bookmarkStart w:id="11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2026-10-28T17:49:39Z</dcterms:created>
  <dcterms:modified xsi:type="dcterms:W3CDTF">2026-10-28T17:49:39Z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