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p>
      <w:pPr>
        <w:pStyle w:val="Date"/>
      </w:pPr>
      <w:r>
        <w:t xml:space="preserve">2026-10-27</w:t>
      </w:r>
    </w:p>
    <w:p>
      <w:pPr>
        <w:pStyle w:val="BlockText"/>
      </w:pPr>
      <w:r>
        <w:rPr>
          <w:b/>
          <w:bCs/>
        </w:rPr>
        <w:t xml:space="preserve">Target journal:</w:t>
      </w:r>
      <w:r>
        <w:t xml:space="preserve"> </w:t>
      </w:r>
      <w:r>
        <w:rPr>
          <w:i/>
          <w:iCs/>
        </w:rPr>
        <w:t xml:space="preserve">Computers &amp; Geosciences</w:t>
      </w:r>
      <w:r>
        <w:t xml:space="preserve"> </w:t>
      </w:r>
      <w:r>
        <w:t xml:space="preserve">(Elsevier) —</w:t>
      </w:r>
      <w:r>
        <w:t xml:space="preserve"> </w:t>
      </w:r>
      <w:r>
        <w:rPr>
          <w:b/>
          <w:bCs/>
        </w:rPr>
        <w:t xml:space="preserve">Article type:</w:t>
      </w:r>
      <w:r>
        <w:t xml:space="preserve"> </w:t>
      </w:r>
      <w:r>
        <w:t xml:space="preserve">Research Article</w:t>
      </w:r>
      <w:r>
        <w:br/>
      </w:r>
      <w:r>
        <w:rPr>
          <w:b/>
          <w:bCs/>
        </w:rPr>
        <w:t xml:space="preserve">Peer review:</w:t>
      </w:r>
      <w:r>
        <w:t xml:space="preserve"> </w:t>
      </w:r>
      <w:r>
        <w:t xml:space="preserve">single-anonymized. Author, affiliation and repository information are provided on the title page.</w:t>
      </w:r>
    </w:p>
    <w:bookmarkStart w:id="9" w:name="abstract"/>
    <w:p>
      <w:pPr>
        <w:pStyle w:val="Heading1"/>
      </w:pPr>
      <w:r>
        <w:t xml:space="preserve">Abstract</w:t>
      </w:r>
    </w:p>
    <w:p>
      <w:pPr>
        <w:pStyle w:val="FirstParagraph"/>
      </w:pPr>
      <w:r>
        <w:t xml:space="preserve">Wildfire machine learning often suffers from spatial leakage and from the limited transferability of boreal fire-weather indices to subtropical biomes. We present a reproducible computational framework that separates primary ignition from tactical propagation and makes target construction, gated inference and evaluation explicit. D2 defines ignition as fire at day t with no t-1 fire within 25 km and no same-cell fire in the previous 10 days; propagation is evaluated within 25 km of a t-1 fire. A biophysical gate removes non-combustible and wet cell-days. A hybrid LightGBM model (M3) predicts ignition without t-1 fire inputs, with M2 as the fallback for cells without history and M1 as a biophysical baseline. In 2023 validation, M3 reaches ROC-AUC 0.7844/0.7628 (Chaco/Oriental), versus 0.7817/0.7496 for M2; the M1 biophysical baseline is reported in Supplementary Table S16. In 2023 development spatial blocks, M2 is the most robust model (0.6773/0.7470), and M1 does not outperform M2 on cells without history, so M1 is rejected as an operational fallback (Supplementary Tables S8 and S16). On the retrospective 2024–2025 test, M3 reaches 0.8021/0.7534 versus 0.5173/0.5564 for full Canadian FWI and 0.5389/0.4990 for INPE; propagation reaches 0.9039/0.7859. Population-level ignition precision is only 0.082 %/0.198 %, so the system is a nowcast and prioritisation tool, not a stand-alone warning system. The 2024–2025 test was already observed and is reported as retrospective, not blind. The contribution is a reproducible computational protocol and benchmark, not a new boosting algorithm.</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INPE Risco de Fogo</w:t>
      </w:r>
      <w:r>
        <w:t xml:space="preserve"> </w:t>
      </w:r>
      <w:r>
        <w:t xml:space="preserve">(Setzer et al., 2019)</w:t>
      </w:r>
      <w:r>
        <w:t xml:space="preserve">. These indices are widely used, but they were not designed for the moisture-limited, fuel-limited and strongly anthropogenic ignition regime of the Dry Chaco. The analysis covers the continuous 2018–2025 VIIRS record over 400,006 cells, a period in which the dual-sensor constellation provides a comparatively homogeneous sampling effort.</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 t-1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This paper addresses both problems with a reproducible computational framework rather than a new learner. The framework has three computational components: (i) a D2 target operator that separates primary ignition from tactical propagation; (ii) a gated inference architecture that uses a hybrid model (M3) where fire history exists and a base model (M2) where it does not; and (iii) an evaluation harness that combines temporal holdout, spatial blocks, grouped bootstrap, lead-time and cost-loss analysis. The geoscientific contribution is the resulting benchmark: full FWI and INPE are tested under the same D2 protocol in the Gran Chaco, and the temporal versus spatial limits of the hybrid model are reported explicitly.</w:t>
      </w:r>
    </w:p>
    <w:p>
      <w:pPr>
        <w:pStyle w:val="BodyText"/>
      </w:pPr>
      <w:r>
        <w:t xml:space="preserve">The novelty is therefore a reusable protocol, software and benchmark, not a new boosting algorithm. The national case study is a testbed for data-scarce subtropical regions; we do not claim universal validity. The main computational contributions are:</w:t>
      </w:r>
    </w:p>
    <w:p>
      <w:pPr>
        <w:pStyle w:val="Compact"/>
        <w:numPr>
          <w:ilvl w:val="0"/>
          <w:numId w:val="1001"/>
        </w:numPr>
      </w:pPr>
      <w:r>
        <w:rPr>
          <w:b/>
          <w:bCs/>
        </w:rPr>
        <w:t xml:space="preserve">D2 target operator.</w:t>
      </w:r>
      <w:r>
        <w:t xml:space="preserve"> </w:t>
      </w:r>
      <w:r>
        <w:t xml:space="preserve">A reproducible rule that prevents persistence from being mixed with ignition and makes leakage checks explicit.</w:t>
      </w:r>
    </w:p>
    <w:p>
      <w:pPr>
        <w:pStyle w:val="Compact"/>
        <w:numPr>
          <w:ilvl w:val="0"/>
          <w:numId w:val="1001"/>
        </w:numPr>
      </w:pPr>
      <w:r>
        <w:rPr>
          <w:b/>
          <w:bCs/>
        </w:rPr>
        <w:t xml:space="preserve">M3/M2 inference.</w:t>
      </w:r>
      <w:r>
        <w:t xml:space="preserve"> </w:t>
      </w:r>
      <w:r>
        <w:t xml:space="preserve">A two-stage architecture that combines biophysical screening with a hybrid ignition model and a fallback for cells without fire history.</w:t>
      </w:r>
    </w:p>
    <w:p>
      <w:pPr>
        <w:pStyle w:val="Compact"/>
        <w:numPr>
          <w:ilvl w:val="0"/>
          <w:numId w:val="1001"/>
        </w:numPr>
      </w:pPr>
      <w:r>
        <w:rPr>
          <w:b/>
          <w:bCs/>
        </w:rPr>
        <w:t xml:space="preserve">Reproducible evaluation harness.</w:t>
      </w:r>
      <w:r>
        <w:t xml:space="preserve"> </w:t>
      </w:r>
      <w:r>
        <w:t xml:space="preserve">Grouped bootstrap, spatial blocks, lead-time, conformal coverage and cost-loss in one protocol.</w:t>
      </w:r>
    </w:p>
    <w:p>
      <w:pPr>
        <w:pStyle w:val="Compact"/>
        <w:numPr>
          <w:ilvl w:val="0"/>
          <w:numId w:val="1001"/>
        </w:numPr>
      </w:pPr>
      <w:r>
        <w:rPr>
          <w:b/>
          <w:bCs/>
        </w:rPr>
        <w:t xml:space="preserve">Open software and data.</w:t>
      </w:r>
      <w:r>
        <w:t xml:space="preserve"> </w:t>
      </w:r>
      <w:r>
        <w:t xml:space="preserve">A zero-copy Polars/DuckDB pipeline, public code, DOIs and tests.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 i and day t:</w:t>
      </w:r>
    </w:p>
    <w:p>
      <w:pPr>
        <w:pStyle w:val="Compact"/>
        <w:numPr>
          <w:ilvl w:val="0"/>
          <w:numId w:val="1002"/>
        </w:numPr>
      </w:pPr>
      <w:r>
        <w:rPr>
          <w:b/>
          <w:bCs/>
        </w:rPr>
        <w:t xml:space="preserve">Primary ignition</w:t>
      </w:r>
      <w:r>
        <w:t xml:space="preserve"> </w:t>
      </w:r>
      <w:r>
        <w:t xml:space="preserve">is a fire at (i,t) when there is no fire within 25 km at t-1 and no fire in cell i during the previous 10 days.</w:t>
      </w:r>
    </w:p>
    <w:p>
      <w:pPr>
        <w:pStyle w:val="Compact"/>
        <w:numPr>
          <w:ilvl w:val="0"/>
          <w:numId w:val="1002"/>
        </w:numPr>
      </w:pPr>
      <w:r>
        <w:rPr>
          <w:b/>
          <w:bCs/>
        </w:rPr>
        <w:t xml:space="preserve">Tactical propagation</w:t>
      </w:r>
      <w:r>
        <w:t xml:space="preserve"> </w:t>
      </w:r>
      <w:r>
        <w:t xml:space="preserve">is a fire at (i,t) within 25 km of at least one fire at t-1.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376,552 cell-days (34,232 positives) and the propagation test contains 1,437,414 cell-days (130,674 positives). The combined task-level test therefore has 1,813,966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w:t>
      </w:r>
      <w:r>
        <w:t xml:space="preserve"> </w:t>
      </w:r>
      <m:oMath>
        <m:r>
          <m:t>i</m:t>
        </m:r>
        <m:r>
          <m:rPr>
            <m:sty m:val="p"/>
          </m:rPr>
          <m:t>∈</m:t>
        </m:r>
        <m:sSub>
          <m:e>
            <m:r>
              <m:t>F</m:t>
            </m:r>
          </m:e>
          <m:sub>
            <m:r>
              <m:t>t</m:t>
            </m:r>
          </m:sub>
        </m:sSub>
      </m:oMath>
      <w:r>
        <w:t xml:space="preserve">, no cell in</w:t>
      </w:r>
      <w:r>
        <w:t xml:space="preserve"> </w:t>
      </w:r>
      <m:oMath>
        <m:sSub>
          <m:e>
            <m:r>
              <m:t>F</m:t>
            </m:r>
          </m:e>
          <m:sub>
            <m:r>
              <m:t>t</m:t>
            </m:r>
            <m:r>
              <m:rPr>
                <m:sty m:val="p"/>
              </m:rPr>
              <m:t>−</m:t>
            </m:r>
            <m:r>
              <m:t>1</m:t>
            </m:r>
          </m:sub>
        </m:sSub>
      </m:oMath>
      <w:r>
        <w:t xml:space="preserve"> </w:t>
      </w:r>
      <w:r>
        <w:t xml:space="preserve">within 25 km of</w:t>
      </w:r>
      <w:r>
        <w:t xml:space="preserve"> </w:t>
      </w:r>
      <m:oMath>
        <m:r>
          <m:t>i</m:t>
        </m:r>
      </m:oMath>
      <w:r>
        <w:t xml:space="preserve">, and no detection in cell</w:t>
      </w:r>
      <w:r>
        <w:t xml:space="preserve"> </w:t>
      </w:r>
      <m:oMath>
        <m:r>
          <m:t>i</m:t>
        </m:r>
      </m:oMath>
      <w:r>
        <w:t xml:space="preserve"> </w:t>
      </w:r>
      <w:r>
        <w:t xml:space="preserve">during the ten preceding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FFMC and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ROC-AUC and PR-AUC. We also report Brier score, expected calibration error, precision, recall, F0.5 and false positives at the validation cutoff. AUC confidence intervals use 500 grouped bootstrap replicates; paired model differences use 1,000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400,006 cells of 1 km² in UTM zone 21S. Daily inputs are VIIRS 375 m active fire detections from Suomi-NPP, NOAA-20 and NOAA-21; ERA5-Land 3-hourly meteorology aggregated to daily values; annual MapBiomas Collection 2 maps (2017–2023), joined to each row with the prior-year map;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 A spatial join of 50,000 points is shown only as a reference; the operational lookup avoids point-in-polygon at inference. The full pipeline processes 400,006 cells in 1.569 s with 2,182.1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release DOI.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w:t>
            </w:r>
          </w:p>
          <w:bookmarkEnd w:id="21"/>
        </w:tc>
      </w:tr>
    </w:tbl>
    <w:bookmarkEnd w:id="22"/>
    <w:bookmarkEnd w:id="23"/>
    <w:bookmarkStart w:id="45"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summarises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1,813,966 task cell-days in total: 376,552 ignition and 1,437,414 propagation). Precision and recall are case-control (9.09 % prevalence) at the F0.5 cutoff. The test was already observed and is not used for selection.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9,960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7,835</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prioritisation and nowcast layer, not a stand-alone alert system.</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p ≤ 0.001 with B = 1,000.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FWI and INPE are normalized indices, not calibrated probabilities. The full table is Supplementary Table S11.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vs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32.81 % versus 33.27 % for M2; in Oriental it is 30.13 % versus 26.09 %. The advantage is not uniform and is not presented as a precision gain in both regions. The complete ablation table is Supplementary Table S12. TreeSHAP identifies historical distance, dry-forest fraction, accessibility and seasonality as the dominant drivers in Chaco; in Oriental, historical distance and local anthropic concentration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and INPE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spatial design retains 44 blocks and excludes a 20-km buffer around holdout cells during training; priors are recomputed without held-out fires. The gap between held-in and holdout performance measures spatial memorization. M3 shows a large drop in Chaco and a smaller drop in Oriental; M2 retains the best absolute discrimination in both regions. The result does not support M3 as a spatial extrapolator, and it does not make M1 the best option: M1 was a stable but lower baseline and was rejected as the operational fallback. The full M1 spatial and no-history results are in Supplementary Tables S8 and S16; the M3/M2 architecture follows that evidence.</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w:t>
      </w:r>
    </w:p>
    <w:bookmarkEnd w:id="38"/>
    <w:bookmarkStart w:id="43"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 α = 0.002. The full cost-loss table and curves are in Supplementary Table S14 and Supplementary Figure S3. The operational product therefore prioritises propagation and uses ignition as a screening layer.</w:t>
      </w:r>
    </w:p>
    <w:p>
      <w:pPr>
        <w:pStyle w:val="BodyText"/>
      </w:pPr>
      <w:r>
        <w:t xml:space="preserve">Cost-loss is defined as the expected value of issuing an alert when the cost of a false alarm is</w:t>
      </w:r>
      <w:r>
        <w:t xml:space="preserve"> </w:t>
      </w:r>
      <m:oMath>
        <m:r>
          <m:t>C</m:t>
        </m:r>
      </m:oMath>
      <w:r>
        <w:t xml:space="preserve"> </w:t>
      </w:r>
      <w:r>
        <w:t xml:space="preserve">and the loss avoided by a true alert is</w:t>
      </w:r>
      <w:r>
        <w:t xml:space="preserve"> </w:t>
      </w:r>
      <m:oMath>
        <m:r>
          <m:t>L</m:t>
        </m:r>
      </m:oMath>
      <w:r>
        <w:t xml:space="preserve">; the ratio</w:t>
      </w:r>
      <w:r>
        <w:t xml:space="preserve"> </w:t>
      </w:r>
      <m:oMath>
        <m:r>
          <m:t>α</m:t>
        </m:r>
        <m:r>
          <m:rPr>
            <m:sty m:val="p"/>
          </m:rPr>
          <m:t>=</m:t>
        </m:r>
        <m:r>
          <m:t>C</m:t>
        </m:r>
        <m:r>
          <m:rPr>
            <m:sty m:val="p"/>
          </m:rPr>
          <m:t>/</m:t>
        </m:r>
        <m:r>
          <m:t>L</m:t>
        </m:r>
      </m:oMath>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m:oMath>
        <m:r>
          <m:t>α</m:t>
        </m:r>
      </m:oMath>
      <w:r>
        <w:t xml:space="preserve">. The result supports the operational choice of prioritising propagation and treating ignition as a screening layer.</w:t>
      </w:r>
    </w:p>
    <w:p>
      <w:pPr>
        <w:pStyle w:val="BodyText"/>
      </w:pPr>
      <w:r>
        <w:t xml:space="preserve">Conformal coverage is empirical: 89.85 %/90.19 % for a nominal 90 % level and 95.02 %/94.56 %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National 1-km² alert map for 2024-09-09, showing the spatial distribution of low, moderate and high alert cells.</w:t>
            </w:r>
          </w:p>
          <w:bookmarkEnd w:id="42"/>
        </w:tc>
      </w:tr>
    </w:tbl>
    <w:bookmarkEnd w:id="43"/>
    <w:bookmarkStart w:id="44"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v2.0.0;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causal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 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labour for geoscientific machine learning. The learner can be replaced; the target operator, the leakage controls and the evaluation harness should not. In this sense, the paper is closer to a benchmark protocol than to a model paper. That distinction matters for C&amp;G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Compact"/>
        <w:numPr>
          <w:ilvl w:val="0"/>
          <w:numId w:val="1004"/>
        </w:numPr>
      </w:pPr>
      <w:r>
        <w:t xml:space="preserve">The study covers one country and two macro-regions; external validation is still missing.</w:t>
      </w:r>
    </w:p>
    <w:p>
      <w:pPr>
        <w:pStyle w:val="Compact"/>
        <w:numPr>
          <w:ilvl w:val="0"/>
          <w:numId w:val="1004"/>
        </w:numPr>
      </w:pPr>
      <w:r>
        <w:t xml:space="preserve">Fuel is an annual MapBiomas Collection 2 series (2017–2023) joined by prior year; 2024 uses the 2023 map with lag 1 and 2025 reuses 2023 with lag 2, so the 2025 fuel state is extrapolated.</w:t>
      </w:r>
    </w:p>
    <w:p>
      <w:pPr>
        <w:pStyle w:val="Compact"/>
        <w:numPr>
          <w:ilvl w:val="0"/>
          <w:numId w:val="1004"/>
        </w:numPr>
      </w:pPr>
      <w:r>
        <w:t xml:space="preserve">VIIRS can miss fires under clouds; no explicit observation model is implemented.</w:t>
      </w:r>
    </w:p>
    <w:p>
      <w:pPr>
        <w:pStyle w:val="Compact"/>
        <w:numPr>
          <w:ilvl w:val="0"/>
          <w:numId w:val="1004"/>
        </w:numPr>
      </w:pPr>
      <w:r>
        <w:t xml:space="preserve">ERA5-Land is used at 0.25° and 3-hourly resolution; intra-day VPD and wind peaks may be underestimated.</w:t>
      </w:r>
    </w:p>
    <w:p>
      <w:pPr>
        <w:pStyle w:val="Compact"/>
        <w:numPr>
          <w:ilvl w:val="0"/>
          <w:numId w:val="1004"/>
        </w:numPr>
      </w:pPr>
      <w:r>
        <w:t xml:space="preserve">Population-level ignition precision is very low (0.082 %/0.198 %), and cost-loss does not show a clear M3 advantage over M2.</w:t>
      </w:r>
    </w:p>
    <w:p>
      <w:pPr>
        <w:pStyle w:val="Compact"/>
        <w:numPr>
          <w:ilvl w:val="0"/>
          <w:numId w:val="1004"/>
        </w:numPr>
      </w:pPr>
      <w:r>
        <w:t xml:space="preserve">M3 loses spatial transferability; M2 is the operational fallback and M1 is a baseline. M1 should not be presented as a solution for new cells.</w:t>
      </w:r>
    </w:p>
    <w:p>
      <w:pPr>
        <w:pStyle w:val="Compact"/>
        <w:numPr>
          <w:ilvl w:val="0"/>
          <w:numId w:val="1004"/>
        </w:numPr>
      </w:pPr>
      <w:r>
        <w:t xml:space="preserve">The system is a nowcast/hindcast; a day-ahead forecast requires numerical weather prediction.</w:t>
      </w:r>
    </w:p>
    <w:p>
      <w:pPr>
        <w:pStyle w:val="Compact"/>
        <w:numPr>
          <w:ilvl w:val="0"/>
          <w:numId w:val="1004"/>
        </w:numPr>
      </w:pPr>
      <w:r>
        <w:t xml:space="preserve">Conformal coverage is empirical and does not guarantee performance under temporal shift.</w:t>
      </w:r>
    </w:p>
    <w:p>
      <w:pPr>
        <w:pStyle w:val="Compact"/>
        <w:numPr>
          <w:ilvl w:val="0"/>
          <w:numId w:val="1004"/>
        </w:numPr>
      </w:pPr>
      <w:r>
        <w:t xml:space="preserve">A coupled baseline with t-1 fire inputs and no gating has not been implemented; the decoupling claim is therefore supported by the architecture and the spatial holdout, not by a direct head-to-head leakage experiment.</w:t>
      </w:r>
    </w:p>
    <w:p>
      <w:pPr>
        <w:pStyle w:val="Compact"/>
        <w:numPr>
          <w:ilvl w:val="0"/>
          <w:numId w:val="1004"/>
        </w:numPr>
      </w:pPr>
      <w:r>
        <w:t xml:space="preserve">The model has not been tested prospectively with an operational agency; the cost-loss and alert-map results are retrospective.</w:t>
      </w:r>
    </w:p>
    <w:p>
      <w:pPr>
        <w:pStyle w:val="Compact"/>
        <w:numPr>
          <w:ilvl w:val="0"/>
          <w:numId w:val="1004"/>
        </w:numPr>
      </w:pPr>
      <w:r>
        <w:t xml:space="preserve">The national grid and priors are tailored to Paraguay; transfer to another country would require rebuilding the grid, the historical priors and the prevalence metadata.</w:t>
      </w:r>
    </w:p>
    <w:p>
      <w:pPr>
        <w:pStyle w:val="Compact"/>
        <w:numPr>
          <w:ilvl w:val="0"/>
          <w:numId w:val="1004"/>
        </w:numPr>
      </w:pPr>
      <w:r>
        <w:t xml:space="preserve">The choice of a 10-day same-cell exclusion is a design decision; alternative windows could change the ignition base rate and should be tested in future work.</w:t>
      </w:r>
    </w:p>
    <w:p>
      <w:pPr>
        <w:pStyle w:val="Compact"/>
        <w:numPr>
          <w:ilvl w:val="0"/>
          <w:numId w:val="1004"/>
        </w:numPr>
      </w:pPr>
      <w:r>
        <w:t xml:space="preserve">The 2024–2025 test is retrospective, not blind: it was already observed during development. About 90.65 % of test cells also appear in training because of temporal overlap, which limits interpretation as spatial generalization.</w:t>
      </w:r>
    </w:p>
    <w:p>
      <w:pPr>
        <w:pStyle w:val="Compact"/>
        <w:numPr>
          <w:ilvl w:val="0"/>
          <w:numId w:val="1004"/>
        </w:numPr>
      </w:pPr>
      <w:r>
        <w:t xml:space="preserve">The dependency lock has exact versions but not wheel hashes; the exception is documented in</w:t>
      </w:r>
      <w:r>
        <w:t xml:space="preserve"> </w:t>
      </w:r>
      <w:r>
        <w:rPr>
          <w:rStyle w:val="VerbatimChar"/>
        </w:rPr>
        <w:t xml:space="preserve">auditoria/FASE2_0_LOCK_EXCEPTION.md</w:t>
      </w:r>
      <w:r>
        <w:t xml:space="preserve">.</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D2 separates ignition from persistence; the M3/M2 architecture provides a temporal nowcast with a more robust spatial fallback; and the open harness makes the benchmark auditable. Selection used 2023 validation: M3 reached ROC-AUC 0.7844/0.7628 and M2 was best in spatial blocks (0.6773/0.7470). On the retrospective 2024–2025 test, M3 reaches 0.8021/0.7534 against 0.5173/0.5564 for full FWI and 0.5389/0.4990 for INPE, but population precision is low and the hybrid advantage does not transfer spatially. M1 is not defensible as the fallback; M2 replaces it and M3 is presented as a recurrence-aware nowcast rather than a universal ignition model. The most useful output is not a single map: it is a protocol that shows where a model is valid, where it fails and how to reproduce the result. Future work should add a coupled t-1 baseline, an external-country validation and a day-ahead weather source. Code and data are archived under the concept DOIs reported below, and the benchmark can be extended to other subtropical regions without changing the target logic.</w:t>
      </w:r>
    </w:p>
    <w:bookmarkEnd w:id="51"/>
    <w:bookmarkStart w:id="53" w:name="data-availability"/>
    <w:p>
      <w:pPr>
        <w:pStyle w:val="Heading1"/>
      </w:pPr>
      <w:r>
        <w:t xml:space="preserve">6. Data availability</w:t>
      </w:r>
    </w:p>
    <w:p>
      <w:pPr>
        <w:pStyle w:val="FirstParagraph"/>
      </w:pPr>
      <w:r>
        <w:t xml:space="preserve">Processed data, test predictions, trained models and derived tables are archived in Zenodo under CC BY 4.0 (concept DOI):</w:t>
      </w:r>
      <w:r>
        <w:t xml:space="preserve"> </w:t>
      </w:r>
      <w:hyperlink r:id="rId52">
        <w:r>
          <w:rPr>
            <w:rStyle w:val="Hyperlink"/>
          </w:rPr>
          <w:t xml:space="preserve">10.5281/zenodo.23675278</w:t>
        </w:r>
      </w:hyperlink>
      <w:r>
        <w:t xml:space="preserve">. Raw NASA FIRMS, ERA5-Land/CDS, MapBiomas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3"/>
    <w:bookmarkStart w:id="54" w:name="acknowledgements"/>
    <w:p>
      <w:pPr>
        <w:pStyle w:val="Heading1"/>
      </w:pPr>
      <w:r>
        <w:t xml:space="preserve">7. Acknowledgements</w:t>
      </w:r>
    </w:p>
    <w:p>
      <w:pPr>
        <w:pStyle w:val="FirstParagraph"/>
      </w:pPr>
      <w:r>
        <w:t xml:space="preserve">We thank NASA FIRMS, the Copernicus Climate Data Store, MapBiomas and geoBoundaries for open data. The author is responsible for all interpretations and errors.</w:t>
      </w:r>
    </w:p>
    <w:bookmarkEnd w:id="54"/>
    <w:bookmarkStart w:id="55" w:name="funding"/>
    <w:p>
      <w:pPr>
        <w:pStyle w:val="Heading1"/>
      </w:pPr>
      <w:r>
        <w:t xml:space="preserve">8. Funding</w:t>
      </w:r>
    </w:p>
    <w:p>
      <w:pPr>
        <w:pStyle w:val="FirstParagraph"/>
      </w:pPr>
      <w:r>
        <w:t xml:space="preserve">This research received no specific grant from public, commercial or not-for-profit funding agencies.</w:t>
      </w:r>
    </w:p>
    <w:bookmarkEnd w:id="55"/>
    <w:bookmarkStart w:id="56" w:name="competing-interests"/>
    <w:p>
      <w:pPr>
        <w:pStyle w:val="Heading1"/>
      </w:pPr>
      <w:r>
        <w:t xml:space="preserve">9. Competing interests</w:t>
      </w:r>
    </w:p>
    <w:p>
      <w:pPr>
        <w:pStyle w:val="FirstParagraph"/>
      </w:pPr>
      <w:r>
        <w:t xml:space="preserve">The author declares no competing financial or non-financial interests.</w:t>
      </w:r>
    </w:p>
    <w:bookmarkEnd w:id="56"/>
    <w:bookmarkStart w:id="57" w:name="author-contributions"/>
    <w:p>
      <w:pPr>
        <w:pStyle w:val="Heading1"/>
      </w:pPr>
      <w:r>
        <w:t xml:space="preserve">10. Author contributions</w:t>
      </w:r>
    </w:p>
    <w:p>
      <w:pPr>
        <w:pStyle w:val="FirstParagraph"/>
      </w:pPr>
      <w:r>
        <w:t xml:space="preserve">Martín Sánchez Insfrán: conceptualization, methodology, software, data curation, formal analysis, validation, visualization, writing—original draft, writing—review and editing, project administration.</w:t>
      </w:r>
    </w:p>
    <w:bookmarkEnd w:id="57"/>
    <w:bookmarkStart w:id="58" w:name="generative-ai-declaration"/>
    <w:p>
      <w:pPr>
        <w:pStyle w:val="Heading1"/>
      </w:pPr>
      <w:r>
        <w:t xml:space="preserve">11. 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8"/>
    <w:bookmarkStart w:id="61" w:name="computer-code-availability"/>
    <w:p>
      <w:pPr>
        <w:pStyle w:val="Heading1"/>
      </w:pPr>
      <w:r>
        <w:t xml:space="preserve">12. 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59">
        <w:r>
          <w:rPr>
            <w:rStyle w:val="Hyperlink"/>
          </w:rPr>
          <w:t xml:space="preserve">https://github.com/sanchezmartin093-code/Incendios_PY</w:t>
        </w:r>
      </w:hyperlink>
      <w:r>
        <w:br/>
      </w:r>
      <w:r>
        <w:rPr>
          <w:b/>
          <w:bCs/>
        </w:rPr>
        <w:t xml:space="preserve">Code concept DOI (v2.0.0):</w:t>
      </w:r>
      <w:r>
        <w:t xml:space="preserve"> </w:t>
      </w:r>
      <w:hyperlink r:id="rId60">
        <w:r>
          <w:rPr>
            <w:rStyle w:val="Hyperlink"/>
          </w:rPr>
          <w:t xml:space="preserve">10.5281/zenodo.23675104</w:t>
        </w:r>
      </w:hyperlink>
      <w:r>
        <w:br/>
      </w:r>
      <w:r>
        <w:rPr>
          <w:b/>
          <w:bCs/>
        </w:rPr>
        <w:t xml:space="preserve">Data concept DOI (v2.0.0):</w:t>
      </w:r>
      <w:r>
        <w:t xml:space="preserve"> </w:t>
      </w:r>
      <w:hyperlink r:id="rId52">
        <w:r>
          <w:rPr>
            <w:rStyle w:val="Hyperlink"/>
          </w:rPr>
          <w:t xml:space="preserve">10.5281/zenodo.23675278</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61"/>
    <w:bookmarkStart w:id="100" w:name="references"/>
    <w:p>
      <w:pPr>
        <w:pStyle w:val="Heading1"/>
      </w:pPr>
      <w:r>
        <w:t xml:space="preserve">References</w:t>
      </w:r>
    </w:p>
    <w:bookmarkStart w:id="99" w:name="refs"/>
    <w:bookmarkStart w:id="63"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2">
        <w:r>
          <w:rPr>
            <w:rStyle w:val="Hyperlink"/>
          </w:rPr>
          <w:t xml:space="preserve">https://doi.org/10.3390/rs10091438</w:t>
        </w:r>
      </w:hyperlink>
    </w:p>
    <w:bookmarkEnd w:id="63"/>
    <w:bookmarkStart w:id="65"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4">
        <w:r>
          <w:rPr>
            <w:rStyle w:val="Hyperlink"/>
          </w:rPr>
          <w:t xml:space="preserve">https://doi.org/10.3390/s20226442</w:t>
        </w:r>
      </w:hyperlink>
    </w:p>
    <w:bookmarkEnd w:id="65"/>
    <w:bookmarkStart w:id="67"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6">
        <w:r>
          <w:rPr>
            <w:rStyle w:val="Hyperlink"/>
          </w:rPr>
          <w:t xml:space="preserve">https://doi.org/10.1111/gcb.13521</w:t>
        </w:r>
      </w:hyperlink>
    </w:p>
    <w:bookmarkEnd w:id="67"/>
    <w:bookmarkStart w:id="69"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8">
        <w:r>
          <w:rPr>
            <w:rStyle w:val="Hyperlink"/>
          </w:rPr>
          <w:t xml:space="preserve">https://doi.org/10.1111/j.2007.0906-7590.05171.x</w:t>
        </w:r>
      </w:hyperlink>
    </w:p>
    <w:bookmarkEnd w:id="69"/>
    <w:bookmarkStart w:id="71"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0">
        <w:r>
          <w:rPr>
            <w:rStyle w:val="Hyperlink"/>
          </w:rPr>
          <w:t xml:space="preserve">https://doi.org/10.1071/WF08187</w:t>
        </w:r>
      </w:hyperlink>
    </w:p>
    <w:bookmarkEnd w:id="71"/>
    <w:bookmarkStart w:id="73"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2">
        <w:r>
          <w:rPr>
            <w:rStyle w:val="Hyperlink"/>
          </w:rPr>
          <w:t xml:space="preserve">https://doi.org/10.1139/er-2020-0019</w:t>
        </w:r>
      </w:hyperlink>
    </w:p>
    <w:bookmarkEnd w:id="73"/>
    <w:bookmarkStart w:id="75"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4">
        <w:r>
          <w:rPr>
            <w:rStyle w:val="Hyperlink"/>
          </w:rPr>
          <w:t xml:space="preserve">https://doi.org/10.1038/ncomms8537</w:t>
        </w:r>
      </w:hyperlink>
    </w:p>
    <w:bookmarkEnd w:id="75"/>
    <w:bookmarkStart w:id="76"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6"/>
    <w:bookmarkStart w:id="78"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7">
        <w:r>
          <w:rPr>
            <w:rStyle w:val="Hyperlink"/>
          </w:rPr>
          <w:t xml:space="preserve">https://doi.org/10.2307/1939924</w:t>
        </w:r>
      </w:hyperlink>
    </w:p>
    <w:bookmarkEnd w:id="78"/>
    <w:bookmarkStart w:id="80"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79">
        <w:r>
          <w:rPr>
            <w:rStyle w:val="Hyperlink"/>
          </w:rPr>
          <w:t xml:space="preserve">https://doi.org/10.1145/1102351.1102430</w:t>
        </w:r>
      </w:hyperlink>
    </w:p>
    <w:bookmarkEnd w:id="80"/>
    <w:bookmarkStart w:id="82"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1">
        <w:r>
          <w:rPr>
            <w:rStyle w:val="Hyperlink"/>
          </w:rPr>
          <w:t xml:space="preserve">https://doi.org/10.1016/j.pecon.2021.06.005</w:t>
        </w:r>
      </w:hyperlink>
    </w:p>
    <w:bookmarkEnd w:id="82"/>
    <w:bookmarkStart w:id="83"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3"/>
    <w:bookmarkStart w:id="85"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4">
        <w:r>
          <w:rPr>
            <w:rStyle w:val="Hyperlink"/>
          </w:rPr>
          <w:t xml:space="preserve">https://doi.org/10.1038/s41467-020-18321-y</w:t>
        </w:r>
      </w:hyperlink>
    </w:p>
    <w:bookmarkEnd w:id="85"/>
    <w:bookmarkStart w:id="87"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6">
        <w:r>
          <w:rPr>
            <w:rStyle w:val="Hyperlink"/>
          </w:rPr>
          <w:t xml:space="preserve">https://doi.org/10.1111/ecog.02881</w:t>
        </w:r>
      </w:hyperlink>
    </w:p>
    <w:bookmarkEnd w:id="87"/>
    <w:bookmarkStart w:id="89"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8">
        <w:r>
          <w:rPr>
            <w:rStyle w:val="Hyperlink"/>
          </w:rPr>
          <w:t xml:space="preserve">https://doi.org/10.5772/28441</w:t>
        </w:r>
      </w:hyperlink>
    </w:p>
    <w:bookmarkEnd w:id="89"/>
    <w:bookmarkStart w:id="9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0">
        <w:r>
          <w:rPr>
            <w:rStyle w:val="Hyperlink"/>
          </w:rPr>
          <w:t xml:space="preserve">http://queimadas.dgi.inpe.br</w:t>
        </w:r>
      </w:hyperlink>
    </w:p>
    <w:bookmarkEnd w:id="91"/>
    <w:bookmarkStart w:id="93"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2">
        <w:r>
          <w:rPr>
            <w:rStyle w:val="Hyperlink"/>
          </w:rPr>
          <w:t xml:space="preserve">https://doi.org/10.5558/tfc65258-4</w:t>
        </w:r>
      </w:hyperlink>
    </w:p>
    <w:bookmarkEnd w:id="93"/>
    <w:bookmarkStart w:id="95"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4">
        <w:r>
          <w:rPr>
            <w:rStyle w:val="Hyperlink"/>
          </w:rPr>
          <w:t xml:space="preserve">https://doi.org/10.2307/143141</w:t>
        </w:r>
      </w:hyperlink>
    </w:p>
    <w:bookmarkEnd w:id="95"/>
    <w:bookmarkStart w:id="97"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6">
        <w:r>
          <w:rPr>
            <w:rStyle w:val="Hyperlink"/>
          </w:rPr>
          <w:t xml:space="preserve">https://doi.org/10.1016/j.jaridenv.2014.11.009</w:t>
        </w:r>
      </w:hyperlink>
    </w:p>
    <w:bookmarkEnd w:id="97"/>
    <w:bookmarkStart w:id="98"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0" Target="http://queimadas.dgi.inpe.br" TargetMode="External" /><Relationship Type="http://schemas.openxmlformats.org/officeDocument/2006/relationships/hyperlink" Id="rId96" Target="https://doi.org/10.1016/j.jaridenv.2014.11.009" TargetMode="External" /><Relationship Type="http://schemas.openxmlformats.org/officeDocument/2006/relationships/hyperlink" Id="rId81" Target="https://doi.org/10.1016/j.pecon.2021.06.005" TargetMode="External" /><Relationship Type="http://schemas.openxmlformats.org/officeDocument/2006/relationships/hyperlink" Id="rId74" Target="https://doi.org/10.1038/ncomms8537" TargetMode="External" /><Relationship Type="http://schemas.openxmlformats.org/officeDocument/2006/relationships/hyperlink" Id="rId84" Target="https://doi.org/10.1038/s41467-020-18321-y" TargetMode="External" /><Relationship Type="http://schemas.openxmlformats.org/officeDocument/2006/relationships/hyperlink" Id="rId70" Target="https://doi.org/10.1071/WF08187" TargetMode="External" /><Relationship Type="http://schemas.openxmlformats.org/officeDocument/2006/relationships/hyperlink" Id="rId86"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2" Target="https://doi.org/10.1139/er-2020-0019" TargetMode="External" /><Relationship Type="http://schemas.openxmlformats.org/officeDocument/2006/relationships/hyperlink" Id="rId79" Target="https://doi.org/10.1145/1102351.1102430" TargetMode="External" /><Relationship Type="http://schemas.openxmlformats.org/officeDocument/2006/relationships/hyperlink" Id="rId94" Target="https://doi.org/10.2307/143141" TargetMode="External" /><Relationship Type="http://schemas.openxmlformats.org/officeDocument/2006/relationships/hyperlink" Id="rId77"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60" Target="https://doi.org/10.5281/zenodo.23675104" TargetMode="External" /><Relationship Type="http://schemas.openxmlformats.org/officeDocument/2006/relationships/hyperlink" Id="rId52" Target="https://doi.org/10.5281/zenodo.23675278" TargetMode="External" /><Relationship Type="http://schemas.openxmlformats.org/officeDocument/2006/relationships/hyperlink" Id="rId92" Target="https://doi.org/10.5558/tfc65258-4" TargetMode="External" /><Relationship Type="http://schemas.openxmlformats.org/officeDocument/2006/relationships/hyperlink" Id="rId88" Target="https://doi.org/10.5772/28441" TargetMode="External" /><Relationship Type="http://schemas.openxmlformats.org/officeDocument/2006/relationships/hyperlink" Id="rId5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90" Target="http://queimadas.dgi.inpe.br" TargetMode="External" /><Relationship Type="http://schemas.openxmlformats.org/officeDocument/2006/relationships/hyperlink" Id="rId96" Target="https://doi.org/10.1016/j.jaridenv.2014.11.009" TargetMode="External" /><Relationship Type="http://schemas.openxmlformats.org/officeDocument/2006/relationships/hyperlink" Id="rId81" Target="https://doi.org/10.1016/j.pecon.2021.06.005" TargetMode="External" /><Relationship Type="http://schemas.openxmlformats.org/officeDocument/2006/relationships/hyperlink" Id="rId74" Target="https://doi.org/10.1038/ncomms8537" TargetMode="External" /><Relationship Type="http://schemas.openxmlformats.org/officeDocument/2006/relationships/hyperlink" Id="rId84" Target="https://doi.org/10.1038/s41467-020-18321-y" TargetMode="External" /><Relationship Type="http://schemas.openxmlformats.org/officeDocument/2006/relationships/hyperlink" Id="rId70" Target="https://doi.org/10.1071/WF08187" TargetMode="External" /><Relationship Type="http://schemas.openxmlformats.org/officeDocument/2006/relationships/hyperlink" Id="rId86" Target="https://doi.org/10.1111/ecog.02881" TargetMode="External" /><Relationship Type="http://schemas.openxmlformats.org/officeDocument/2006/relationships/hyperlink" Id="rId66" Target="https://doi.org/10.1111/gcb.13521" TargetMode="External" /><Relationship Type="http://schemas.openxmlformats.org/officeDocument/2006/relationships/hyperlink" Id="rId68" Target="https://doi.org/10.1111/j.2007.0906-7590.05171.x" TargetMode="External" /><Relationship Type="http://schemas.openxmlformats.org/officeDocument/2006/relationships/hyperlink" Id="rId72" Target="https://doi.org/10.1139/er-2020-0019" TargetMode="External" /><Relationship Type="http://schemas.openxmlformats.org/officeDocument/2006/relationships/hyperlink" Id="rId79" Target="https://doi.org/10.1145/1102351.1102430" TargetMode="External" /><Relationship Type="http://schemas.openxmlformats.org/officeDocument/2006/relationships/hyperlink" Id="rId94" Target="https://doi.org/10.2307/143141" TargetMode="External" /><Relationship Type="http://schemas.openxmlformats.org/officeDocument/2006/relationships/hyperlink" Id="rId77" Target="https://doi.org/10.2307/1939924" TargetMode="External" /><Relationship Type="http://schemas.openxmlformats.org/officeDocument/2006/relationships/hyperlink" Id="rId62" Target="https://doi.org/10.3390/rs10091438" TargetMode="External" /><Relationship Type="http://schemas.openxmlformats.org/officeDocument/2006/relationships/hyperlink" Id="rId64" Target="https://doi.org/10.3390/s20226442" TargetMode="External" /><Relationship Type="http://schemas.openxmlformats.org/officeDocument/2006/relationships/hyperlink" Id="rId60" Target="https://doi.org/10.5281/zenodo.23675104" TargetMode="External" /><Relationship Type="http://schemas.openxmlformats.org/officeDocument/2006/relationships/hyperlink" Id="rId52" Target="https://doi.org/10.5281/zenodo.23675278" TargetMode="External" /><Relationship Type="http://schemas.openxmlformats.org/officeDocument/2006/relationships/hyperlink" Id="rId92" Target="https://doi.org/10.5558/tfc65258-4" TargetMode="External" /><Relationship Type="http://schemas.openxmlformats.org/officeDocument/2006/relationships/hyperlink" Id="rId88" Target="https://doi.org/10.5772/28441" TargetMode="External" /><Relationship Type="http://schemas.openxmlformats.org/officeDocument/2006/relationships/hyperlink" Id="rId5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2026-10-28T00:33:56Z</dcterms:created>
  <dcterms:modified xsi:type="dcterms:W3CDTF">2026-10-28T00:33:56Z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2026-10-27</vt:lpwstr>
  </property>
  <property fmtid="{D5CDD505-2E9C-101B-9397-08002B2CF9AE}" pid="7" name="date-modified">
    <vt:lpwstr>2026-10-27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D2 targets, M3/M2 inference, and an open benchmark against Canadian FWI and INPE</vt:lpwstr>
  </property>
  <property fmtid="{D5CDD505-2E9C-101B-9397-08002B2CF9AE}" pid="13" name="toc-title">
    <vt:lpwstr>Table of contents</vt:lpwstr>
  </property>
</Properties>
</file>