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2026-10-27</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operativa de incendios con aprendizaje automático sufre a menudo fugas espaciales y una transferibilidad limitada de los índices boreales a biomas subtropicales. Presentamos un marco computacional reproducible que separa la ignición primaria de la propagación táctica y hace explícitos la construcción de objetivos, la inferencia con gating y la evaluación.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es un protocolo computacional y un benchmark reproducibles, no un nuevo algoritmo de boosting.</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 un período en el que la constelación de sensores duales proporciona un esfuerzo de muestreo comparativamente homogéneo.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Este artículo aborda ambos problemas con un marco computacional reproducible en lugar de un nuevo aprendiz. El marco tiene tres componentes computacionales: (i) un operador de objetivos D2 que separa la ignición primaria de la propagación táctica; (ii) una arquitectura de inferencia con gating que usa un modelo híbrido (M3) donde existe historia de fuego y el modelo base (M2) donde no; y (iii) un arnés de evaluación que combina holdout temporal, bloques espaciales, bootstrap agrupado, lead time y análisis cost-loss. La contribución geocientífica es el benchmark resultante: el FWI completo y el INPE se prueban bajo el mismo protocolo D2 en el Gran Chaco, y se reportan explícitamente los límites temporales y espaciales del modelo híbrido.</w:t>
      </w:r>
    </w:p>
    <w:p>
      <w:pPr>
        <w:pStyle w:val="BodyText"/>
      </w:pPr>
      <w:r>
        <w:t xml:space="preserve">La novedad es, por tanto, un protocolo, software y benchmark reutilizables, no un nuevo algoritmo de boosting.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 meteorología ERA5-Land de 3 horas agregada a valores diarios; mapas anuales de MapBiomas Colección 2 (2017–2023), unidos a cada fila con el mapa del año previo;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 Un spatial join de 50 000 puntos se muestra solo como referencia; la búsqueda operativa evita el point-in-polygon en inferencia. El pipeline completo procesa 400 006 celdas en 1.569 s con 2 182.1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DOI de release.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32.81 % frente a 33.27 % de M2; en Oriental es 30.13 % frente a 26.09 %. La ventaja no es uniforme y no se presenta como una mejora de precisión en ambas regiones. La tabla completa de ablación está en la Tabla S12 del suplemento. TreeSHAP identifica la distancia histórica, la fracción de bosque seco, la accesibilidad y la estacionalidad como los impulsores dominantes en el Chaco; en Oriental dominan la distancia histórica y la concentración antrópica local.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retiene 44 bloques y excluye un buffer de 20 km alrededor de las celdas holdout durante el entrenamiento; los priors se recalculan sin los incendios retenidos. La brecha entre el desempeño retenido y el de holdout mide memorización espacial. M3 muestra una caída fuerte en el Chaco y una caída menor en Oriental; M2 conserva la mejor discriminación absoluta en ambas regiones. El resultado no sostiene que M3 sea un extrapolador espacial, y tampoco convierte a M1 en la mejor opción: M1 fue un baseline estable pero inferior y se rechazó como fallback operativo. Los resultados completos de M1, espaciales y en celdas sin historia, están en las Tablas S8 y S16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89.85 %/90.19 % para un nivel nominal del 90 % y 95.02 %/94.56 %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v2.0.0;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el artículo está más cerca de un protocolo de benchmark que de un artículo de modelo.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serie anual de MapBiomas Colección 2 (2017–2023) unida por año previo; 2024 usa el mapa 2023 con lag 1 y 2025 reutiliza 2023 con lag 2, por lo que el estado de combustible de 2025 es extrapolado.</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No se ha implementado un baseline acoplado con insumos de fuego t-1 y sin gating; por tanto, la afirmación de desacoplamiento se apoya en la arquitectura y el holdout espacial, no en un experimento directo de fuga cabeza a cabeza.</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elección de una exclusión de 10 días en la misma celda es una decisión de diseño; ventanas alternativas podrían cambiar la tasa base de ignición y deberían probarse en trabajo futuro.</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trabajo futuro debería añadir un baseline acoplado t-1, una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3" w:name="disponibilidad-de-datos"/>
    <w:p>
      <w:pPr>
        <w:pStyle w:val="Heading1"/>
      </w:pPr>
      <w:r>
        <w:t xml:space="preserve">6. Disponibilidad de datos</w:t>
      </w:r>
    </w:p>
    <w:p>
      <w:pPr>
        <w:pStyle w:val="FirstParagraph"/>
      </w:pPr>
      <w:r>
        <w:t xml:space="preserve">Los datos procesados, las predicciones de test, los modelos entrenados y las tablas derivadas se archivan en Zenodo bajo CC BY 4.0 (DOI conceptual):</w:t>
      </w:r>
      <w:r>
        <w:t xml:space="preserve"> </w:t>
      </w:r>
      <w:hyperlink r:id="rId52">
        <w:r>
          <w:rPr>
            <w:rStyle w:val="Hyperlink"/>
          </w:rPr>
          <w:t xml:space="preserve">10.5281/zenodo.23675278</w:t>
        </w:r>
      </w:hyperlink>
      <w:r>
        <w:t xml:space="preserve">. Los datos crudos de NASA FIRMS, ERA5-Land/CDS, MapBiomas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3"/>
    <w:bookmarkStart w:id="54" w:name="agradecimientos"/>
    <w:p>
      <w:pPr>
        <w:pStyle w:val="Heading1"/>
      </w:pPr>
      <w:r>
        <w:t xml:space="preserve">7. Agradecimientos</w:t>
      </w:r>
    </w:p>
    <w:p>
      <w:pPr>
        <w:pStyle w:val="FirstParagraph"/>
      </w:pPr>
      <w:r>
        <w:t xml:space="preserve">Agradecemos a NASA FIRMS, al Copernicus Climate Data Store, a MapBiomas y a geoBoundaries por los datos abiertos. El autor es responsable de todas las interpretaciones y errores.</w:t>
      </w:r>
    </w:p>
    <w:bookmarkEnd w:id="54"/>
    <w:bookmarkStart w:id="55"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5"/>
    <w:bookmarkStart w:id="56"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6"/>
    <w:bookmarkStart w:id="57"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7"/>
    <w:bookmarkStart w:id="58"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8"/>
    <w:bookmarkStart w:id="61"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59">
        <w:r>
          <w:rPr>
            <w:rStyle w:val="Hyperlink"/>
          </w:rPr>
          <w:t xml:space="preserve">https://github.com/sanchezmartin093-code/Incendios_PY</w:t>
        </w:r>
      </w:hyperlink>
      <w:r>
        <w:br/>
      </w:r>
      <w:r>
        <w:rPr>
          <w:b/>
          <w:bCs/>
        </w:rPr>
        <w:t xml:space="preserve">DOI conceptual del código (v2.0.0):</w:t>
      </w:r>
      <w:r>
        <w:t xml:space="preserve"> </w:t>
      </w:r>
      <w:hyperlink r:id="rId60">
        <w:r>
          <w:rPr>
            <w:rStyle w:val="Hyperlink"/>
          </w:rPr>
          <w:t xml:space="preserve">10.5281/zenodo.23675104</w:t>
        </w:r>
      </w:hyperlink>
      <w:r>
        <w:br/>
      </w:r>
      <w:r>
        <w:rPr>
          <w:b/>
          <w:bCs/>
        </w:rPr>
        <w:t xml:space="preserve">DOI conceptual de los datos (v2.0.0):</w:t>
      </w:r>
      <w:r>
        <w:t xml:space="preserve"> </w:t>
      </w:r>
      <w:hyperlink r:id="rId52">
        <w:r>
          <w:rPr>
            <w:rStyle w:val="Hyperlink"/>
          </w:rPr>
          <w:t xml:space="preserve">10.5281/zenodo.23675278</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1"/>
    <w:bookmarkStart w:id="100" w:name="referencias"/>
    <w:p>
      <w:pPr>
        <w:pStyle w:val="Heading1"/>
      </w:pPr>
      <w:r>
        <w:t xml:space="preserve">Referencias</w:t>
      </w:r>
    </w:p>
    <w:bookmarkStart w:id="99"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2">
        <w:r>
          <w:rPr>
            <w:rStyle w:val="Hyperlink"/>
          </w:rPr>
          <w:t xml:space="preserve">https://doi.org/10.1139/er-2020-0019</w:t>
        </w:r>
      </w:hyperlink>
    </w:p>
    <w:bookmarkEnd w:id="73"/>
    <w:bookmarkStart w:id="7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4">
        <w:r>
          <w:rPr>
            <w:rStyle w:val="Hyperlink"/>
          </w:rPr>
          <w:t xml:space="preserve">https://doi.org/10.1038/ncomms8537</w:t>
        </w:r>
      </w:hyperlink>
    </w:p>
    <w:bookmarkEnd w:id="75"/>
    <w:bookmarkStart w:id="76"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6"/>
    <w:bookmarkStart w:id="78"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7">
        <w:r>
          <w:rPr>
            <w:rStyle w:val="Hyperlink"/>
          </w:rPr>
          <w:t xml:space="preserve">https://doi.org/10.2307/1939924</w:t>
        </w:r>
      </w:hyperlink>
    </w:p>
    <w:bookmarkEnd w:id="78"/>
    <w:bookmarkStart w:id="8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9">
        <w:r>
          <w:rPr>
            <w:rStyle w:val="Hyperlink"/>
          </w:rPr>
          <w:t xml:space="preserve">https://doi.org/10.1145/1102351.1102430</w:t>
        </w:r>
      </w:hyperlink>
    </w:p>
    <w:bookmarkEnd w:id="80"/>
    <w:bookmarkStart w:id="8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1">
        <w:r>
          <w:rPr>
            <w:rStyle w:val="Hyperlink"/>
          </w:rPr>
          <w:t xml:space="preserve">https://doi.org/10.1016/j.pecon.2021.06.005</w:t>
        </w:r>
      </w:hyperlink>
    </w:p>
    <w:bookmarkEnd w:id="82"/>
    <w:bookmarkStart w:id="8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3"/>
    <w:bookmarkStart w:id="85"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4">
        <w:r>
          <w:rPr>
            <w:rStyle w:val="Hyperlink"/>
          </w:rPr>
          <w:t xml:space="preserve">https://doi.org/10.1038/s41467-020-18321-y</w:t>
        </w:r>
      </w:hyperlink>
    </w:p>
    <w:bookmarkEnd w:id="85"/>
    <w:bookmarkStart w:id="8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6">
        <w:r>
          <w:rPr>
            <w:rStyle w:val="Hyperlink"/>
          </w:rPr>
          <w:t xml:space="preserve">https://doi.org/10.1111/ecog.02881</w:t>
        </w:r>
      </w:hyperlink>
    </w:p>
    <w:bookmarkEnd w:id="87"/>
    <w:bookmarkStart w:id="8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8">
        <w:r>
          <w:rPr>
            <w:rStyle w:val="Hyperlink"/>
          </w:rPr>
          <w:t xml:space="preserve">https://doi.org/10.5772/28441</w:t>
        </w:r>
      </w:hyperlink>
    </w:p>
    <w:bookmarkEnd w:id="89"/>
    <w:bookmarkStart w:id="9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0">
        <w:r>
          <w:rPr>
            <w:rStyle w:val="Hyperlink"/>
          </w:rPr>
          <w:t xml:space="preserve">http://queimadas.dgi.inpe.br</w:t>
        </w:r>
      </w:hyperlink>
    </w:p>
    <w:bookmarkEnd w:id="91"/>
    <w:bookmarkStart w:id="9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2">
        <w:r>
          <w:rPr>
            <w:rStyle w:val="Hyperlink"/>
          </w:rPr>
          <w:t xml:space="preserve">https://doi.org/10.5558/tfc65258-4</w:t>
        </w:r>
      </w:hyperlink>
    </w:p>
    <w:bookmarkEnd w:id="93"/>
    <w:bookmarkStart w:id="9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4">
        <w:r>
          <w:rPr>
            <w:rStyle w:val="Hyperlink"/>
          </w:rPr>
          <w:t xml:space="preserve">https://doi.org/10.2307/143141</w:t>
        </w:r>
      </w:hyperlink>
    </w:p>
    <w:bookmarkEnd w:id="95"/>
    <w:bookmarkStart w:id="9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6">
        <w:r>
          <w:rPr>
            <w:rStyle w:val="Hyperlink"/>
          </w:rPr>
          <w:t xml:space="preserve">https://doi.org/10.1016/j.jaridenv.2014.11.009</w:t>
        </w:r>
      </w:hyperlink>
    </w:p>
    <w:bookmarkEnd w:id="97"/>
    <w:bookmarkStart w:id="9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2026-10-28T00:34:09Z</dcterms:created>
  <dcterms:modified xsi:type="dcterms:W3CDTF">2026-10-28T00:34:09Z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