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 / Portada de Identificación</w:t>
      </w:r>
    </w:p>
    <w:p>
      <w:pPr>
        <w:pStyle w:val="Subtitle"/>
      </w:pPr>
      <w:r>
        <w:t xml:space="preserve">Un marco computacional reproducible para el desacoplamiento y benchmarking de ignición y propagación de incendios en el Gran Chaco (2018–2025)</w:t>
      </w:r>
    </w:p>
    <w:p>
      <w:pPr>
        <w:pStyle w:val="Date"/>
      </w:pPr>
      <w:r>
        <w:t xml:space="preserve">2026-10-27</w:t>
      </w:r>
    </w:p>
    <w:bookmarkStart w:id="11" w:name="X91b8e933fbe09d3a75c28ccb4dc2bb04727a969"/>
    <w:p>
      <w:pPr>
        <w:pStyle w:val="Heading1"/>
      </w:pPr>
      <w:r>
        <w:t xml:space="preserve">1. Información del Manuscrito / Article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Principal (Español):</w:t>
      </w:r>
      <w:r>
        <w:br/>
      </w:r>
      <w:r>
        <w:rPr>
          <w:i/>
          <w:iCs/>
        </w:rPr>
        <w:t xml:space="preserve">Un marco computacional reproducible para el desacoplamiento y benchmarking de ignición y propagación de incendios en el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Subtítulo (Español):</w:t>
      </w:r>
      <w:r>
        <w:br/>
      </w:r>
      <w:r>
        <w:rPr>
          <w:i/>
          <w:iCs/>
        </w:rPr>
        <w:t xml:space="preserve">Targets D2, inferencia con gating y fallback M2/M3, y benchmark abierto frente a Canadian FWI e INPE Risco de Fogo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 (English):</w:t>
      </w:r>
      <w:r>
        <w:br/>
      </w:r>
      <w:r>
        <w:rPr>
          <w:i/>
          <w:iCs/>
        </w:rPr>
        <w:t xml:space="preserve">A Reproducible Computational Framework for Decoupled Wildfire Ignition and Propagation Benchmarking in the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Subtitle (English):</w:t>
      </w:r>
      <w:r>
        <w:br/>
      </w:r>
      <w:r>
        <w:rPr>
          <w:i/>
          <w:iCs/>
        </w:rPr>
        <w:t xml:space="preserve">D2 Targets, M3/M2 Inference and an Open Benchmark Against Canadian FWI and INPE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Corto / Running Head:</w:t>
      </w:r>
      <w:r>
        <w:br/>
      </w:r>
      <w:r>
        <w:rPr>
          <w:i/>
          <w:iCs/>
        </w:rPr>
        <w:t xml:space="preserve">Reproducible Decoupled Wildfire Benchmarking in the Gran Chaco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Revista Objetivo / Target Journal:</w:t>
      </w:r>
      <w:r>
        <w:br/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(Elsevier, ISSN: 0098-3004)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Áreas Temáticas de la Revista:</w:t>
      </w:r>
      <w:r>
        <w:br/>
      </w:r>
      <w:r>
        <w:rPr>
          <w:i/>
          <w:iCs/>
        </w:rPr>
        <w:t xml:space="preserve">Computer Science Applications</w:t>
      </w:r>
      <w:r>
        <w:t xml:space="preserve"> </w:t>
      </w:r>
      <w:r>
        <w:t xml:space="preserve">&amp;</w:t>
      </w:r>
      <w:r>
        <w:t xml:space="preserve"> </w:t>
      </w:r>
      <w:r>
        <w:rPr>
          <w:i/>
          <w:iCs/>
        </w:rPr>
        <w:t xml:space="preserve">Earth and Planetary Sciences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Modalidad de Revisión / Peer Review Track:</w:t>
      </w:r>
      <w:r>
        <w:br/>
      </w:r>
      <w:r>
        <w:t xml:space="preserve">Revisión de un solo anonimizado (</w:t>
      </w:r>
      <w:r>
        <w:rPr>
          <w:i/>
          <w:iCs/>
        </w:rPr>
        <w:t xml:space="preserve">Single-Anonymized Peer Review</w:t>
      </w:r>
      <w:r>
        <w:t xml:space="preserve">, política de C&amp;G)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Artículo / Article Type:</w:t>
      </w:r>
      <w:r>
        <w:br/>
      </w:r>
      <w:r>
        <w:rPr>
          <w:i/>
          <w:iCs/>
        </w:rPr>
        <w:t xml:space="preserve">Research Paper</w:t>
      </w:r>
      <w:r>
        <w:t xml:space="preserve"> </w:t>
      </w:r>
      <w:r>
        <w:t xml:space="preserve">(Metodología Computacional y Algorítmica en Geociencias)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Manuscrito en HTML / Manuscript in HTML:</w:t>
      </w:r>
      <w:r>
        <w:br/>
      </w:r>
      <w:hyperlink r:id="rId9">
        <w:r>
          <w:rPr>
            <w:rStyle w:val="Hyperlink"/>
          </w:rPr>
          <w:t xml:space="preserve">Abrir el manuscrito en HTML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Material Suplementario en HTML / Supplementary Material in HTML:</w:t>
      </w:r>
      <w:r>
        <w:br/>
      </w:r>
      <w:hyperlink r:id="rId10">
        <w:r>
          <w:rPr>
            <w:rStyle w:val="Hyperlink"/>
          </w:rPr>
          <w:t xml:space="preserve">Abrir el material suplementario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3" w:name="Xfb8a93190f39b9b145f294f58bd1a7ddd9c53de"/>
    <w:p>
      <w:pPr>
        <w:pStyle w:val="Heading1"/>
      </w:pPr>
      <w:r>
        <w:t xml:space="preserve">2. Autores y Afiliaciones / Authors and Affiliations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Autor:</w:t>
      </w:r>
      <w:r>
        <w:br/>
      </w:r>
      <w:r>
        <w:rPr>
          <w:b/>
          <w:bCs/>
        </w:rPr>
        <w:t xml:space="preserve">Martín Sánchez Insfrán, MD</w:t>
      </w:r>
      <w:r>
        <w:br/>
      </w:r>
      <w:r>
        <w:rPr>
          <w:i/>
          <w:iCs/>
        </w:rPr>
        <w:t xml:space="preserve">Investigador Independiente / Médico Cirujano</w:t>
      </w:r>
      <w:r>
        <w:br/>
      </w:r>
      <w:r>
        <w:t xml:space="preserve">Asunción, Paraguay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ORCID:</w:t>
      </w:r>
      <w:r>
        <w:t xml:space="preserve"> </w:t>
      </w:r>
      <w:hyperlink r:id="rId12">
        <w:r>
          <w:rPr>
            <w:rStyle w:val="Hyperlink"/>
          </w:rPr>
          <w:t xml:space="preserve">0000-0003-4138-9668</w:t>
        </w:r>
      </w:hyperlink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Rol:</w:t>
      </w:r>
      <w:r>
        <w:t xml:space="preserve"> </w:t>
      </w:r>
      <w:r>
        <w:t xml:space="preserve">Conceptualización, diseño de arquitectura de software, ingeniería de datos espaciales, modelado predictivo, benchmarking, redacción y validación.</w:t>
      </w:r>
    </w:p>
    <w:p>
      <w:r>
        <w:pict>
          <v:rect style="width:0;height:1.5pt" o:hralign="center" o:hrstd="t" o:hr="t"/>
        </w:pict>
      </w:r>
    </w:p>
    <w:bookmarkEnd w:id="13"/>
    <w:bookmarkStart w:id="14" w:name="X8ab1327f2b895b77afb78b769bce3bafbc6d551"/>
    <w:p>
      <w:pPr>
        <w:pStyle w:val="Heading1"/>
      </w:pPr>
      <w:r>
        <w:t xml:space="preserve">3. Aspectos Destacados / Highlights (Obligatorio en Elsevier)</w:t>
      </w:r>
    </w:p>
    <w:p>
      <w:pPr>
        <w:pStyle w:val="BlockText"/>
      </w:pPr>
      <w:r>
        <w:rPr>
          <w:i/>
          <w:iCs/>
        </w:rPr>
        <w:t xml:space="preserve">Lineamientos de Computers &amp; Geosciences: 3 a 5 puntos concisos, máximo 85 caracteres cada uno (incluidos espacios).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Biophysical gating removes 21.7% of cell-days and retains 97.17% of detections.</w:t>
      </w:r>
      <w:r>
        <w:t xml:space="preserve"> </w:t>
      </w:r>
      <w:r>
        <w:t xml:space="preserve">(79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Decoupled models isolate physical ignition risk from tactical t-1 fire spread.</w:t>
      </w:r>
      <w:r>
        <w:t xml:space="preserve"> </w:t>
      </w:r>
      <w:r>
        <w:t xml:space="preserve">(78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Monotonic Platt-calibrated LightGBM beats full Canadian FWI and INPE Risco de Fogo.</w:t>
      </w:r>
      <w:r>
        <w:t xml:space="preserve"> </w:t>
      </w:r>
      <w:r>
        <w:t xml:space="preserve">(83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50-km spatial block holdout completed; M2 fallback for cells without fire history.</w:t>
      </w:r>
      <w:r>
        <w:t xml:space="preserve"> </w:t>
      </w:r>
      <w:r>
        <w:t xml:space="preserve">(82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DuckDB and Polars score 400,006 cells in 1.57 s and 2.18 GB peak RAM.</w:t>
      </w:r>
      <w:r>
        <w:t xml:space="preserve"> </w:t>
      </w:r>
      <w:r>
        <w:t xml:space="preserve">(69 chars)</w:t>
      </w:r>
    </w:p>
    <w:p>
      <w:r>
        <w:pict>
          <v:rect style="width:0;height:1.5pt" o:hralign="center" o:hrstd="t" o:hr="t"/>
        </w:pict>
      </w:r>
    </w:p>
    <w:bookmarkEnd w:id="14"/>
    <w:bookmarkStart w:id="18" w:name="resumen-gráfico-graphical-abstract"/>
    <w:p>
      <w:pPr>
        <w:pStyle w:val="Heading1"/>
      </w:pPr>
      <w:r>
        <w:t xml:space="preserve">4. Resumen Gráfico / Graphical Abstract</w:t>
      </w:r>
    </w:p>
    <w:p>
      <w:pPr>
        <w:pStyle w:val="FirstParagraph"/>
      </w:pPr>
      <w:r>
        <w:drawing>
          <wp:inline>
            <wp:extent cx="5334000" cy="211699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uras/graphical_abstrac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6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Graphical abstract.</w:t>
      </w:r>
      <w:r>
        <w:t xml:space="preserve"> </w:t>
      </w:r>
      <w:r>
        <w:t xml:space="preserve">Decoupled D2 targets, M3/M2 inference, causal t-1 propagation and a retrospective benchmark against FWI and INPE. The visual uses only current, traceable results.</w:t>
      </w:r>
    </w:p>
    <w:p>
      <w:r>
        <w:pict>
          <v:rect style="width:0;height:1.5pt" o:hralign="center" o:hrstd="t" o:hr="t"/>
        </w:pict>
      </w:r>
    </w:p>
    <w:bookmarkEnd w:id="18"/>
    <w:bookmarkStart w:id="21" w:name="resumen-abstract-keywords"/>
    <w:p>
      <w:pPr>
        <w:pStyle w:val="Heading1"/>
      </w:pPr>
      <w:r>
        <w:t xml:space="preserve">5. Resumen / Abstract &amp; Keywords</w:t>
      </w:r>
    </w:p>
    <w:bookmarkStart w:id="19" w:name="resumen-español"/>
    <w:p>
      <w:pPr>
        <w:pStyle w:val="Heading3"/>
      </w:pPr>
      <w:r>
        <w:t xml:space="preserve">Resumen (Español)</w:t>
      </w:r>
    </w:p>
    <w:p>
      <w:pPr>
        <w:pStyle w:val="FirstParagraph"/>
      </w:pPr>
      <w:r>
        <w:t xml:space="preserve">La predicción operativa de incendios con aprendizaje automático sufre a menudo fugas espaciales y una transferibilidad limitada de los índices boreales a biomas subtropicales. Presentamos un marco computacional reproducible que separa la ignición primaria de la propagación táctica y hace explícitos la construcción de objetivos, la inferencia con gating y la evaluación. D2 define la ignición como fuego en el día t sin fuego t-1 a menos de 25 km y sin fuego en la misma celda en los 10 días previos; la propagación se evalúa a menos de 25 km de un fuego t-1. Un gate biofísico elimina celdas-día no combustibles y húmedas. Un modelo híbrido LightGBM (M3) predice ignición sin insumos de fuego t-1, con M2 como fallback para celdas sin historia y M1 como baseline biofísico. En validación 2023, M3 alcanza ROC-AUC 0.7844/0.7628 (Chaco/Oriental), frente a 0.7817/0.7496 de M2 y 0.6354/0.7041 de M1. En bloques espaciales de desarrollo 2023, M2 es el más robusto (0.6773/0.7470) y M1 no supera a M2 en celdas sin historia, por lo que M1 se rechaza como fallback operativo. En el test retrospectivo 2024–2025, M3 alcanza 0.8021/0.7534 frente a 0.5173/0.5564 del FWI canadiense y 0.5389/0.4990 del INPE; la propagación alcanza 0.9039/0.7859. La precisión poblacional de ignición es solo 0.082 %/0.198 %, por lo que el sistema es una herramienta de nowcast y priorización, no un sistema de alerta autónomo. El test 2024–2025 ya fue observado y se reporta como retrospectivo, no como ciego. La contribución es un protocolo computacional y un benchmark reproducibles, no un nuevo algoritmo de boosting.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Incendios forestales; GeoAI; reproducibilidad; validación espacial; LightGBM; Gran Chaco.</w:t>
      </w:r>
    </w:p>
    <w:p>
      <w:r>
        <w:pict>
          <v:rect style="width:0;height:1.5pt" o:hralign="center" o:hrstd="t" o:hr="t"/>
        </w:pict>
      </w:r>
    </w:p>
    <w:bookmarkEnd w:id="19"/>
    <w:bookmarkStart w:id="20" w:name="abstract-english"/>
    <w:p>
      <w:pPr>
        <w:pStyle w:val="Heading3"/>
      </w:pPr>
      <w:r>
        <w:t xml:space="preserve">Abstract (English)</w:t>
      </w:r>
    </w:p>
    <w:p>
      <w:pPr>
        <w:pStyle w:val="FirstParagraph"/>
      </w:pPr>
      <w:r>
        <w:t xml:space="preserve">Wildfire machine learning often suffers from spatial leakage and from the limited transferability of boreal fire-weather indices to subtropical biomes. We present a reproducible computational framework that separates primary ignition from tactical propagation and makes target construction, gated inference and evaluation explicit. D2 defines ignition as fire at day t with no t-1 fire within 25 km and no same-cell fire in the previous 10 days; propagation is evaluated within 25 km of a t-1 fire. A biophysical gate removes non-combustible and wet cell-days. A hybrid LightGBM model (M3) predicts ignition without t-1 fire inputs, with M2 as the fallback for cells without history and M1 as a biophysical baseline. In 2023 validation, M3 reaches ROC-AUC 0.7844/0.7628 (Chaco/Oriental), versus 0.7817/0.7496 for M2 and 0.6354/0.7041 for M1. In 2023 development spatial blocks, M2 is the most robust model (0.6773/0.7470), and M1 does not outperform M2 on cells without history, so M1 is rejected as an operational fallback. On the retrospective 2024–2025 test, M3 reaches 0.8021/0.7534 versus 0.5173/0.5564 for full Canadian FWI and 0.5389/0.4990 for INPE; propagation reaches 0.9039/0.7859. Population-level ignition precision is only 0.082 %/0.198 %, so the system is a nowcast and prioritisation tool, not a stand-alone warning system. The 2024–2025 test was already observed and is reported as retrospective, not blind. The contribution is a reproducible computational protocol and benchmark, not a new boosting algorithm.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Wildfire nowcasting; GeoAI; reproducibility; spatial cross-validation; LightGBM; Gran Chaco.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Xc3df9541fd9aa2ebc242b360f3fcbbede422e9d"/>
    <w:p>
      <w:pPr>
        <w:pStyle w:val="Heading1"/>
      </w:pPr>
      <w:r>
        <w:t xml:space="preserve">6. Declaraciones Obligatorias de Elsevier / Declarations</w:t>
      </w:r>
    </w:p>
    <w:bookmarkStart w:id="25" w:name="X70f8decb7765084b7f9d2e73c83f15df9b20afc"/>
    <w:p>
      <w:pPr>
        <w:pStyle w:val="Heading3"/>
      </w:pPr>
      <w:r>
        <w:t xml:space="preserve">A. Disponibilidad del Código Computacional / Computer Code Availability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Nombre del Software: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Desarrollador / Contacto:</w:t>
      </w:r>
      <w:r>
        <w:t xml:space="preserve"> </w:t>
      </w:r>
      <w:r>
        <w:t xml:space="preserve">Martín Sánchez Insfrán (</w:t>
      </w:r>
      <w:r>
        <w:rPr>
          <w:rStyle w:val="VerbatimChar"/>
        </w:rPr>
        <w:t xml:space="preserve">sanchez.martin093@gmail.com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Año de Primera Disponibilidad:</w:t>
      </w:r>
      <w:r>
        <w:t xml:space="preserve"> </w:t>
      </w:r>
      <w: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Requerido:</w:t>
      </w:r>
      <w:r>
        <w:t xml:space="preserve"> </w:t>
      </w:r>
      <w:r>
        <w:t xml:space="preserve">Procesador multinúcleo x86_64 o ARM64 (Apple Silicon M-Series o procesador estándar Intel/AMD); mínimo 8 GB de 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Software Requerido:</w:t>
      </w:r>
      <w:r>
        <w:t xml:space="preserve"> </w:t>
      </w:r>
      <w:r>
        <w:t xml:space="preserve">Python 3.12+, DuckDB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Polars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LightGBM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, Quarto</w:t>
      </w:r>
      <w:r>
        <w:t xml:space="preserve"> </w:t>
      </w:r>
      <m:oMath>
        <m:r>
          <m:rPr>
            <m:sty m:val="p"/>
          </m:rPr>
          <m:t>≥</m:t>
        </m:r>
        <m:r>
          <m:t>1.5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Lenguaje de Programación:</w:t>
      </w:r>
      <w:r>
        <w:t xml:space="preserve"> </w:t>
      </w:r>
      <w:r>
        <w:t xml:space="preserve">Python (con extensiones vectorizadas en C++ y Rust).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Disponibilidad y Licencia:</w:t>
      </w:r>
      <w:r>
        <w:t xml:space="preserve"> </w:t>
      </w:r>
      <w:r>
        <w:t xml:space="preserve">Código abierto bajo Licencia 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Repositorio Oficial:</w:t>
      </w:r>
      <w:r>
        <w:t xml:space="preserve"> </w:t>
      </w:r>
      <w:hyperlink r:id="rId22">
        <w:r>
          <w:rPr>
            <w:rStyle w:val="Hyperlink"/>
          </w:rPr>
          <w:t xml:space="preserve">https://github.com/sanchezmartin093-code/Incendios_PY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Versión del release:</w:t>
      </w:r>
      <w:r>
        <w:t xml:space="preserve"> </w:t>
      </w:r>
      <w:r>
        <w:t xml:space="preserve">2.0.0 (2026-10-27)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conceptual del Código:</w:t>
      </w:r>
      <w:r>
        <w:t xml:space="preserve"> </w:t>
      </w:r>
      <w:hyperlink r:id="rId23">
        <w:r>
          <w:rPr>
            <w:rStyle w:val="Hyperlink"/>
          </w:rPr>
          <w:t xml:space="preserve">10.5281/zenodo.23675104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conceptual de los Datos:</w:t>
      </w:r>
      <w:r>
        <w:t xml:space="preserve"> </w:t>
      </w:r>
      <w:hyperlink r:id="rId24">
        <w:r>
          <w:rPr>
            <w:rStyle w:val="Hyperlink"/>
          </w:rPr>
          <w:t xml:space="preserve">10.5281/zenodo.23675278</w:t>
        </w:r>
      </w:hyperlink>
    </w:p>
    <w:bookmarkEnd w:id="25"/>
    <w:bookmarkStart w:id="29" w:name="X2e6a9152266b96449fe18b3a1b6306101b90c46"/>
    <w:p>
      <w:pPr>
        <w:pStyle w:val="Heading3"/>
      </w:pPr>
      <w:r>
        <w:t xml:space="preserve">B. Disponibilidad de Datos / Data Availability Statement</w:t>
      </w:r>
    </w:p>
    <w:p>
      <w:pPr>
        <w:pStyle w:val="FirstParagraph"/>
      </w:pPr>
      <w:r>
        <w:t xml:space="preserve">Todos los conjuntos de datos primarios utilizados son de acceso público internacional y gratuito: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Detecciones térmicas activas:</w:t>
      </w:r>
      <w:r>
        <w:t xml:space="preserve"> </w:t>
      </w:r>
      <w:r>
        <w:t xml:space="preserve">NASA FIRMS (sensores VIIRS Suomi-NPP, NOAA-20 y NOAA-21) disponibles en</w:t>
      </w:r>
      <w:r>
        <w:t xml:space="preserve"> </w:t>
      </w:r>
      <w:hyperlink r:id="rId26">
        <w:r>
          <w:rPr>
            <w:rStyle w:val="Hyperlink"/>
          </w:rPr>
          <w:t xml:space="preserve">firms.modaps.eosdis.nasa.gov</w:t>
        </w:r>
      </w:hyperlink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Reanálisis meteorológico:</w:t>
      </w:r>
      <w:r>
        <w:t xml:space="preserve"> </w:t>
      </w:r>
      <w:r>
        <w:t xml:space="preserve">Copernicus Climate Data Store (CDS) ERA5-Land reanalysis (</w:t>
      </w:r>
      <w:hyperlink r:id="rId27">
        <w:r>
          <w:rPr>
            <w:rStyle w:val="Hyperlink"/>
          </w:rPr>
          <w:t xml:space="preserve">cds.climate.copernicus.eu</w:t>
        </w:r>
      </w:hyperlink>
      <w:r>
        <w:t xml:space="preserve">) procesado mediante pipeline nativo ECMWF CDS API (</w:t>
      </w:r>
      <w:r>
        <w:rPr>
          <w:rStyle w:val="VerbatimChar"/>
        </w:rPr>
        <w:t xml:space="preserve">src/clima_cds.py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Cobertura vegetal y biomas:</w:t>
      </w:r>
      <w:r>
        <w:t xml:space="preserve"> </w:t>
      </w:r>
      <w:r>
        <w:t xml:space="preserve">objetivo MapBiomas Chaco y Bosque Atlántico; se usan mapas anuales de MapBiomas Colección 2 (2017–2023), unidos por año previo.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Límites cartográficos nacionales:</w:t>
      </w:r>
      <w:r>
        <w:t xml:space="preserve"> </w:t>
      </w:r>
      <w:r>
        <w:t xml:space="preserve">Marco geoBoundaries ADM0 y ADM1 (</w:t>
      </w:r>
      <w:hyperlink r:id="rId28">
        <w:r>
          <w:rPr>
            <w:rStyle w:val="Hyperlink"/>
          </w:rPr>
          <w:t xml:space="preserve">geoboundaries.org</w:t>
        </w:r>
      </w:hyperlink>
      <w:r>
        <w:t xml:space="preserve">).</w:t>
      </w:r>
      <w:r>
        <w:br/>
      </w:r>
      <w:r>
        <w:t xml:space="preserve">Los datasets consolidados y procesados no se versionan en git; se documentan con hashes en</w:t>
      </w:r>
      <w:r>
        <w:t xml:space="preserve"> </w:t>
      </w:r>
      <w:r>
        <w:rPr>
          <w:rStyle w:val="VerbatimChar"/>
        </w:rPr>
        <w:t xml:space="preserve">fuentes/MANIFIESTO_DATOS_v3.csv</w:t>
      </w:r>
      <w:r>
        <w:t xml:space="preserve"> </w:t>
      </w:r>
      <w:r>
        <w:t xml:space="preserve">y están archivados en Zenodo bajo licencia CC BY 4.0 (DOI conceptual v2.0.0:</w:t>
      </w:r>
      <w:r>
        <w:t xml:space="preserve"> </w:t>
      </w:r>
      <w:hyperlink r:id="rId24">
        <w:r>
          <w:rPr>
            <w:rStyle w:val="Hyperlink"/>
          </w:rPr>
          <w:t xml:space="preserve">10.5281/zenodo.23675278</w:t>
        </w:r>
      </w:hyperlink>
      <w:r>
        <w:t xml:space="preserve">).</w:t>
      </w:r>
    </w:p>
    <w:bookmarkEnd w:id="29"/>
    <w:bookmarkStart w:id="30" w:name="c.-financiamiento-funding"/>
    <w:p>
      <w:pPr>
        <w:pStyle w:val="Heading3"/>
      </w:pPr>
      <w:r>
        <w:t xml:space="preserve">C. Financiamiento / Funding</w:t>
      </w:r>
    </w:p>
    <w:p>
      <w:pPr>
        <w:pStyle w:val="FirstParagraph"/>
      </w:pPr>
      <w:r>
        <w:t xml:space="preserve">Esta investigación fue realizada como un desarrollo de investigación independiente y de acceso abierto autofinanciado por el autor. No se recibieron subvenciones específicas de organismos del sector público, comercial o sin fines de lucro.</w:t>
      </w:r>
    </w:p>
    <w:bookmarkEnd w:id="30"/>
    <w:bookmarkStart w:id="31" w:name="Xae657ab1a92bd8f09f57de06fc35a8d594aaeca"/>
    <w:p>
      <w:pPr>
        <w:pStyle w:val="Heading3"/>
      </w:pPr>
      <w:r>
        <w:t xml:space="preserve">D. Conflicto de Intereses / Competing Interests</w:t>
      </w:r>
    </w:p>
    <w:p>
      <w:pPr>
        <w:pStyle w:val="FirstParagraph"/>
      </w:pPr>
      <w:r>
        <w:t xml:space="preserve">El autor declara que no existen conflictos de interés financieros, institucionales ni personales que hayan podido influir en el diseño, análisis, interpretación o presentación de los resultados expuestos en este manuscrito.</w:t>
      </w:r>
    </w:p>
    <w:bookmarkEnd w:id="31"/>
    <w:bookmarkStart w:id="32" w:name="X165867c682dba5cbdd9d30e774da206830c2fdb"/>
    <w:p>
      <w:pPr>
        <w:pStyle w:val="Heading3"/>
      </w:pPr>
      <w:r>
        <w:t xml:space="preserve">E. Contribución de Autores / Author Contributions (CRediT)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Martín Sánchez Insfrán:</w:t>
      </w:r>
      <w:r>
        <w:t xml:space="preserve"> </w:t>
      </w:r>
      <w:r>
        <w:t xml:space="preserve">Conceptualización, Metodología, Software, Validación, Análisis Formal, Investigación, Recursos, Curación de Datos, Redacción - Borrador Original, Redacción - Revisión y Edición, Visualización, Supervisión y Administración del Proyecto.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27" Target="https://cds.climate.copernicus.eu/" TargetMode="External" /><Relationship Type="http://schemas.openxmlformats.org/officeDocument/2006/relationships/hyperlink" Id="rId23" Target="https://doi.org/10.5281/zenodo.23675104" TargetMode="External" /><Relationship Type="http://schemas.openxmlformats.org/officeDocument/2006/relationships/hyperlink" Id="rId24" Target="https://doi.org/10.5281/zenodo.23675278" TargetMode="External" /><Relationship Type="http://schemas.openxmlformats.org/officeDocument/2006/relationships/hyperlink" Id="rId26" Target="https://firms.modaps.eosdis.nasa.gov/" TargetMode="External" /><Relationship Type="http://schemas.openxmlformats.org/officeDocument/2006/relationships/hyperlink" Id="rId22" Target="https://github.com/sanchezmartin093-code/Incendios_PY" TargetMode="External" /><Relationship Type="http://schemas.openxmlformats.org/officeDocument/2006/relationships/hyperlink" Id="rId12" Target="https://orcid.org/0000-0003-4138-9668" TargetMode="External" /><Relationship Type="http://schemas.openxmlformats.org/officeDocument/2006/relationships/hyperlink" Id="rId28" Target="https://www.geoboundaries.org/" TargetMode="External" /><Relationship Type="http://schemas.openxmlformats.org/officeDocument/2006/relationships/hyperlink" Id="rId9" Target="manuscrito.html" TargetMode="External" /><Relationship Type="http://schemas.openxmlformats.org/officeDocument/2006/relationships/hyperlink" Id="rId10" Target="material_suplementario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cds.climate.copernicus.eu/" TargetMode="External" /><Relationship Type="http://schemas.openxmlformats.org/officeDocument/2006/relationships/hyperlink" Id="rId23" Target="https://doi.org/10.5281/zenodo.23675104" TargetMode="External" /><Relationship Type="http://schemas.openxmlformats.org/officeDocument/2006/relationships/hyperlink" Id="rId24" Target="https://doi.org/10.5281/zenodo.23675278" TargetMode="External" /><Relationship Type="http://schemas.openxmlformats.org/officeDocument/2006/relationships/hyperlink" Id="rId26" Target="https://firms.modaps.eosdis.nasa.gov/" TargetMode="External" /><Relationship Type="http://schemas.openxmlformats.org/officeDocument/2006/relationships/hyperlink" Id="rId22" Target="https://github.com/sanchezmartin093-code/Incendios_PY" TargetMode="External" /><Relationship Type="http://schemas.openxmlformats.org/officeDocument/2006/relationships/hyperlink" Id="rId12" Target="https://orcid.org/0000-0003-4138-9668" TargetMode="External" /><Relationship Type="http://schemas.openxmlformats.org/officeDocument/2006/relationships/hyperlink" Id="rId28" Target="https://www.geoboundaries.org/" TargetMode="External" /><Relationship Type="http://schemas.openxmlformats.org/officeDocument/2006/relationships/hyperlink" Id="rId9" Target="manuscrito.html" TargetMode="External" /><Relationship Type="http://schemas.openxmlformats.org/officeDocument/2006/relationships/hyperlink" Id="rId10" Target="material_suplementario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/ Portada de Identificación</dc:title>
  <dc:creator/>
  <dc:language>es</dc:language>
  <cp:keywords/>
  <dcterms:created xsi:type="dcterms:W3CDTF">2026-10-28T00:33:55Z</dcterms:created>
  <dcterms:modified xsi:type="dcterms:W3CDTF">2026-10-28T00:33:55Z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2026-10-27</vt:lpwstr>
  </property>
  <property fmtid="{D5CDD505-2E9C-101B-9397-08002B2CF9AE}" pid="4" name="date-modified">
    <vt:lpwstr>2026-10-27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Un marco computacional reproducible para el desacoplamiento y benchmarking de ignición y propagación de incendios en el Gran Chaco (2018–2025)</vt:lpwstr>
  </property>
  <property fmtid="{D5CDD505-2E9C-101B-9397-08002B2CF9AE}" pid="10" name="toc-title">
    <vt:lpwstr>Tabla de contenidos</vt:lpwstr>
  </property>
</Properties>
</file>