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34.png" ContentType="image/png"/>
  <Override PartName="/word/media/rId50.png" ContentType="image/png"/>
  <Override PartName="/word/media/rId74.png" ContentType="image/png"/>
  <Override PartName="/word/media/rId69.png" ContentType="image/png"/>
  <Override PartName="/word/media/rId57.png" ContentType="image/png"/>
  <Override PartName="/word/media/rId100.png" ContentType="image/png"/>
  <Override PartName="/word/media/rId6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Desacoplando el Peligro Biofísico de Ignición y la Propagación Táctica de Incendios Forestales en el Gran Chaco mediante GeoAI Multiescala (2018–2025)</w:t>
      </w:r>
    </w:p>
    <w:p>
      <w:pPr>
        <w:pStyle w:val="Subtitle"/>
      </w:pPr>
      <w:r>
        <w:t xml:space="preserve">Un marco computacional reproducible de dos etapas para el nowcasting diario de peligro y benchmarking internacional frente a Canadian FWI completo y INPE Risco de Fogo</w:t>
      </w:r>
    </w:p>
    <w:p>
      <w:pPr>
        <w:pStyle w:val="Date"/>
      </w:pPr>
      <w:r>
        <w:t xml:space="preserve">2026-10-24</w:t>
      </w:r>
    </w:p>
    <w:sdt>
      <w:sdtPr>
        <w:docPartObj>
          <w:docPartGallery w:val="Table of Contents"/>
          <w:docPartUnique/>
        </w:docPartObj>
      </w:sdtPr>
      <w:sdtContent>
        <w:p>
          <w:pPr>
            <w:pStyle w:val="TOCHeading"/>
          </w:pPr>
          <w:r>
            <w:t xml:space="preserve">Contenido del Manuscrito</w:t>
          </w:r>
        </w:p>
        <w:p>
          <w:r>
            <w:fldChar w:fldCharType="begin" w:dirty="true"/>
            <w:instrText xml:space="preserve">TOC \o "1-3" \h \z \u</w:instrText>
            <w:fldChar w:fldCharType="separate"/>
            <w:fldChar w:fldCharType="end"/>
          </w:r>
        </w:p>
      </w:sdtContent>
    </w:sdt>
    <w:p>
      <w:pPr>
        <w:pStyle w:val="BlockText"/>
      </w:pPr>
      <w:r>
        <w:rPr>
          <w:b/>
          <w:bCs/>
        </w:rPr>
        <w:t xml:space="preserve">Target journal:</w:t>
      </w:r>
      <w:r>
        <w:t xml:space="preserve"> </w:t>
      </w:r>
      <w:r>
        <w:rPr>
          <w:i/>
          <w:iCs/>
        </w:rPr>
        <w:t xml:space="preserve">Computers &amp; Geosciences</w:t>
      </w:r>
      <w:r>
        <w:t xml:space="preserve"> </w:t>
      </w:r>
      <w:r>
        <w:t xml:space="preserve">(Elsevier) —</w:t>
      </w:r>
      <w:r>
        <w:t xml:space="preserve"> </w:t>
      </w:r>
      <w:r>
        <w:rPr>
          <w:b/>
          <w:bCs/>
        </w:rPr>
        <w:t xml:space="preserve">Article type:</w:t>
      </w:r>
      <w:r>
        <w:t xml:space="preserve"> </w:t>
      </w:r>
      <w:r>
        <w:t xml:space="preserve">Research Article</w:t>
      </w:r>
      <w:r>
        <w:t xml:space="preserve"> </w:t>
      </w:r>
      <w:r>
        <w:rPr>
          <w:b/>
          <w:bCs/>
        </w:rPr>
        <w:t xml:space="preserve">Peer review:</w:t>
      </w:r>
      <w:r>
        <w:t xml:space="preserve"> </w:t>
      </w:r>
      <w:r>
        <w:t xml:space="preserve">single-anonymized, as specified by the journal. Author, affiliation and repository information are provided on the title page.</w:t>
      </w:r>
    </w:p>
    <w:p>
      <w:r>
        <w:pict>
          <v:rect style="width:0;height:1.5pt" o:hralign="center" o:hrstd="t" o:hr="t"/>
        </w:pict>
      </w:r>
    </w:p>
    <w:bookmarkStart w:id="9" w:name="resumen"/>
    <w:p>
      <w:pPr>
        <w:pStyle w:val="Heading1"/>
      </w:pPr>
      <w:r>
        <w:t xml:space="preserve">Resumen</w:t>
      </w:r>
    </w:p>
    <w:p>
      <w:pPr>
        <w:pStyle w:val="FirstParagraph"/>
      </w:pPr>
      <w:r>
        <w:t xml:space="preserve">La predicción operativa de incendios forestales mediante aprendizaje automático en geociencias enfrenta dos fallas metodológicas críticas: el sesgo de atajo espacial (</w:t>
      </w:r>
      <w:r>
        <w:rPr>
          <w:i/>
          <w:iCs/>
        </w:rPr>
        <w:t xml:space="preserve">spatial shortcut learning</w:t>
      </w:r>
      <w:r>
        <w:t xml:space="preserve">) derivado de la autocorrelación de las plumas térmicas, y la dificultad de los índices climáticos boreales (como el</w:t>
      </w:r>
      <w:r>
        <w:t xml:space="preserve"> </w:t>
      </w:r>
      <w:r>
        <w:rPr>
          <w:i/>
          <w:iCs/>
        </w:rPr>
        <w:t xml:space="preserve">Canadian Forest Fire Weather Index</w:t>
      </w:r>
      <w:r>
        <w:t xml:space="preserve">, FWI) para capturar la desecación de biomas subtropicales como el Gran Chaco. Presentamos</w:t>
      </w:r>
      <w:r>
        <w:t xml:space="preserve"> </w:t>
      </w:r>
      <w:r>
        <w:rPr>
          <w:rStyle w:val="VerbatimChar"/>
        </w:rPr>
        <w:t xml:space="preserve">Incendios_PY</w:t>
      </w:r>
      <w:r>
        <w:t xml:space="preserve">, una arquitectura GeoAI multiescala y desacoplada para la República del Paraguay (</w:t>
      </w:r>
      <m:oMath>
        <m:r>
          <m:t>400.006</m:t>
        </m:r>
      </m:oMath>
      <w:r>
        <w:t xml:space="preserve"> </w:t>
      </w:r>
      <w:r>
        <w:t xml:space="preserve">celdas de</w:t>
      </w:r>
      <w:r>
        <w:t xml:space="preserve"> </w:t>
      </w:r>
      <m:oMath>
        <m:r>
          <m:t>1</m:t>
        </m:r>
        <m:sSup>
          <m:e>
            <m:r>
              <m:rPr>
                <m:nor/>
                <m:sty m:val="p"/>
              </m:rPr>
              <m:t> km</m:t>
            </m:r>
          </m:e>
          <m:sup>
            <m:r>
              <m:t>2</m:t>
            </m:r>
          </m:sup>
        </m:sSup>
      </m:oMath>
      <w:r>
        <w:t xml:space="preserve">), sobre una serie de 8 años (2018–2025). El sistema aplica un gating biofísico de primera etapa (combustible,</w:t>
      </w:r>
      <w:r>
        <w:t xml:space="preserve"> </w:t>
      </w:r>
      <m:oMath>
        <m:r>
          <m:t>V</m:t>
        </m:r>
        <m:r>
          <m:t>P</m:t>
        </m:r>
        <m:r>
          <m:t>D</m:t>
        </m:r>
        <m:r>
          <m:rPr>
            <m:sty m:val="p"/>
          </m:rPr>
          <m:t>≥</m:t>
        </m:r>
        <m:r>
          <m:t>0</m:t>
        </m:r>
        <m:r>
          <m:rPr>
            <m:sty m:val="p"/>
          </m:rPr>
          <m:t>,</m:t>
        </m:r>
        <m:r>
          <m:t>8</m:t>
        </m:r>
        <m:r>
          <m:rPr>
            <m:nor/>
            <m:sty m:val="p"/>
          </m:rPr>
          <m:t> kPa</m:t>
        </m:r>
      </m:oMath>
      <w:r>
        <w:t xml:space="preserve">, lluvia de 48 h</w:t>
      </w:r>
      <w:r>
        <w:t xml:space="preserve"> </w:t>
      </w:r>
      <m:oMath>
        <m:r>
          <m:rPr>
            <m:sty m:val="p"/>
          </m:rPr>
          <m:t>&lt;</m:t>
        </m:r>
        <m:r>
          <m:t>10</m:t>
        </m:r>
        <m:r>
          <m:rPr>
            <m:nor/>
            <m:sty m:val="p"/>
          </m:rPr>
          <m:t> mm</m:t>
        </m:r>
      </m:oMath>
      <w:r>
        <w:t xml:space="preserve">) que reduce el 21,7 % de las celdas-día y retiene el 97,17 % de las detecciones térmicas. Para evitar fugas de etiqueta, los priors de susceptibilidad histórica usan un corte mensual y una ventana móvil de 3 años. El modelo de ignición híbrida</w:t>
      </w:r>
      <w:r>
        <w:t xml:space="preserve"> </w:t>
      </w:r>
      <m:oMath>
        <m:sSub>
          <m:e>
            <m:r>
              <m:rPr>
                <m:scr m:val="script"/>
                <m:sty m:val="p"/>
              </m:rPr>
              <m:t>M</m:t>
            </m:r>
          </m:e>
          <m:sub>
            <m:r>
              <m:t>3</m:t>
            </m:r>
          </m:sub>
        </m:sSub>
      </m:oMath>
      <w:r>
        <w:t xml:space="preserve"> </w:t>
      </w:r>
      <w:r>
        <w:t xml:space="preserve">combina clima ERA5-Land, MapBiomas real (</w:t>
      </w:r>
      <w:r>
        <w:rPr>
          <w:rStyle w:val="VerbatimChar"/>
        </w:rPr>
        <w:t xml:space="preserve">collection2_2023</w:t>
      </w:r>
      <w:r>
        <w:t xml:space="preserve">), ecotono, corredores antrópicos y priors causales; la propagación táctica usa un kernel causal</w:t>
      </w:r>
      <w:r>
        <w:t xml:space="preserve"> </w:t>
      </w:r>
      <m:oMath>
        <m:r>
          <m:t>t</m:t>
        </m:r>
        <m:r>
          <m:rPr>
            <m:sty m:val="p"/>
          </m:rPr>
          <m:t>−</m:t>
        </m:r>
        <m:r>
          <m:t>1</m:t>
        </m:r>
      </m:oMath>
      <w:r>
        <w:t xml:space="preserve"> </w:t>
      </w:r>
      <w:r>
        <w:t xml:space="preserve">con FRP de VIIRS. La evaluación sigue una definición D2: ignición primaria sin fuego t-1 en 25 km ni fuego en la celda en los últimos 10 días, y propagación dentro de 25 km de un fuego t-1. El test D2 incluye</w:t>
      </w:r>
      <w:r>
        <w:t xml:space="preserve"> </w:t>
      </w:r>
      <m:oMath>
        <m:r>
          <m:t>N</m:t>
        </m:r>
        <m:r>
          <m:rPr>
            <m:sty m:val="p"/>
          </m:rPr>
          <m:t>=</m:t>
        </m:r>
        <m:r>
          <m:t>1.813</m:t>
        </m:r>
        <m:r>
          <m:t>.966</m:t>
        </m:r>
      </m:oMath>
      <w:r>
        <w:t xml:space="preserve"> </w:t>
      </w:r>
      <w:r>
        <w:t xml:space="preserve">celdas-día (376.552 ignición y 1.437.414 propagación) en 2024–2025. En test,</w:t>
      </w:r>
      <w:r>
        <w:t xml:space="preserve"> </w:t>
      </w:r>
      <m:oMath>
        <m:sSub>
          <m:e>
            <m:r>
              <m:rPr>
                <m:scr m:val="script"/>
                <m:sty m:val="p"/>
              </m:rPr>
              <m:t>M</m:t>
            </m:r>
          </m:e>
          <m:sub>
            <m:r>
              <m:t>3</m:t>
            </m:r>
          </m:sub>
        </m:sSub>
      </m:oMath>
      <w:r>
        <w:t xml:space="preserve"> </w:t>
      </w:r>
      <w:r>
        <w:t xml:space="preserve">obtiene ROC-AUC 0,7851 (Chaco) y 0,7485 (Oriental), frente a 0,5185/0,5569 del FWI completo y 0,5386/0,4994 del INPE Risco de Fogo; la propagación alcanza 0,8989/0,7799. La precisión case-control en el corte</w:t>
      </w:r>
      <w:r>
        <w:t xml:space="preserve"> </w:t>
      </w:r>
      <m:oMath>
        <m:sSub>
          <m:e>
            <m:r>
              <m:t>F</m:t>
            </m:r>
          </m:e>
          <m:sub>
            <m:r>
              <m:t>0.5</m:t>
            </m:r>
          </m:sub>
        </m:sSub>
      </m:oMath>
      <w:r>
        <w:t xml:space="preserve"> </w:t>
      </w:r>
      <w:r>
        <w:t xml:space="preserve">es 27,54 %/29,67 % para ignición y 84,94 %/62,42 % para propagación; al corregir por prevalencia poblacional (~0,015 %/0,041 %), la precisión operativa cae a 0,062 %/0,206 % y 9,96 %/4,49 %, respectivamente. En un holdout espacial por bloques de 50 km, M3 cae a ROC-AUC 0,6243/0,5754, mientras que M1 obtiene 0,6338/0,6176: la ventaja híbrida es temporal y específica de celdas con historia de fuego; para celdas nuevas la alerta usa M1 como fallback. Con clima de t-1, M3 conserva ROC-AUC 0,7841/0,7465. En cost-loss, M3 no supera claramente a M2 en ignición; la capa de propagación sí muestra valor operativo para</w:t>
      </w:r>
      <w:r>
        <w:t xml:space="preserve"> </w:t>
      </w:r>
      <m:oMath>
        <m:r>
          <m:t>α</m:t>
        </m:r>
        <m:r>
          <m:rPr>
            <m:sty m:val="p"/>
          </m:rPr>
          <m:t>≈</m:t>
        </m:r>
        <m:r>
          <m:t>0</m:t>
        </m:r>
        <m:r>
          <m:rPr>
            <m:sty m:val="p"/>
          </m:rPr>
          <m:t>,</m:t>
        </m:r>
        <m:r>
          <m:t>002</m:t>
        </m:r>
      </m:oMath>
      <w:r>
        <w:t xml:space="preserve">. El pipeline se midió en ~1,569 s y ~2,18 GB de RAM pico en ARM64. Es un nowcast/hindcast: las features climáticas son del mismo día. La cobertura conformal empírica fue 89,85 %/90,19 % para nominal 90 % y 95,02 %/94,56 % para 95 %, sin garantía formal bajo cambio temporal.</w:t>
      </w:r>
    </w:p>
    <w:p>
      <w:pPr>
        <w:pStyle w:val="BodyText"/>
      </w:pPr>
      <w:r>
        <w:rPr>
          <w:b/>
          <w:bCs/>
        </w:rPr>
        <w:t xml:space="preserve">Palabras clave:</w:t>
      </w:r>
      <w:r>
        <w:t xml:space="preserve"> </w:t>
      </w:r>
      <w:r>
        <w:t xml:space="preserve">Incendios forestales; GeoAI; Gran Chaco; LightGBM; Reanálisis ERA5; NASA FIRMS; Desacoplamiento biofísico; Autocorrelación espacial; Benchmarking internacional.</w:t>
      </w:r>
    </w:p>
    <w:p>
      <w:r>
        <w:pict>
          <v:rect style="width:0;height:1.5pt" o:hralign="center" o:hrstd="t" o:hr="t"/>
        </w:pict>
      </w:r>
    </w:p>
    <w:bookmarkEnd w:id="9"/>
    <w:bookmarkStart w:id="10" w:name="abstract"/>
    <w:p>
      <w:pPr>
        <w:pStyle w:val="Heading1"/>
      </w:pPr>
      <w:r>
        <w:t xml:space="preserve">Abstract</w:t>
      </w:r>
    </w:p>
    <w:p>
      <w:pPr>
        <w:pStyle w:val="FirstParagraph"/>
      </w:pPr>
      <w:r>
        <w:t xml:space="preserve">Operational wildfire forecasting via machine learning in geosciences faces two critical methodological issues: spatial shortcut learning from thermal-plume autocorrelation, and the limited transferability of boreal fire-weather indices (such as the Canadian FWI) to moisture-limited subtropical biomes like the Gran Chaco. We present</w:t>
      </w:r>
      <w:r>
        <w:t xml:space="preserve"> </w:t>
      </w:r>
      <w:r>
        <w:rPr>
          <w:rStyle w:val="VerbatimChar"/>
        </w:rPr>
        <w:t xml:space="preserve">Incendios_PY</w:t>
      </w:r>
      <w:r>
        <w:t xml:space="preserve">, a decoupled multiscale GeoAI framework for Paraguay (</w:t>
      </w:r>
      <m:oMath>
        <m:r>
          <m:t>400</m:t>
        </m:r>
        <m:r>
          <m:rPr>
            <m:sty m:val="p"/>
          </m:rPr>
          <m:t>,</m:t>
        </m:r>
        <m:r>
          <m:t>006</m:t>
        </m:r>
      </m:oMath>
      <w:r>
        <w:t xml:space="preserve"> </w:t>
      </w:r>
      <m:oMath>
        <m:r>
          <m:t>1</m:t>
        </m:r>
        <m:sSup>
          <m:e>
            <m:r>
              <m:rPr>
                <m:nor/>
                <m:sty m:val="p"/>
              </m:rPr>
              <m:t>-km</m:t>
            </m:r>
          </m:e>
          <m:sup>
            <m:r>
              <m:t>2</m:t>
            </m:r>
          </m:sup>
        </m:sSup>
      </m:oMath>
      <w:r>
        <w:t xml:space="preserve"> </w:t>
      </w:r>
      <w:r>
        <w:t xml:space="preserve">cells) over an 8-year record (2018–2025). A first-stage biophysical gating (fuel,</w:t>
      </w:r>
      <w:r>
        <w:t xml:space="preserve"> </w:t>
      </w:r>
      <m:oMath>
        <m:r>
          <m:t>V</m:t>
        </m:r>
        <m:r>
          <m:t>P</m:t>
        </m:r>
        <m:r>
          <m:t>D</m:t>
        </m:r>
        <m:r>
          <m:rPr>
            <m:sty m:val="p"/>
          </m:rPr>
          <m:t>≥</m:t>
        </m:r>
        <m:r>
          <m:t>0.8</m:t>
        </m:r>
        <m:r>
          <m:rPr>
            <m:nor/>
            <m:sty m:val="p"/>
          </m:rPr>
          <m:t> kPa</m:t>
        </m:r>
      </m:oMath>
      <w:r>
        <w:t xml:space="preserve">, 48-h rainfall</w:t>
      </w:r>
      <w:r>
        <w:t xml:space="preserve"> </w:t>
      </w:r>
      <m:oMath>
        <m:r>
          <m:rPr>
            <m:sty m:val="p"/>
          </m:rPr>
          <m:t>&lt;</m:t>
        </m:r>
        <m:r>
          <m:t>10</m:t>
        </m:r>
        <m:r>
          <m:rPr>
            <m:nor/>
            <m:sty m:val="p"/>
          </m:rPr>
          <m:t> mm</m:t>
        </m:r>
      </m:oMath>
      <w:r>
        <w:t xml:space="preserve">) removes 21.7 % of cell-days while retaining 97.17 % of thermal detections. Historical-susceptibility priors use a monthly cutoff and a rolling 3-year window. The hybrid ignition model</w:t>
      </w:r>
      <w:r>
        <w:t xml:space="preserve"> </w:t>
      </w:r>
      <m:oMath>
        <m:sSub>
          <m:e>
            <m:r>
              <m:rPr>
                <m:scr m:val="script"/>
                <m:sty m:val="p"/>
              </m:rPr>
              <m:t>M</m:t>
            </m:r>
          </m:e>
          <m:sub>
            <m:r>
              <m:t>3</m:t>
            </m:r>
          </m:sub>
        </m:sSub>
      </m:oMath>
      <w:r>
        <w:t xml:space="preserve"> </w:t>
      </w:r>
      <w:r>
        <w:t xml:space="preserve">combines ERA5-Land weather, real MapBiomas (</w:t>
      </w:r>
      <w:r>
        <w:rPr>
          <w:rStyle w:val="VerbatimChar"/>
        </w:rPr>
        <w:t xml:space="preserve">collection2_2023</w:t>
      </w:r>
      <w:r>
        <w:t xml:space="preserve">), ecotone, anthropogenic corridors and causal priors; tactical propagation uses a causal</w:t>
      </w:r>
      <w:r>
        <w:t xml:space="preserve"> </w:t>
      </w:r>
      <m:oMath>
        <m:r>
          <m:t>t</m:t>
        </m:r>
        <m:r>
          <m:rPr>
            <m:sty m:val="p"/>
          </m:rPr>
          <m:t>−</m:t>
        </m:r>
        <m:r>
          <m:t>1</m:t>
        </m:r>
      </m:oMath>
      <w:r>
        <w:t xml:space="preserve"> </w:t>
      </w:r>
      <w:r>
        <w:t xml:space="preserve">kernel with VIIRS FRP. Evaluation follows a D2 definition: primary ignition with no t-1 fire within 25 km and no same-cell fire in the previous 10 days, and propagation within 25 km of a t-1 fire. The D2 test contains</w:t>
      </w:r>
      <w:r>
        <w:t xml:space="preserve"> </w:t>
      </w:r>
      <m:oMath>
        <m:r>
          <m:t>N</m:t>
        </m:r>
        <m:r>
          <m:rPr>
            <m:sty m:val="p"/>
          </m:rPr>
          <m:t>=</m:t>
        </m:r>
        <m:r>
          <m:t>1</m:t>
        </m:r>
        <m:r>
          <m:rPr>
            <m:sty m:val="p"/>
          </m:rPr>
          <m:t>,</m:t>
        </m:r>
        <m:r>
          <m:t>813</m:t>
        </m:r>
        <m:r>
          <m:rPr>
            <m:sty m:val="p"/>
          </m:rPr>
          <m:t>,</m:t>
        </m:r>
        <m:r>
          <m:t>966</m:t>
        </m:r>
      </m:oMath>
      <w:r>
        <w:t xml:space="preserve"> </w:t>
      </w:r>
      <w:r>
        <w:t xml:space="preserve">cell-days (376,552 ignition and 1,437,414 propagation) for 2024–2025. On test,</w:t>
      </w:r>
      <w:r>
        <w:t xml:space="preserve"> </w:t>
      </w:r>
      <m:oMath>
        <m:sSub>
          <m:e>
            <m:r>
              <m:rPr>
                <m:scr m:val="script"/>
                <m:sty m:val="p"/>
              </m:rPr>
              <m:t>M</m:t>
            </m:r>
          </m:e>
          <m:sub>
            <m:r>
              <m:t>3</m:t>
            </m:r>
          </m:sub>
        </m:sSub>
      </m:oMath>
      <w:r>
        <w:t xml:space="preserve"> </w:t>
      </w:r>
      <w:r>
        <w:t xml:space="preserve">achieves ROC-AUC 0.7851 (Chaco) and 0.7485 (Oriental), versus 0.5185/0.5569 for full FWI and 0.5386/0.4994 for INPE; propagation reaches 0.8989/0.7799. Case-control</w:t>
      </w:r>
      <w:r>
        <w:t xml:space="preserve"> </w:t>
      </w:r>
      <m:oMath>
        <m:sSub>
          <m:e>
            <m:r>
              <m:t>F</m:t>
            </m:r>
          </m:e>
          <m:sub>
            <m:r>
              <m:t>0.5</m:t>
            </m:r>
          </m:sub>
        </m:sSub>
      </m:oMath>
      <w:r>
        <w:t xml:space="preserve"> </w:t>
      </w:r>
      <w:r>
        <w:t xml:space="preserve">precision is 27.54 %/29.67 % for ignition and 84.94 %/62.42 % for propagation; after correction to population prevalence (~0.015 %/0.041 %), operational precision drops to 0.062 %/0.206 % and 9.96 %/4.49 %, respectively. In a 50-km spatial block holdout, M3 drops to ROC-AUC 0.6243/0.5754, whereas M1 reaches 0.6338/0.6176: the hybrid advantage is temporal and specific to cells with fire history; the alert uses M1 as a fallback for new cells. With t-1 weather, M3 retains ROC-AUC 0.7841/0.7465. In cost-loss terms, M3 does not clearly outperform M2 for ignition; propagation shows operational value near</w:t>
      </w:r>
      <w:r>
        <w:t xml:space="preserve"> </w:t>
      </w:r>
      <m:oMath>
        <m:r>
          <m:t>α</m:t>
        </m:r>
        <m:r>
          <m:rPr>
            <m:sty m:val="p"/>
          </m:rPr>
          <m:t>≈</m:t>
        </m:r>
        <m:r>
          <m:t>0.002</m:t>
        </m:r>
      </m:oMath>
      <w:r>
        <w:t xml:space="preserve">. The pipeline measured ~1.569 s and ~2.18 GB peak RAM on ARM64. It is a nowcast/hindcast: weather features are same-day. Empirical conformal coverage was 89.85 %/90.19 % for nominal 90 % and 95.02 %/94.56 % for 95 %, without a formal guarantee under temporal shift.</w:t>
      </w:r>
    </w:p>
    <w:p>
      <w:pPr>
        <w:pStyle w:val="BodyText"/>
      </w:pPr>
      <w:r>
        <w:rPr>
          <w:b/>
          <w:bCs/>
        </w:rPr>
        <w:t xml:space="preserve">Keywords:</w:t>
      </w:r>
      <w:r>
        <w:t xml:space="preserve"> </w:t>
      </w:r>
      <w:r>
        <w:t xml:space="preserve">Wildfire hazard nowcasting; GeoAI; Gran Chaco; LightGBM; ERA5 reanalysis; NASA FIRMS; Biophysical decoupling; Spatial autocorrelation; International benchmarking.</w:t>
      </w:r>
    </w:p>
    <w:p>
      <w:r>
        <w:pict>
          <v:rect style="width:0;height:1.5pt" o:hralign="center" o:hrstd="t" o:hr="t"/>
        </w:pict>
      </w:r>
    </w:p>
    <w:bookmarkEnd w:id="10"/>
    <w:bookmarkStart w:id="11" w:name="introducción"/>
    <w:p>
      <w:pPr>
        <w:pStyle w:val="Heading1"/>
      </w:pPr>
      <w:r>
        <w:t xml:space="preserve">1. 1. Introducción</w:t>
      </w:r>
    </w:p>
    <w:p>
      <w:pPr>
        <w:pStyle w:val="FirstParagraph"/>
      </w:pPr>
      <w:r>
        <w:t xml:space="preserve">Los incendios de vegetación en el Cono Sur de América del Sur representan una de las principales amenazas para la conservación biológica, la estabilidad climática regional y la salud pública</w:t>
      </w:r>
      <w:r>
        <w:t xml:space="preserve"> </w:t>
      </w:r>
      <w:r>
        <w:t xml:space="preserve">(Baumann et al., 2017; Flannigan et al., 2009; Jolly et al., 2015)</w:t>
      </w:r>
      <w:r>
        <w:t xml:space="preserve">. La región del</w:t>
      </w:r>
      <w:r>
        <w:t xml:space="preserve"> </w:t>
      </w:r>
      <w:r>
        <w:rPr>
          <w:b/>
          <w:bCs/>
        </w:rPr>
        <w:t xml:space="preserve">Gran Chaco Americano</w:t>
      </w:r>
      <w:r>
        <w:t xml:space="preserve"> </w:t>
      </w:r>
      <w:r>
        <w:t xml:space="preserve">—el segundo bioma boscoso más extenso del continente tras la Amazonía— experimenta transformaciones de cobertura y cambio de uso de suelo aceleradas por la frontera agropecuaria</w:t>
      </w:r>
      <w:r>
        <w:t xml:space="preserve"> </w:t>
      </w:r>
      <w:r>
        <w:t xml:space="preserve">(Alvarado et al., 2018; Vallejos et al., 2015)</w:t>
      </w:r>
      <w:r>
        <w:t xml:space="preserve">. En este mosaico ecológico, las prácticas tradicionales de desmonte y quema de pasturas, combinadas con sequías sinópticas recurrentes y temperaturas extremas (</w:t>
      </w:r>
      <m:oMath>
        <m:r>
          <m:rPr>
            <m:sty m:val="p"/>
          </m:rPr>
          <m:t>&gt;</m:t>
        </m:r>
        <m:sSup>
          <m:e>
            <m:r>
              <m:t>42</m:t>
            </m:r>
          </m:e>
          <m:sup>
            <m:r>
              <m:rPr>
                <m:sty m:val="p"/>
              </m:rPr>
              <m:t>∘</m:t>
            </m:r>
          </m:sup>
        </m:sSup>
        <m:r>
          <m:rPr>
            <m:nor/>
            <m:sty m:val="p"/>
          </m:rPr>
          <m:t>C</m:t>
        </m:r>
      </m:oMath>
      <w:r>
        <w:t xml:space="preserve">), desatan conflagraciones de escala catastrófica similares a las registradas en biomas vecinos del Pantanal y Cerrado</w:t>
      </w:r>
      <w:r>
        <w:t xml:space="preserve"> </w:t>
      </w:r>
      <w:r>
        <w:t xml:space="preserve">(Pivello et al., 2021)</w:t>
      </w:r>
      <w:r>
        <w:t xml:space="preserve">, con temporadas críticas sin precedentes en 2019, 2020 y 2024.</w:t>
      </w:r>
    </w:p>
    <w:p>
      <w:pPr>
        <w:pStyle w:val="BodyText"/>
      </w:pPr>
      <w:r>
        <w:t xml:space="preserve">A nivel internacional, la estimación del peligro y propagación de incendios se ha sustentado históricamente en dos vertientes: los modelos mecanicistas basados en balances térmicos y dinámica de fluidos de combustibles vegetales</w:t>
      </w:r>
      <w:r>
        <w:t xml:space="preserve"> </w:t>
      </w:r>
      <w:r>
        <w:t xml:space="preserve">(Andrews, 2014; Rothermel, 1972)</w:t>
      </w:r>
      <w:r>
        <w:t xml:space="preserve">, y los sistemas empíricos semi-mecanicistas de peligro meteorológico. Entre estos últimos, el sistema canadiense</w:t>
      </w:r>
      <w:r>
        <w:t xml:space="preserve"> </w:t>
      </w:r>
      <w:r>
        <w:rPr>
          <w:i/>
          <w:iCs/>
        </w:rPr>
        <w:t xml:space="preserve">Forest Fire Weather Index</w:t>
      </w:r>
      <w:r>
        <w:t xml:space="preserve"> </w:t>
      </w:r>
      <w:r>
        <w:t xml:space="preserve">(FWI)</w:t>
      </w:r>
      <w:r>
        <w:t xml:space="preserve"> </w:t>
      </w:r>
      <w:r>
        <w:t xml:space="preserve">(Stocks et al., 1989; Van Wagner, 1987)</w:t>
      </w:r>
      <w:r>
        <w:t xml:space="preserve"> </w:t>
      </w:r>
      <w:r>
        <w:t xml:space="preserve">constituye el estándar adoptado por el sistema europeo EFFIS (</w:t>
      </w:r>
      <w:r>
        <w:rPr>
          <w:i/>
          <w:iCs/>
        </w:rPr>
        <w:t xml:space="preserve">European Forest Fire Information System</w:t>
      </w:r>
      <w:r>
        <w:t xml:space="preserve">) y por la plataforma global GWIS</w:t>
      </w:r>
      <w:r>
        <w:t xml:space="preserve"> </w:t>
      </w:r>
      <w:r>
        <w:t xml:space="preserve">(San-Miguel-Ayanz et al., 2012)</w:t>
      </w:r>
      <w:r>
        <w:t xml:space="preserve">. Con la consolidación de la teledetección satelital de incendios activos —iniciada por MODIS</w:t>
      </w:r>
      <w:r>
        <w:t xml:space="preserve"> </w:t>
      </w:r>
      <w:r>
        <w:t xml:space="preserve">(Giglio et al., 2016; Justice et al., 2002)</w:t>
      </w:r>
      <w:r>
        <w:t xml:space="preserve"> </w:t>
      </w:r>
      <w:r>
        <w:t xml:space="preserve">y continuada por VIIRS</w:t>
      </w:r>
      <w:r>
        <w:t xml:space="preserve"> </w:t>
      </w:r>
      <w:r>
        <w:t xml:space="preserve">(Schroeder et al., 2014)</w:t>
      </w:r>
      <w:r>
        <w:t xml:space="preserve"> </w:t>
      </w:r>
      <w:r>
        <w:t xml:space="preserve">junto con productos multidecenales de área quemada</w:t>
      </w:r>
      <w:r>
        <w:t xml:space="preserve"> </w:t>
      </w:r>
      <w:r>
        <w:t xml:space="preserve">(Artés et al., 2019; Chuvieco et al., 2019; Roy et al., 2008)</w:t>
      </w:r>
      <w:r>
        <w:t xml:space="preserve">—, en Sudamérica el</w:t>
      </w:r>
      <w:r>
        <w:t xml:space="preserve"> </w:t>
      </w:r>
      <w:r>
        <w:rPr>
          <w:i/>
          <w:iCs/>
        </w:rPr>
        <w:t xml:space="preserve">Instituto Nacional de Pesquisas Espaciais</w:t>
      </w:r>
      <w:r>
        <w:t xml:space="preserve"> </w:t>
      </w:r>
      <w:r>
        <w:t xml:space="preserve">(INPE) de Brasil desarrolló el índice</w:t>
      </w:r>
      <w:r>
        <w:t xml:space="preserve"> </w:t>
      </w:r>
      <w:r>
        <w:rPr>
          <w:i/>
          <w:iCs/>
        </w:rPr>
        <w:t xml:space="preserve">Risco de Fogo</w:t>
      </w:r>
      <w:r>
        <w:t xml:space="preserve"> </w:t>
      </w:r>
      <w:r>
        <w:t xml:space="preserve">(Setzer et al., 2019)</w:t>
      </w:r>
      <w:r>
        <w:t xml:space="preserve">, ampliamente empleado por los organismos ambientales de Paraguay (MADES e INFONA). No obstante, estos índices canónicos fueron formulados para bosques templados de coníferas o sabanas tropicales abiertas, mostrando serias inconsistencias de calibración al extrapolarse a biomas xerofíticos bajo déficit hídrico extremo como el Chaco Seco.</w:t>
      </w:r>
    </w:p>
    <w:p>
      <w:pPr>
        <w:pStyle w:val="BodyText"/>
      </w:pPr>
      <w:r>
        <w:t xml:space="preserve">El auge de la inteligencia artificial geoespacial (</w:t>
      </w:r>
      <w:r>
        <w:rPr>
          <w:i/>
          <w:iCs/>
        </w:rPr>
        <w:t xml:space="preserve">GeoAI</w:t>
      </w:r>
      <w:r>
        <w:t xml:space="preserve">) y el aprendizaje automático (</w:t>
      </w:r>
      <w:r>
        <w:rPr>
          <w:i/>
          <w:iCs/>
        </w:rPr>
        <w:t xml:space="preserve">Machine Learning</w:t>
      </w:r>
      <w:r>
        <w:t xml:space="preserve">) ha propiciado una amplia gama de algoritmos de detección temprana y modelado predictivo de ignición</w:t>
      </w:r>
      <w:r>
        <w:t xml:space="preserve"> </w:t>
      </w:r>
      <w:r>
        <w:t xml:space="preserve">(Barmpoutis et al., 2020; Jain et al., 2020)</w:t>
      </w:r>
      <w:r>
        <w:t xml:space="preserve">, predominantemente mediante ensambles de árboles de decisión como XGBoost</w:t>
      </w:r>
      <w:r>
        <w:t xml:space="preserve"> </w:t>
      </w:r>
      <w:r>
        <w:t xml:space="preserve">(Chen &amp; Guestrin, 2016)</w:t>
      </w:r>
      <w:r>
        <w:t xml:space="preserve">, LightGBM</w:t>
      </w:r>
      <w:r>
        <w:t xml:space="preserve"> </w:t>
      </w:r>
      <w:r>
        <w:t xml:space="preserve">(Ke et al., 2017)</w:t>
      </w:r>
      <w:r>
        <w:t xml:space="preserve"> </w:t>
      </w:r>
      <w:r>
        <w:t xml:space="preserve">y CatBoost</w:t>
      </w:r>
      <w:r>
        <w:t xml:space="preserve"> </w:t>
      </w:r>
      <w:r>
        <w:t xml:space="preserve">(Prokhorenkova et al., 2018)</w:t>
      </w:r>
      <w:r>
        <w:t xml:space="preserve">, así como clasificadores biofísicos</w:t>
      </w:r>
      <w:r>
        <w:t xml:space="preserve"> </w:t>
      </w:r>
      <w:r>
        <w:t xml:space="preserve">(Coffield et al., 2019; Rodrigues &amp; Riva, 2014; Sayad et al., 2019)</w:t>
      </w:r>
      <w:r>
        <w:t xml:space="preserve">. Sin embargo, la integración acrítica de estos métodos en geociencias enfrenta dos patologías metodológicas persistentes:</w:t>
      </w:r>
    </w:p>
    <w:p>
      <w:pPr>
        <w:pStyle w:val="Compact"/>
        <w:numPr>
          <w:ilvl w:val="0"/>
          <w:numId w:val="1001"/>
        </w:numPr>
      </w:pPr>
      <w:r>
        <w:rPr>
          <w:b/>
          <w:bCs/>
        </w:rPr>
        <w:t xml:space="preserve">La trampa del atajo espacial (</w:t>
      </w:r>
      <w:r>
        <w:rPr>
          <w:b/>
          <w:bCs/>
          <w:i/>
          <w:iCs/>
        </w:rPr>
        <w:t xml:space="preserve">Spatial Shortcut Learning</w:t>
      </w:r>
      <w:r>
        <w:rPr>
          <w:b/>
          <w:bCs/>
        </w:rPr>
        <w:t xml:space="preserve">) y la violación de independencia:</w:t>
      </w:r>
      <w:r>
        <w:br/>
      </w:r>
      <w:r>
        <w:t xml:space="preserve">Cuando un modelo de machine learning incluye covariables espaciales autorregresivas contiguas (distancia al fuego de la jornada anterior, densidad de focos térmicos adyacentes) sin aislar el mecanismo causante, el algoritmo sucumbe a un atajo espurio: aprende que</w:t>
      </w:r>
      <w:r>
        <w:t xml:space="preserve"> </w:t>
      </w:r>
      <w:r>
        <w:rPr>
          <w:i/>
          <w:iCs/>
        </w:rPr>
        <w:t xml:space="preserve">“si hay fuego al lado, hoy continuará el fuego”</w:t>
      </w:r>
      <w:r>
        <w:t xml:space="preserve">. Aunque esta correlación infla artificialmente las métricas de prueba estándar (ROC-AUC</w:t>
      </w:r>
      <w:r>
        <w:t xml:space="preserve"> </w:t>
      </w:r>
      <m:oMath>
        <m:r>
          <m:rPr>
            <m:sty m:val="p"/>
          </m:rPr>
          <m:t>&gt;</m:t>
        </m:r>
        <m:r>
          <m:t>0</m:t>
        </m:r>
        <m:r>
          <m:rPr>
            <m:sty m:val="p"/>
          </m:rPr>
          <m:t>,</m:t>
        </m:r>
        <m:r>
          <m:t>95</m:t>
        </m:r>
      </m:oMath>
      <w:r>
        <w:t xml:space="preserve">), el modelo se vuelve impotente para predecir</w:t>
      </w:r>
      <w:r>
        <w:t xml:space="preserve"> </w:t>
      </w:r>
      <w:r>
        <w:rPr>
          <w:b/>
          <w:bCs/>
        </w:rPr>
        <w:t xml:space="preserve">igniciones primarias espontáneas o antrópicas nuevas</w:t>
      </w:r>
      <w:r>
        <w:t xml:space="preserve"> </w:t>
      </w:r>
      <w:r>
        <w:t xml:space="preserve">en áreas bajo estrés hídrico extremo donde ayer no existía combustión</w:t>
      </w:r>
      <w:r>
        <w:t xml:space="preserve"> </w:t>
      </w:r>
      <w:r>
        <w:t xml:space="preserve">(Ploton et al., 2020; Roberts et al., 2017)</w:t>
      </w:r>
      <w:r>
        <w:t xml:space="preserve">. Esta patología ignora los principios de la primera ley de la geografía</w:t>
      </w:r>
      <w:r>
        <w:t xml:space="preserve"> </w:t>
      </w:r>
      <w:r>
        <w:t xml:space="preserve">(Tobler, 1970)</w:t>
      </w:r>
      <w:r>
        <w:t xml:space="preserve"> </w:t>
      </w:r>
      <w:r>
        <w:t xml:space="preserve">y los desafíos bien documentados de la autocorrelación espacial en modelado ecológico</w:t>
      </w:r>
      <w:r>
        <w:t xml:space="preserve"> </w:t>
      </w:r>
      <w:r>
        <w:t xml:space="preserve">(Dormann et al., 2007; Legendre, 1993; Meyer &amp; Pebesma, 2021)</w:t>
      </w:r>
      <w:r>
        <w:t xml:space="preserve">.</w:t>
      </w:r>
    </w:p>
    <w:p>
      <w:pPr>
        <w:pStyle w:val="Compact"/>
        <w:numPr>
          <w:ilvl w:val="0"/>
          <w:numId w:val="1001"/>
        </w:numPr>
      </w:pPr>
      <w:r>
        <w:rPr>
          <w:b/>
          <w:bCs/>
        </w:rPr>
        <w:t xml:space="preserve">La disociación entre conocimiento físico y modelos de caja negra:</w:t>
      </w:r>
      <w:r>
        <w:br/>
      </w:r>
      <w:r>
        <w:t xml:space="preserve">Frecuentemente los modelos predictivos puramente estadísticos omiten restricciones cinemáticas elementales (e.g., combustión imposible bajo lluvia torrencial o ausencia total de biomasa combustible), lo que ha motivado el paradigma emergente de aprendizaje automático informado por la física (</w:t>
      </w:r>
      <w:r>
        <w:rPr>
          <w:i/>
          <w:iCs/>
        </w:rPr>
        <w:t xml:space="preserve">Physics-Informed Machine Learning</w:t>
      </w:r>
      <w:r>
        <w:t xml:space="preserve">, PIML) en ciencias de la Tierra</w:t>
      </w:r>
      <w:r>
        <w:t xml:space="preserve"> </w:t>
      </w:r>
      <w:r>
        <w:t xml:space="preserve">(Reichstein et al., 2019; Willard et al., 2022)</w:t>
      </w:r>
      <w:r>
        <w:t xml:space="preserve">.</w:t>
      </w:r>
    </w:p>
    <w:p>
      <w:pPr>
        <w:pStyle w:val="Compact"/>
        <w:numPr>
          <w:ilvl w:val="0"/>
          <w:numId w:val="1001"/>
        </w:numPr>
      </w:pPr>
      <w:r>
        <w:rPr>
          <w:b/>
          <w:bCs/>
        </w:rPr>
        <w:t xml:space="preserve">La ineficiencia computacional para la alerta operativa diaria:</w:t>
      </w:r>
      <w:r>
        <w:br/>
      </w:r>
      <w:r>
        <w:t xml:space="preserve">Muchos modelos académicos dependen de secuencias manuales en software SIG de escritorio o rutinas pesadas de geoprocesamiento ráster, impidiendo su despliegue automatizado y soberano a escala de país a resolución de 1 km² en tiempo subsegundo.</w:t>
      </w:r>
    </w:p>
    <w:p>
      <w:pPr>
        <w:pStyle w:val="FirstParagraph"/>
      </w:pPr>
      <w:r>
        <w:t xml:space="preserve">Para resolver estas limitaciones, este artículo presenta el diseño, formulación matemática y evaluación del sistema computacional</w:t>
      </w:r>
      <w:r>
        <w:t xml:space="preserve"> </w:t>
      </w:r>
      <w:r>
        <w:rPr>
          <w:rStyle w:val="VerbatimChar"/>
        </w:rPr>
        <w:t xml:space="preserve">Incendios_PY</w:t>
      </w:r>
      <w:r>
        <w:t xml:space="preserve">. Las contribuciones fundamentales de este trabajo son:</w:t>
      </w:r>
    </w:p>
    <w:p>
      <w:pPr>
        <w:pStyle w:val="Compact"/>
        <w:numPr>
          <w:ilvl w:val="0"/>
          <w:numId w:val="1002"/>
        </w:numPr>
      </w:pPr>
      <w:r>
        <w:rPr>
          <w:b/>
          <w:bCs/>
        </w:rPr>
        <w:t xml:space="preserve">Arquitectura Dual Desacoplada:</w:t>
      </w:r>
      <w:r>
        <w:t xml:space="preserve"> </w:t>
      </w:r>
      <w:r>
        <w:t xml:space="preserve">Separamos formalmente la tarea predictiva en dos capas ortogonales: un modelo de</w:t>
      </w:r>
      <w:r>
        <w:t xml:space="preserve"> </w:t>
      </w:r>
      <w:r>
        <w:rPr>
          <w:b/>
          <w:bCs/>
        </w:rPr>
        <w:t xml:space="preserve">Ignición Primaria Híbrida Socio-Ecológica (</w:t>
      </w:r>
      <m:oMath>
        <m:sSub>
          <m:e>
            <m:r>
              <m:rPr>
                <m:scr m:val="script"/>
                <m:sty m:val="p"/>
              </m:rPr>
              <m:t>M</m:t>
            </m:r>
          </m:e>
          <m:sub>
            <m:r>
              <m:t>3</m:t>
            </m:r>
          </m:sub>
        </m:sSub>
      </m:oMath>
      <w:r>
        <w:rPr>
          <w:b/>
          <w:bCs/>
        </w:rPr>
        <w:t xml:space="preserve">)</w:t>
      </w:r>
      <w:r>
        <w:t xml:space="preserve"> </w:t>
      </w:r>
      <w:r>
        <w:t xml:space="preserve">(libre de variables históricas de contagio</w:t>
      </w:r>
      <w:r>
        <w:t xml:space="preserve"> </w:t>
      </w:r>
      <m:oMath>
        <m:r>
          <m:t>t</m:t>
        </m:r>
        <m:r>
          <m:rPr>
            <m:sty m:val="p"/>
          </m:rPr>
          <m:t>−</m:t>
        </m:r>
        <m:r>
          <m:t>1</m:t>
        </m:r>
      </m:oMath>
      <w:r>
        <w:t xml:space="preserve">, asistido por ablación con</w:t>
      </w:r>
      <w:r>
        <w:t xml:space="preserve"> </w:t>
      </w:r>
      <m:oMath>
        <m:sSub>
          <m:e>
            <m:r>
              <m:rPr>
                <m:scr m:val="script"/>
                <m:sty m:val="p"/>
              </m:rPr>
              <m:t>M</m:t>
            </m:r>
          </m:e>
          <m:sub>
            <m:r>
              <m:t>1</m:t>
            </m:r>
          </m:sub>
        </m:sSub>
      </m:oMath>
      <w:r>
        <w:t xml:space="preserve"> </w:t>
      </w:r>
      <w:r>
        <w:t xml:space="preserve">y</w:t>
      </w:r>
      <w:r>
        <w:t xml:space="preserve"> </w:t>
      </w:r>
      <m:oMath>
        <m:sSub>
          <m:e>
            <m:r>
              <m:rPr>
                <m:scr m:val="script"/>
                <m:sty m:val="p"/>
              </m:rPr>
              <m:t>M</m:t>
            </m:r>
          </m:e>
          <m:sub>
            <m:r>
              <m:t>2</m:t>
            </m:r>
          </m:sub>
        </m:sSub>
      </m:oMath>
      <w:r>
        <w:t xml:space="preserve">) y un modelo de</w:t>
      </w:r>
      <w:r>
        <w:t xml:space="preserve"> </w:t>
      </w:r>
      <w:r>
        <w:rPr>
          <w:b/>
          <w:bCs/>
        </w:rPr>
        <w:t xml:space="preserve">Propagación Táctica Local</w:t>
      </w:r>
      <w:r>
        <w:t xml:space="preserve"> </w:t>
      </w:r>
      <w:r>
        <w:t xml:space="preserve">(gobernado por dinámica física de avance del frente de llama).</w:t>
      </w:r>
    </w:p>
    <w:p>
      <w:pPr>
        <w:pStyle w:val="Compact"/>
        <w:numPr>
          <w:ilvl w:val="0"/>
          <w:numId w:val="1002"/>
        </w:numPr>
      </w:pPr>
      <w:r>
        <w:rPr>
          <w:b/>
          <w:bCs/>
        </w:rPr>
        <w:t xml:space="preserve">Filtrado Biofísico de Primera Etapa (</w:t>
      </w:r>
      <w:r>
        <w:rPr>
          <w:b/>
          <w:bCs/>
          <w:i/>
          <w:iCs/>
        </w:rPr>
        <w:t xml:space="preserve">Two-Stage Gating</w:t>
      </w:r>
      <w:r>
        <w:rPr>
          <w:b/>
          <w:bCs/>
        </w:rPr>
        <w:t xml:space="preserve">):</w:t>
      </w:r>
      <w:r>
        <w:t xml:space="preserve"> </w:t>
      </w:r>
      <w:r>
        <w:t xml:space="preserve">Implementamos un cribado cinemático previo que excluye celdas sin combustible o con inhibición meteorológica comprobada (</w:t>
      </w:r>
      <m:oMath>
        <m:r>
          <m:t>V</m:t>
        </m:r>
        <m:r>
          <m:t>P</m:t>
        </m:r>
        <m:r>
          <m:t>D</m:t>
        </m:r>
        <m:r>
          <m:rPr>
            <m:sty m:val="p"/>
          </m:rPr>
          <m:t>&lt;</m:t>
        </m:r>
        <m:r>
          <m:t>0</m:t>
        </m:r>
        <m:r>
          <m:rPr>
            <m:sty m:val="p"/>
          </m:rPr>
          <m:t>,</m:t>
        </m:r>
        <m:r>
          <m:t>8</m:t>
        </m:r>
        <m:r>
          <m:rPr>
            <m:nor/>
            <m:sty m:val="p"/>
          </m:rPr>
          <m:t> kPa</m:t>
        </m:r>
      </m:oMath>
      <w:r>
        <w:t xml:space="preserve">, lluvia</w:t>
      </w:r>
      <w:r>
        <w:t xml:space="preserve"> </w:t>
      </w:r>
      <m:oMath>
        <m:r>
          <m:t>48</m:t>
        </m:r>
        <m:r>
          <m:rPr>
            <m:nor/>
            <m:sty m:val="p"/>
          </m:rPr>
          <m:t>h</m:t>
        </m:r>
        <m:r>
          <m:rPr>
            <m:sty m:val="p"/>
          </m:rPr>
          <m:t>≥</m:t>
        </m:r>
        <m:r>
          <m:t>10</m:t>
        </m:r>
        <m:r>
          <m:rPr>
            <m:nor/>
            <m:sty m:val="p"/>
          </m:rPr>
          <m:t> mm</m:t>
        </m:r>
      </m:oMath>
      <w:r>
        <w:t xml:space="preserve">), reduciendo la dimensionalidad computacional en un promedio multianual del 21,7 % (hasta 92 % en días húmedos) reteniendo el 97,17 % de detecciones confirmadas.</w:t>
      </w:r>
    </w:p>
    <w:p>
      <w:pPr>
        <w:pStyle w:val="Compact"/>
        <w:numPr>
          <w:ilvl w:val="0"/>
          <w:numId w:val="1002"/>
        </w:numPr>
      </w:pPr>
      <w:r>
        <w:rPr>
          <w:b/>
          <w:bCs/>
        </w:rPr>
        <w:t xml:space="preserve">Rigor de Validación Espaciotemporal Anti-Leakage:</w:t>
      </w:r>
      <w:r>
        <w:t xml:space="preserve"> </w:t>
      </w:r>
      <w:r>
        <w:t xml:space="preserve">Evaluamos el marco bajo partición temporal</w:t>
      </w:r>
      <w:r>
        <w:t xml:space="preserve"> </w:t>
      </w:r>
      <w:r>
        <w:rPr>
          <w:i/>
          <w:iCs/>
        </w:rPr>
        <w:t xml:space="preserve">out-of-time</w:t>
      </w:r>
      <w:r>
        <w:t xml:space="preserve"> </w:t>
      </w:r>
      <w:r>
        <w:t xml:space="preserve">multianual homogénea (2018–2022, validación 2023 y test ciego en la crisis extrema 2024–2025 sobre</w:t>
      </w:r>
      <w:r>
        <w:t xml:space="preserve"> </w:t>
      </w:r>
      <m:oMath>
        <m:r>
          <m:t>1.813</m:t>
        </m:r>
        <m:r>
          <m:t>.966</m:t>
        </m:r>
      </m:oMath>
      <w:r>
        <w:t xml:space="preserve"> </w:t>
      </w:r>
      <w:r>
        <w:t xml:space="preserve">celdas-día sumando ambos dominios), con la definición D2 (sin fuego</w:t>
      </w:r>
      <w:r>
        <w:t xml:space="preserve"> </w:t>
      </w:r>
      <m:oMath>
        <m:r>
          <m:t>t</m:t>
        </m:r>
        <m:r>
          <m:rPr>
            <m:sty m:val="p"/>
          </m:rPr>
          <m:t>−</m:t>
        </m:r>
        <m:r>
          <m:t>1</m:t>
        </m:r>
      </m:oMath>
      <w:r>
        <w:t xml:space="preserve"> </w:t>
      </w:r>
      <w:r>
        <w:t xml:space="preserve">en 25 km ni fuego en la misma celda en 10 días) y un holdout espacial por bloques de 50 km con buffer de 20 km.</w:t>
      </w:r>
    </w:p>
    <w:p>
      <w:pPr>
        <w:pStyle w:val="Compact"/>
        <w:numPr>
          <w:ilvl w:val="0"/>
          <w:numId w:val="1002"/>
        </w:numPr>
      </w:pPr>
      <w:r>
        <w:rPr>
          <w:b/>
          <w:bCs/>
        </w:rPr>
        <w:t xml:space="preserve">Benchmarking Comparativo Directo:</w:t>
      </w:r>
      <w:r>
        <w:t xml:space="preserve"> </w:t>
      </w:r>
      <w:r>
        <w:t xml:space="preserve">Demostramos una mayor discriminación de la arquitectura frente al Canadian FWI y al INPE Risco de Fogo en el mismo conjunto de prueba ciego; el bootstrap pareado agrupado por fecha (</w:t>
      </w:r>
      <m:oMath>
        <m:r>
          <m:t>B</m:t>
        </m:r>
        <m:r>
          <m:rPr>
            <m:sty m:val="p"/>
          </m:rPr>
          <m:t>=</m:t>
        </m:r>
        <m:r>
          <m:t>1.000</m:t>
        </m:r>
      </m:oMath>
      <w:r>
        <w:t xml:space="preserve">) da</w:t>
      </w:r>
      <w:r>
        <w:t xml:space="preserve"> </w:t>
      </w:r>
      <m:oMath>
        <m:r>
          <m:t>p</m:t>
        </m:r>
        <m:r>
          <m:rPr>
            <m:sty m:val="p"/>
          </m:rPr>
          <m:t>≤</m:t>
        </m:r>
        <m:r>
          <m:t>0</m:t>
        </m:r>
        <m:r>
          <m:rPr>
            <m:sty m:val="p"/>
          </m:rPr>
          <m:t>,</m:t>
        </m:r>
        <m:r>
          <m:t>001</m:t>
        </m:r>
      </m:oMath>
      <w:r>
        <w:t xml:space="preserve"> </w:t>
      </w:r>
      <w:r>
        <w:t xml:space="preserve">en todas las comparaciones.</w:t>
      </w:r>
    </w:p>
    <w:p>
      <w:pPr>
        <w:pStyle w:val="Compact"/>
        <w:numPr>
          <w:ilvl w:val="0"/>
          <w:numId w:val="1002"/>
        </w:numPr>
      </w:pPr>
      <w:r>
        <w:rPr>
          <w:b/>
          <w:bCs/>
        </w:rPr>
        <w:t xml:space="preserve">Pipeline Abierto y Reproducible:</w:t>
      </w:r>
      <w:r>
        <w:t xml:space="preserve"> </w:t>
      </w:r>
      <w:r>
        <w:t xml:space="preserve">Construimos una canalización analítica</w:t>
      </w:r>
      <w:r>
        <w:t xml:space="preserve"> </w:t>
      </w:r>
      <w:r>
        <w:rPr>
          <w:i/>
          <w:iCs/>
        </w:rPr>
        <w:t xml:space="preserve">zero-copy</w:t>
      </w:r>
      <w:r>
        <w:t xml:space="preserve"> </w:t>
      </w:r>
      <w:r>
        <w:t xml:space="preserve">en DuckDB y Polars capaz de evaluar 400.006 celdas soberanas en ~1,569 segundos en procesadores estándar.</w:t>
      </w:r>
    </w:p>
    <w:p>
      <w:r>
        <w:pict>
          <v:rect style="width:0;height:1.5pt" o:hralign="center" o:hrstd="t" o:hr="t"/>
        </w:pict>
      </w:r>
    </w:p>
    <w:bookmarkEnd w:id="11"/>
    <w:bookmarkStart w:id="30" w:name="marco-teórico-y-formulación-matemática"/>
    <w:p>
      <w:pPr>
        <w:pStyle w:val="Heading1"/>
      </w:pPr>
      <w:r>
        <w:t xml:space="preserve">2. 2. Marco Teórico y Formulación Matemática</w:t>
      </w:r>
    </w:p>
    <w:bookmarkStart w:id="15" w:name="Xb18105e2246bb8db995ae94d9082ef18bbaa549"/>
    <w:p>
      <w:pPr>
        <w:pStyle w:val="Heading2"/>
      </w:pPr>
      <w:r>
        <w:t xml:space="preserve">2.1 2.1 Física de la Desecación del Combustible Fino</w:t>
      </w:r>
    </w:p>
    <w:p>
      <w:pPr>
        <w:pStyle w:val="FirstParagraph"/>
      </w:pPr>
      <w:r>
        <w:t xml:space="preserve">La probabilidad de que una chispa o brasa dé origen a un incendio activo con calor radiativo mensurable (</w:t>
      </w:r>
      <m:oMath>
        <m:r>
          <m:t>F</m:t>
        </m:r>
        <m:r>
          <m:t>R</m:t>
        </m:r>
        <m:r>
          <m:t>P</m:t>
        </m:r>
        <m:r>
          <m:rPr>
            <m:sty m:val="p"/>
          </m:rPr>
          <m:t>&gt;</m:t>
        </m:r>
        <m:r>
          <m:t>0</m:t>
        </m:r>
      </m:oMath>
      <w:r>
        <w:t xml:space="preserve">) está gobernada termodinámicamente por la humedad del combustible fino muerto (</w:t>
      </w:r>
      <w:r>
        <w:rPr>
          <w:i/>
          <w:iCs/>
        </w:rPr>
        <w:t xml:space="preserve">Fine Fuel Moisture Code</w:t>
      </w:r>
      <w:r>
        <w:t xml:space="preserve">, FFMC) y la dinámica de transferencia de calor en el lecho de combustible</w:t>
      </w:r>
      <w:r>
        <w:t xml:space="preserve"> </w:t>
      </w:r>
      <w:r>
        <w:t xml:space="preserve">(Flannigan et al., 2016; Rothermel, 1972)</w:t>
      </w:r>
      <w:r>
        <w:t xml:space="preserve">. El balance de humedad entre el combustible vegetal y la atmósfera circundante depende críticamente del déficit de presión de vapor (</w:t>
      </w:r>
      <m:oMath>
        <m:r>
          <m:t>V</m:t>
        </m:r>
        <m:r>
          <m:t>P</m:t>
        </m:r>
        <m:r>
          <m:t>D</m:t>
        </m:r>
      </m:oMath>
      <w:r>
        <w:t xml:space="preserve">), definido como la diferencia entre la presión de vapor de saturación (</w:t>
      </w:r>
      <m:oMath>
        <m:sSub>
          <m:e>
            <m:r>
              <m:t>e</m:t>
            </m:r>
          </m:e>
          <m:sub>
            <m:r>
              <m:t>s</m:t>
            </m:r>
          </m:sub>
        </m:sSub>
      </m:oMath>
      <w:r>
        <w:t xml:space="preserve">) y la presión de vapor real (</w:t>
      </w:r>
      <m:oMath>
        <m:sSub>
          <m:e>
            <m:r>
              <m:t>e</m:t>
            </m:r>
          </m:e>
          <m:sub>
            <m:r>
              <m:t>a</m:t>
            </m:r>
          </m:sub>
        </m:sSub>
      </m:oMath>
      <w:r>
        <w:t xml:space="preserve">):</w:t>
      </w:r>
    </w:p>
    <w:p>
      <w:pPr>
        <w:pStyle w:val="BodyText"/>
      </w:pPr>
      <w:bookmarkStart w:id="12" w:name="eq-es"/>
      <m:oMathPara>
        <m:oMathParaPr>
          <m:jc m:val="center"/>
        </m:oMathParaPr>
        <m:oMath>
          <m:sSub>
            <m:e>
              <m:r>
                <m:t>e</m:t>
              </m:r>
            </m:e>
            <m:sub>
              <m:r>
                <m:t>s</m:t>
              </m:r>
            </m:sub>
          </m:sSub>
          <m:r>
            <m:rPr>
              <m:sty m:val="p"/>
            </m:rPr>
            <m:t>(</m:t>
          </m:r>
          <m:r>
            <m:t>T</m:t>
          </m:r>
          <m:r>
            <m:rPr>
              <m:sty m:val="p"/>
            </m:rPr>
            <m:t>)</m:t>
          </m:r>
          <m:r>
            <m:rPr>
              <m:sty m:val="p"/>
            </m:rPr>
            <m:t>=</m:t>
          </m:r>
          <m:r>
            <m:t>0</m:t>
          </m:r>
          <m:r>
            <m:rPr>
              <m:sty m:val="p"/>
            </m:rPr>
            <m:t>,</m:t>
          </m:r>
          <m:r>
            <m:t>61078</m:t>
          </m:r>
          <m:r>
            <m:rPr>
              <m:sty m:val="p"/>
            </m:rPr>
            <m:t>exp</m:t>
          </m:r>
          <m:d>
            <m:dPr>
              <m:begChr m:val="("/>
              <m:sepChr m:val=""/>
              <m:endChr m:val=")"/>
              <m:grow/>
            </m:dPr>
            <m:e>
              <m:f>
                <m:fPr>
                  <m:type m:val="bar"/>
                </m:fPr>
                <m:num>
                  <m:r>
                    <m:t>17</m:t>
                  </m:r>
                  <m:r>
                    <m:rPr>
                      <m:sty m:val="p"/>
                    </m:rPr>
                    <m:t>,</m:t>
                  </m:r>
                  <m:r>
                    <m:t>27</m:t>
                  </m:r>
                  <m:r>
                    <m:rPr>
                      <m:sty m:val="p"/>
                    </m:rPr>
                    <m:t>⋅</m:t>
                  </m:r>
                  <m:r>
                    <m:t>T</m:t>
                  </m:r>
                </m:num>
                <m:den>
                  <m:r>
                    <m:t>T</m:t>
                  </m:r>
                  <m:r>
                    <m:rPr>
                      <m:sty m:val="p"/>
                    </m:rPr>
                    <m:t>+</m:t>
                  </m:r>
                  <m:r>
                    <m:t>237</m:t>
                  </m:r>
                  <m:r>
                    <m:rPr>
                      <m:sty m:val="p"/>
                    </m:rPr>
                    <m:t>,</m:t>
                  </m:r>
                  <m:r>
                    <m:t>3</m:t>
                  </m:r>
                </m:den>
              </m:f>
            </m:e>
          </m:d>
          <m:r>
            <m:t> </m:t>
          </m:r>
          <m:r>
            <m:rPr>
              <m:sty m:val="p"/>
            </m:rPr>
            <m:t>[</m:t>
          </m:r>
          <m:r>
            <m:rPr>
              <m:nor/>
              <m:sty m:val="p"/>
            </m:rPr>
            <m:t>kPa</m:t>
          </m:r>
          <m:r>
            <m:rPr>
              <m:sty m:val="p"/>
            </m:rPr>
            <m:t>]</m:t>
          </m:r>
          <m:r>
            <m:t>  </m:t>
          </m:r>
          <m:r>
            <m:rPr>
              <m:sty m:val="p"/>
            </m:rPr>
            <m:t>(</m:t>
          </m:r>
          <m:r>
            <m:t>1</m:t>
          </m:r>
          <m:r>
            <m:rPr>
              <m:sty m:val="p"/>
            </m:rPr>
            <m:t>)</m:t>
          </m:r>
        </m:oMath>
      </m:oMathPara>
      <w:bookmarkEnd w:id="12"/>
    </w:p>
    <w:p>
      <w:pPr>
        <w:pStyle w:val="FirstParagraph"/>
      </w:pPr>
      <w:bookmarkStart w:id="13" w:name="eq-ea"/>
      <m:oMathPara>
        <m:oMathParaPr>
          <m:jc m:val="center"/>
        </m:oMathParaPr>
        <m:oMath>
          <m:sSub>
            <m:e>
              <m:r>
                <m:t>e</m:t>
              </m:r>
            </m:e>
            <m:sub>
              <m:r>
                <m:t>a</m:t>
              </m:r>
            </m:sub>
          </m:sSub>
          <m:r>
            <m:rPr>
              <m:sty m:val="p"/>
            </m:rPr>
            <m:t>(</m:t>
          </m:r>
          <m:sSub>
            <m:e>
              <m:r>
                <m:t>T</m:t>
              </m:r>
            </m:e>
            <m:sub>
              <m:r>
                <m:rPr>
                  <m:nor/>
                  <m:sty m:val="p"/>
                </m:rPr>
                <m:t>dew</m:t>
              </m:r>
            </m:sub>
          </m:sSub>
          <m:r>
            <m:rPr>
              <m:sty m:val="p"/>
            </m:rPr>
            <m:t>)</m:t>
          </m:r>
          <m:r>
            <m:rPr>
              <m:sty m:val="p"/>
            </m:rPr>
            <m:t>=</m:t>
          </m:r>
          <m:r>
            <m:t>0</m:t>
          </m:r>
          <m:r>
            <m:rPr>
              <m:sty m:val="p"/>
            </m:rPr>
            <m:t>,</m:t>
          </m:r>
          <m:r>
            <m:t>61078</m:t>
          </m:r>
          <m:r>
            <m:rPr>
              <m:sty m:val="p"/>
            </m:rPr>
            <m:t>exp</m:t>
          </m:r>
          <m:d>
            <m:dPr>
              <m:begChr m:val="("/>
              <m:sepChr m:val=""/>
              <m:endChr m:val=")"/>
              <m:grow/>
            </m:dPr>
            <m:e>
              <m:f>
                <m:fPr>
                  <m:type m:val="bar"/>
                </m:fPr>
                <m:num>
                  <m:r>
                    <m:t>17</m:t>
                  </m:r>
                  <m:r>
                    <m:rPr>
                      <m:sty m:val="p"/>
                    </m:rPr>
                    <m:t>,</m:t>
                  </m:r>
                  <m:r>
                    <m:t>27</m:t>
                  </m:r>
                  <m:r>
                    <m:rPr>
                      <m:sty m:val="p"/>
                    </m:rPr>
                    <m:t>⋅</m:t>
                  </m:r>
                  <m:sSub>
                    <m:e>
                      <m:r>
                        <m:t>T</m:t>
                      </m:r>
                    </m:e>
                    <m:sub>
                      <m:r>
                        <m:rPr>
                          <m:nor/>
                          <m:sty m:val="p"/>
                        </m:rPr>
                        <m:t>dew</m:t>
                      </m:r>
                    </m:sub>
                  </m:sSub>
                </m:num>
                <m:den>
                  <m:sSub>
                    <m:e>
                      <m:r>
                        <m:t>T</m:t>
                      </m:r>
                    </m:e>
                    <m:sub>
                      <m:r>
                        <m:rPr>
                          <m:nor/>
                          <m:sty m:val="p"/>
                        </m:rPr>
                        <m:t>dew</m:t>
                      </m:r>
                    </m:sub>
                  </m:sSub>
                  <m:r>
                    <m:rPr>
                      <m:sty m:val="p"/>
                    </m:rPr>
                    <m:t>+</m:t>
                  </m:r>
                  <m:r>
                    <m:t>237</m:t>
                  </m:r>
                  <m:r>
                    <m:rPr>
                      <m:sty m:val="p"/>
                    </m:rPr>
                    <m:t>,</m:t>
                  </m:r>
                  <m:r>
                    <m:t>3</m:t>
                  </m:r>
                </m:den>
              </m:f>
            </m:e>
          </m:d>
          <m:r>
            <m:t> </m:t>
          </m:r>
          <m:r>
            <m:rPr>
              <m:sty m:val="p"/>
            </m:rPr>
            <m:t>[</m:t>
          </m:r>
          <m:r>
            <m:rPr>
              <m:nor/>
              <m:sty m:val="p"/>
            </m:rPr>
            <m:t>kPa</m:t>
          </m:r>
          <m:r>
            <m:rPr>
              <m:sty m:val="p"/>
            </m:rPr>
            <m:t>]</m:t>
          </m:r>
          <m:r>
            <m:t>  </m:t>
          </m:r>
          <m:r>
            <m:rPr>
              <m:sty m:val="p"/>
            </m:rPr>
            <m:t>(</m:t>
          </m:r>
          <m:r>
            <m:t>2</m:t>
          </m:r>
          <m:r>
            <m:rPr>
              <m:sty m:val="p"/>
            </m:rPr>
            <m:t>)</m:t>
          </m:r>
        </m:oMath>
      </m:oMathPara>
      <w:bookmarkEnd w:id="13"/>
    </w:p>
    <w:p>
      <w:pPr>
        <w:pStyle w:val="FirstParagraph"/>
      </w:pPr>
      <w:bookmarkStart w:id="14" w:name="eq-vpd"/>
      <m:oMathPara>
        <m:oMathParaPr>
          <m:jc m:val="center"/>
        </m:oMathParaPr>
        <m:oMath>
          <m:r>
            <m:t>V</m:t>
          </m:r>
          <m:r>
            <m:t>P</m:t>
          </m:r>
          <m:r>
            <m:t>D</m:t>
          </m:r>
          <m:r>
            <m:rPr>
              <m:sty m:val="p"/>
            </m:rPr>
            <m:t>=</m:t>
          </m:r>
          <m:sSub>
            <m:e>
              <m:r>
                <m:t>e</m:t>
              </m:r>
            </m:e>
            <m:sub>
              <m:r>
                <m:t>s</m:t>
              </m:r>
            </m:sub>
          </m:sSub>
          <m:r>
            <m:rPr>
              <m:sty m:val="p"/>
            </m:rPr>
            <m:t>(</m:t>
          </m:r>
          <m:r>
            <m:t>T</m:t>
          </m:r>
          <m:r>
            <m:rPr>
              <m:sty m:val="p"/>
            </m:rPr>
            <m:t>)</m:t>
          </m:r>
          <m:r>
            <m:rPr>
              <m:sty m:val="p"/>
            </m:rPr>
            <m:t>−</m:t>
          </m:r>
          <m:sSub>
            <m:e>
              <m:r>
                <m:t>e</m:t>
              </m:r>
            </m:e>
            <m:sub>
              <m:r>
                <m:t>a</m:t>
              </m:r>
            </m:sub>
          </m:sSub>
          <m:r>
            <m:rPr>
              <m:sty m:val="p"/>
            </m:rPr>
            <m:t>(</m:t>
          </m:r>
          <m:sSub>
            <m:e>
              <m:r>
                <m:t>T</m:t>
              </m:r>
            </m:e>
            <m:sub>
              <m:r>
                <m:rPr>
                  <m:nor/>
                  <m:sty m:val="p"/>
                </m:rPr>
                <m:t>dew</m:t>
              </m:r>
            </m:sub>
          </m:sSub>
          <m:r>
            <m:rPr>
              <m:sty m:val="p"/>
            </m:rPr>
            <m:t>)</m:t>
          </m:r>
          <m:r>
            <m:t> </m:t>
          </m:r>
          <m:r>
            <m:rPr>
              <m:sty m:val="p"/>
            </m:rPr>
            <m:t>[</m:t>
          </m:r>
          <m:r>
            <m:rPr>
              <m:nor/>
              <m:sty m:val="p"/>
            </m:rPr>
            <m:t>kPa</m:t>
          </m:r>
          <m:r>
            <m:rPr>
              <m:sty m:val="p"/>
            </m:rPr>
            <m:t>]</m:t>
          </m:r>
          <m:r>
            <m:t>  </m:t>
          </m:r>
          <m:r>
            <m:rPr>
              <m:sty m:val="p"/>
            </m:rPr>
            <m:t>(</m:t>
          </m:r>
          <m:r>
            <m:t>3</m:t>
          </m:r>
          <m:r>
            <m:rPr>
              <m:sty m:val="p"/>
            </m:rPr>
            <m:t>)</m:t>
          </m:r>
        </m:oMath>
      </m:oMathPara>
      <w:bookmarkEnd w:id="14"/>
    </w:p>
    <w:p>
      <w:pPr>
        <w:pStyle w:val="FirstParagraph"/>
      </w:pPr>
      <w:r>
        <w:t xml:space="preserve">donde</w:t>
      </w:r>
      <w:r>
        <w:t xml:space="preserve"> </w:t>
      </w:r>
      <m:oMath>
        <m:r>
          <m:t>T</m:t>
        </m:r>
      </m:oMath>
      <w:r>
        <w:t xml:space="preserve"> </w:t>
      </w:r>
      <w:r>
        <w:t xml:space="preserve">es la temperatura del aire a 2 metros y</w:t>
      </w:r>
      <w:r>
        <w:t xml:space="preserve"> </w:t>
      </w:r>
      <m:oMath>
        <m:sSub>
          <m:e>
            <m:r>
              <m:t>T</m:t>
            </m:r>
          </m:e>
          <m:sub>
            <m:r>
              <m:rPr>
                <m:nor/>
                <m:sty m:val="p"/>
              </m:rPr>
              <m:t>dew</m:t>
            </m:r>
          </m:sub>
        </m:sSub>
      </m:oMath>
      <w:r>
        <w:t xml:space="preserve"> </w:t>
      </w:r>
      <w:r>
        <w:t xml:space="preserve">es la temperatura del punto de rocío obtenida del reanálisis ERA5-Land</w:t>
      </w:r>
      <w:r>
        <w:t xml:space="preserve"> </w:t>
      </w:r>
      <w:r>
        <w:t xml:space="preserve">(Muñoz-Sabater et al., 2021)</w:t>
      </w:r>
      <w:r>
        <w:t xml:space="preserve">. Cuando</w:t>
      </w:r>
      <w:r>
        <w:t xml:space="preserve"> </w:t>
      </w:r>
      <m:oMath>
        <m:r>
          <m:t>V</m:t>
        </m:r>
        <m:r>
          <m:t>P</m:t>
        </m:r>
        <m:r>
          <m:t>D</m:t>
        </m:r>
        <m:r>
          <m:rPr>
            <m:sty m:val="p"/>
          </m:rPr>
          <m:t>&gt;</m:t>
        </m:r>
        <m:r>
          <m:t>2</m:t>
        </m:r>
        <m:r>
          <m:rPr>
            <m:sty m:val="p"/>
          </m:rPr>
          <m:t>,</m:t>
        </m:r>
        <m:r>
          <m:t>5</m:t>
        </m:r>
        <m:r>
          <m:rPr>
            <m:nor/>
            <m:sty m:val="p"/>
          </m:rPr>
          <m:t> kPa</m:t>
        </m:r>
      </m:oMath>
      <w:r>
        <w:t xml:space="preserve">, la atmósfera ejerce una succión osmótica sobre el material vegetal fino, reduciendo su contenido de humedad foliar por debajo del umbral de extinción biológica (</w:t>
      </w:r>
      <m:oMath>
        <m:r>
          <m:rPr>
            <m:sty m:val="p"/>
          </m:rPr>
          <m:t>∼</m:t>
        </m:r>
        <m:r>
          <m:t>12</m:t>
        </m:r>
        <m:r>
          <m:rPr>
            <m:nor/>
            <m:sty m:val="p"/>
          </m:rPr>
          <m:t> %</m:t>
        </m:r>
      </m:oMath>
      <w:r>
        <w:t xml:space="preserve">).</w:t>
      </w:r>
    </w:p>
    <w:bookmarkEnd w:id="15"/>
    <w:bookmarkStart w:id="17" w:name="Xeb0cfc40f35119651a5c021e00abb08dbbe6ae0"/>
    <w:p>
      <w:pPr>
        <w:pStyle w:val="Heading2"/>
      </w:pPr>
      <w:r>
        <w:t xml:space="preserve">2.2 2.2 Cribado Biofísico de Primera Etapa (</w:t>
      </w:r>
      <w:r>
        <w:rPr>
          <w:i/>
          <w:iCs/>
        </w:rPr>
        <w:t xml:space="preserve">Two-Stage Bio-physical Gating</w:t>
      </w:r>
      <w:r>
        <w:t xml:space="preserve">)</w:t>
      </w:r>
    </w:p>
    <w:p>
      <w:pPr>
        <w:pStyle w:val="FirstParagraph"/>
      </w:pPr>
      <w:r>
        <w:t xml:space="preserve">Sea</w:t>
      </w:r>
      <w:r>
        <w:t xml:space="preserve"> </w:t>
      </w:r>
      <m:oMath>
        <m:r>
          <m:rPr>
            <m:scr m:val="script"/>
            <m:sty m:val="p"/>
          </m:rPr>
          <m:t>S</m:t>
        </m:r>
        <m:r>
          <m:rPr>
            <m:sty m:val="p"/>
          </m:rPr>
          <m:t>=</m:t>
        </m:r>
        <m:r>
          <m:rPr>
            <m:sty m:val="p"/>
          </m:rPr>
          <m:t>{</m:t>
        </m:r>
        <m:sSub>
          <m:e>
            <m:r>
              <m:t>s</m:t>
            </m:r>
          </m:e>
          <m:sub>
            <m:r>
              <m:t>i</m:t>
            </m:r>
          </m:sub>
        </m:sSub>
        <m:sSubSup>
          <m:e>
            <m:r>
              <m:rPr>
                <m:sty m:val="p"/>
              </m:rPr>
              <m:t>}</m:t>
            </m:r>
          </m:e>
          <m:sub>
            <m:r>
              <m:t>i</m:t>
            </m:r>
            <m:r>
              <m:rPr>
                <m:sty m:val="p"/>
              </m:rPr>
              <m:t>=</m:t>
            </m:r>
            <m:r>
              <m:t>1</m:t>
            </m:r>
          </m:sub>
          <m:sup>
            <m:r>
              <m:t>N</m:t>
            </m:r>
          </m:sup>
        </m:sSubSup>
      </m:oMath>
      <w:r>
        <w:t xml:space="preserve"> </w:t>
      </w:r>
      <w:r>
        <w:t xml:space="preserve">el conjunto de</w:t>
      </w:r>
      <w:r>
        <w:t xml:space="preserve"> </w:t>
      </w:r>
      <m:oMath>
        <m:r>
          <m:t>N</m:t>
        </m:r>
        <m:r>
          <m:rPr>
            <m:sty m:val="p"/>
          </m:rPr>
          <m:t>=</m:t>
        </m:r>
        <m:r>
          <m:t>400.006</m:t>
        </m:r>
      </m:oMath>
      <w:r>
        <w:t xml:space="preserve"> </w:t>
      </w:r>
      <w:r>
        <w:t xml:space="preserve">celdas discretas de</w:t>
      </w:r>
      <w:r>
        <w:t xml:space="preserve"> </w:t>
      </w:r>
      <m:oMath>
        <m:r>
          <m:t>1</m:t>
        </m:r>
        <m:sSup>
          <m:e>
            <m:r>
              <m:rPr>
                <m:nor/>
                <m:sty m:val="p"/>
              </m:rPr>
              <m:t> km</m:t>
            </m:r>
          </m:e>
          <m:sup>
            <m:r>
              <m:t>2</m:t>
            </m:r>
          </m:sup>
        </m:sSup>
      </m:oMath>
      <w:r>
        <w:t xml:space="preserve"> </w:t>
      </w:r>
      <w:r>
        <w:t xml:space="preserve">que cubren el territorio paraguayo, y sea</w:t>
      </w:r>
      <w:r>
        <w:t xml:space="preserve"> </w:t>
      </w:r>
      <m:oMath>
        <m:r>
          <m:t>t</m:t>
        </m:r>
      </m:oMath>
      <w:r>
        <w:t xml:space="preserve"> </w:t>
      </w:r>
      <w:r>
        <w:t xml:space="preserve">un día civil. En lugar de evaluar un modelo probabilístico complejo sobre la totalidad del espacio cartesiano</w:t>
      </w:r>
      <w:r>
        <w:t xml:space="preserve"> </w:t>
      </w:r>
      <m:oMath>
        <m:r>
          <m:rPr>
            <m:scr m:val="script"/>
            <m:sty m:val="p"/>
          </m:rPr>
          <m:t>S</m:t>
        </m:r>
        <m:r>
          <m:rPr>
            <m:sty m:val="p"/>
          </m:rPr>
          <m:t>×</m:t>
        </m:r>
        <m:r>
          <m:rPr>
            <m:sty m:val="p"/>
          </m:rPr>
          <m:t>{</m:t>
        </m:r>
        <m:r>
          <m:t>t</m:t>
        </m:r>
        <m:r>
          <m:rPr>
            <m:sty m:val="p"/>
          </m:rPr>
          <m:t>}</m:t>
        </m:r>
      </m:oMath>
      <w:r>
        <w:t xml:space="preserve"> </w:t>
      </w:r>
      <w:r>
        <w:t xml:space="preserve">(</w:t>
      </w:r>
      <m:oMath>
        <m:r>
          <m:t>1.168</m:t>
        </m:r>
        <m:r>
          <m:rPr>
            <m:sty m:val="p"/>
          </m:rPr>
          <m:t>,</m:t>
        </m:r>
        <m:r>
          <m:t>8</m:t>
        </m:r>
      </m:oMath>
      <w:r>
        <w:t xml:space="preserve"> </w:t>
      </w:r>
      <w:r>
        <w:t xml:space="preserve">millones de combinaciones en 8 años), implementamos una restricción cinemática inspirada en los principios de aprendizaje automático guiado por la física (</w:t>
      </w:r>
      <w:r>
        <w:rPr>
          <w:i/>
          <w:iCs/>
        </w:rPr>
        <w:t xml:space="preserve">Physics-Guided Machine Learning</w:t>
      </w:r>
      <w:r>
        <w:t xml:space="preserve">)</w:t>
      </w:r>
      <w:r>
        <w:t xml:space="preserve"> </w:t>
      </w:r>
      <w:r>
        <w:t xml:space="preserve">(Reichstein et al., 2019; Willard et al., 2022)</w:t>
      </w:r>
      <w:r>
        <w:t xml:space="preserve">. Definimos una función indicadora binaria de viabilidad biofísica</w:t>
      </w:r>
      <w:r>
        <w:t xml:space="preserve"> </w:t>
      </w:r>
      <m:oMath>
        <m:r>
          <m:rPr>
            <m:sty m:val="p"/>
          </m:rPr>
          <m:t>Γ</m:t>
        </m:r>
        <m:r>
          <m:rPr>
            <m:sty m:val="p"/>
          </m:rPr>
          <m:t>(</m:t>
        </m:r>
        <m:sSub>
          <m:e>
            <m:r>
              <m:t>s</m:t>
            </m:r>
          </m:e>
          <m:sub>
            <m:r>
              <m:t>i</m:t>
            </m:r>
          </m:sub>
        </m:sSub>
        <m:r>
          <m:rPr>
            <m:sty m:val="p"/>
          </m:rPr>
          <m:t>,</m:t>
        </m:r>
        <m:r>
          <m:t>t</m:t>
        </m:r>
        <m:r>
          <m:rPr>
            <m:sty m:val="p"/>
          </m:rPr>
          <m:t>)</m:t>
        </m:r>
        <m:r>
          <m:rPr>
            <m:sty m:val="p"/>
          </m:rPr>
          <m:t>∈</m:t>
        </m:r>
        <m:r>
          <m:rPr>
            <m:sty m:val="p"/>
          </m:rPr>
          <m:t>{</m:t>
        </m:r>
        <m:r>
          <m:t>0</m:t>
        </m:r>
        <m:r>
          <m:rPr>
            <m:sty m:val="p"/>
          </m:rPr>
          <m:t>,</m:t>
        </m:r>
        <m:r>
          <m:t>1</m:t>
        </m:r>
        <m:r>
          <m:rPr>
            <m:sty m:val="p"/>
          </m:rPr>
          <m:t>}</m:t>
        </m:r>
      </m:oMath>
      <w:r>
        <w:t xml:space="preserve">:</w:t>
      </w:r>
    </w:p>
    <w:p>
      <w:pPr>
        <w:pStyle w:val="BodyText"/>
      </w:pPr>
      <w:bookmarkStart w:id="16" w:name="eq-gating"/>
      <m:oMathPara>
        <m:oMathParaPr>
          <m:jc m:val="center"/>
        </m:oMathParaPr>
        <m:oMath>
          <m:r>
            <m:rPr>
              <m:sty m:val="p"/>
            </m:rPr>
            <m:t>Γ</m:t>
          </m:r>
          <m:r>
            <m:rPr>
              <m:sty m:val="p"/>
            </m:rPr>
            <m:t>(</m:t>
          </m:r>
          <m:sSub>
            <m:e>
              <m:r>
                <m:t>s</m:t>
              </m:r>
            </m:e>
            <m:sub>
              <m:r>
                <m:t>i</m:t>
              </m:r>
            </m:sub>
          </m:sSub>
          <m:r>
            <m:rPr>
              <m:sty m:val="p"/>
            </m:rPr>
            <m:t>,</m:t>
          </m:r>
          <m:r>
            <m:t>t</m:t>
          </m:r>
          <m:r>
            <m:rPr>
              <m:sty m:val="p"/>
            </m:rPr>
            <m:t>)</m:t>
          </m:r>
          <m:r>
            <m:rPr>
              <m:sty m:val="p"/>
            </m:rPr>
            <m:t>=</m:t>
          </m:r>
          <m:r>
            <m:rPr>
              <m:scr m:val="double-struck"/>
              <m:sty m:val="p"/>
            </m:rPr>
            <m:t>I</m:t>
          </m:r>
          <m:d>
            <m:dPr>
              <m:begChr m:val="("/>
              <m:sepChr m:val=""/>
              <m:endChr m:val=")"/>
              <m:grow/>
            </m:dPr>
            <m:e>
              <m:r>
                <m:rPr>
                  <m:nor/>
                  <m:sty m:val="p"/>
                </m:rPr>
                <m:t>Combustible</m:t>
              </m:r>
              <m:r>
                <m:rPr>
                  <m:sty m:val="p"/>
                </m:rPr>
                <m:t>(</m:t>
              </m:r>
              <m:sSub>
                <m:e>
                  <m:r>
                    <m:t>s</m:t>
                  </m:r>
                </m:e>
                <m:sub>
                  <m:r>
                    <m:t>i</m:t>
                  </m:r>
                </m:sub>
              </m:sSub>
              <m:r>
                <m:rPr>
                  <m:sty m:val="p"/>
                </m:rPr>
                <m:t>)</m:t>
              </m:r>
              <m:r>
                <m:rPr>
                  <m:sty m:val="p"/>
                </m:rPr>
                <m:t>=</m:t>
              </m:r>
              <m:r>
                <m:t>1</m:t>
              </m:r>
            </m:e>
          </m:d>
          <m:r>
            <m:rPr>
              <m:sty m:val="p"/>
            </m:rPr>
            <m:t>⋅</m:t>
          </m:r>
          <m:r>
            <m:rPr>
              <m:scr m:val="double-struck"/>
              <m:sty m:val="p"/>
            </m:rPr>
            <m:t>I</m:t>
          </m:r>
          <m:d>
            <m:dPr>
              <m:begChr m:val="("/>
              <m:sepChr m:val=""/>
              <m:endChr m:val=")"/>
              <m:grow/>
            </m:dPr>
            <m:e>
              <m:r>
                <m:t>V</m:t>
              </m:r>
              <m:r>
                <m:t>P</m:t>
              </m:r>
              <m:r>
                <m:t>D</m:t>
              </m:r>
              <m:r>
                <m:rPr>
                  <m:sty m:val="p"/>
                </m:rPr>
                <m:t>(</m:t>
              </m:r>
              <m:sSub>
                <m:e>
                  <m:r>
                    <m:t>s</m:t>
                  </m:r>
                </m:e>
                <m:sub>
                  <m:r>
                    <m:t>i</m:t>
                  </m:r>
                </m:sub>
              </m:sSub>
              <m:r>
                <m:rPr>
                  <m:sty m:val="p"/>
                </m:rPr>
                <m:t>,</m:t>
              </m:r>
              <m:r>
                <m:t>t</m:t>
              </m:r>
              <m:r>
                <m:rPr>
                  <m:sty m:val="p"/>
                </m:rPr>
                <m:t>)</m:t>
              </m:r>
              <m:r>
                <m:rPr>
                  <m:sty m:val="p"/>
                </m:rPr>
                <m:t>≥</m:t>
              </m:r>
              <m:r>
                <m:t>0</m:t>
              </m:r>
              <m:r>
                <m:rPr>
                  <m:sty m:val="p"/>
                </m:rPr>
                <m:t>,</m:t>
              </m:r>
              <m:r>
                <m:t>8</m:t>
              </m:r>
              <m:r>
                <m:rPr>
                  <m:nor/>
                  <m:sty m:val="p"/>
                </m:rPr>
                <m:t> kPa</m:t>
              </m:r>
            </m:e>
          </m:d>
          <m:r>
            <m:rPr>
              <m:sty m:val="p"/>
            </m:rPr>
            <m:t>⋅</m:t>
          </m:r>
          <m:r>
            <m:rPr>
              <m:scr m:val="double-struck"/>
              <m:sty m:val="p"/>
            </m:rPr>
            <m:t>I</m:t>
          </m:r>
          <m:d>
            <m:dPr>
              <m:begChr m:val="("/>
              <m:sepChr m:val=""/>
              <m:endChr m:val=")"/>
              <m:grow/>
            </m:dPr>
            <m:e>
              <m:sSub>
                <m:e>
                  <m:r>
                    <m:t>P</m:t>
                  </m:r>
                </m:e>
                <m:sub>
                  <m:r>
                    <m:t>48</m:t>
                  </m:r>
                  <m:r>
                    <m:t>h</m:t>
                  </m:r>
                </m:sub>
              </m:sSub>
              <m:r>
                <m:rPr>
                  <m:sty m:val="p"/>
                </m:rPr>
                <m:t>(</m:t>
              </m:r>
              <m:sSub>
                <m:e>
                  <m:r>
                    <m:t>s</m:t>
                  </m:r>
                </m:e>
                <m:sub>
                  <m:r>
                    <m:t>i</m:t>
                  </m:r>
                </m:sub>
              </m:sSub>
              <m:r>
                <m:rPr>
                  <m:sty m:val="p"/>
                </m:rPr>
                <m:t>,</m:t>
              </m:r>
              <m:r>
                <m:t>t</m:t>
              </m:r>
              <m:r>
                <m:rPr>
                  <m:sty m:val="p"/>
                </m:rPr>
                <m:t>)</m:t>
              </m:r>
              <m:r>
                <m:rPr>
                  <m:sty m:val="p"/>
                </m:rPr>
                <m:t>&lt;</m:t>
              </m:r>
              <m:r>
                <m:t>10</m:t>
              </m:r>
              <m:r>
                <m:rPr>
                  <m:sty m:val="p"/>
                </m:rPr>
                <m:t>,</m:t>
              </m:r>
              <m:r>
                <m:t>0</m:t>
              </m:r>
              <m:r>
                <m:rPr>
                  <m:nor/>
                  <m:sty m:val="p"/>
                </m:rPr>
                <m:t> mm</m:t>
              </m:r>
            </m:e>
          </m:d>
          <m:r>
            <m:t>  </m:t>
          </m:r>
          <m:r>
            <m:rPr>
              <m:sty m:val="p"/>
            </m:rPr>
            <m:t>(</m:t>
          </m:r>
          <m:r>
            <m:t>4</m:t>
          </m:r>
          <m:r>
            <m:rPr>
              <m:sty m:val="p"/>
            </m:rPr>
            <m:t>)</m:t>
          </m:r>
        </m:oMath>
      </m:oMathPara>
      <w:bookmarkEnd w:id="16"/>
    </w:p>
    <w:p>
      <w:pPr>
        <w:pStyle w:val="FirstParagraph"/>
      </w:pPr>
      <w:r>
        <w:t xml:space="preserve">donde</w:t>
      </w:r>
      <w:r>
        <w:t xml:space="preserve"> </w:t>
      </w:r>
      <m:oMath>
        <m:r>
          <m:rPr>
            <m:nor/>
            <m:sty m:val="p"/>
          </m:rPr>
          <m:t>Combustible</m:t>
        </m:r>
        <m:r>
          <m:rPr>
            <m:sty m:val="p"/>
          </m:rPr>
          <m:t>(</m:t>
        </m:r>
        <m:sSub>
          <m:e>
            <m:r>
              <m:t>s</m:t>
            </m:r>
          </m:e>
          <m:sub>
            <m:r>
              <m:t>i</m:t>
            </m:r>
          </m:sub>
        </m:sSub>
        <m:r>
          <m:rPr>
            <m:sty m:val="p"/>
          </m:rPr>
          <m:t>)</m:t>
        </m:r>
        <m:r>
          <m:rPr>
            <m:sty m:val="p"/>
          </m:rPr>
          <m:t>=</m:t>
        </m:r>
        <m:r>
          <m:t>0</m:t>
        </m:r>
      </m:oMath>
      <w:r>
        <w:t xml:space="preserve"> </w:t>
      </w:r>
      <w:r>
        <w:t xml:space="preserve">para cuerpos de agua, humedales permanentes y zonas urbanas impermeabilizadas. En esta versión el perfil es MapBiomas real (</w:t>
      </w:r>
      <w:r>
        <w:rPr>
          <w:rStyle w:val="VerbatimChar"/>
        </w:rPr>
        <w:t xml:space="preserve">collection2_2023</w:t>
      </w:r>
      <w:r>
        <w:t xml:space="preserve">)</w:t>
      </w:r>
      <w:r>
        <w:t xml:space="preserve"> </w:t>
      </w:r>
      <w:r>
        <w:t xml:space="preserve">(MapBiomas Chaco, 2023)</w:t>
      </w:r>
      <w:r>
        <w:t xml:space="preserve">, y</w:t>
      </w:r>
      <w:r>
        <w:t xml:space="preserve"> </w:t>
      </w:r>
      <m:oMath>
        <m:sSub>
          <m:e>
            <m:r>
              <m:t>P</m:t>
            </m:r>
          </m:e>
          <m:sub>
            <m:r>
              <m:t>48</m:t>
            </m:r>
            <m:r>
              <m:t>h</m:t>
            </m:r>
          </m:sub>
        </m:sSub>
      </m:oMath>
      <w:r>
        <w:t xml:space="preserve"> </w:t>
      </w:r>
      <w:r>
        <w:t xml:space="preserve">es la precipitación acumulada en las 48 horas previas. Si</w:t>
      </w:r>
      <w:r>
        <w:t xml:space="preserve"> </w:t>
      </w:r>
      <m:oMath>
        <m:r>
          <m:rPr>
            <m:sty m:val="p"/>
          </m:rPr>
          <m:t>Γ</m:t>
        </m:r>
        <m:r>
          <m:rPr>
            <m:sty m:val="p"/>
          </m:rPr>
          <m:t>(</m:t>
        </m:r>
        <m:sSub>
          <m:e>
            <m:r>
              <m:t>s</m:t>
            </m:r>
          </m:e>
          <m:sub>
            <m:r>
              <m:t>i</m:t>
            </m:r>
          </m:sub>
        </m:sSub>
        <m:r>
          <m:rPr>
            <m:sty m:val="p"/>
          </m:rPr>
          <m:t>,</m:t>
        </m:r>
        <m:r>
          <m:t>t</m:t>
        </m:r>
        <m:r>
          <m:rPr>
            <m:sty m:val="p"/>
          </m:rPr>
          <m:t>)</m:t>
        </m:r>
        <m:r>
          <m:rPr>
            <m:sty m:val="p"/>
          </m:rPr>
          <m:t>=</m:t>
        </m:r>
        <m:r>
          <m:t>0</m:t>
        </m:r>
      </m:oMath>
      <w:r>
        <w:t xml:space="preserve">, la probabilidad final de incendio se fija analíticamente en</w:t>
      </w:r>
      <w:r>
        <w:t xml:space="preserve"> </w:t>
      </w:r>
      <m:oMath>
        <m:r>
          <m:t>P</m:t>
        </m:r>
        <m:r>
          <m:rPr>
            <m:sty m:val="p"/>
          </m:rPr>
          <m:t>(</m:t>
        </m:r>
        <m:sSub>
          <m:e>
            <m:r>
              <m:t>Y</m:t>
            </m:r>
          </m:e>
          <m:sub>
            <m:r>
              <m:t>i</m:t>
            </m:r>
            <m:r>
              <m:rPr>
                <m:sty m:val="p"/>
              </m:rPr>
              <m:t>,</m:t>
            </m:r>
            <m:r>
              <m:t>t</m:t>
            </m:r>
          </m:sub>
        </m:sSub>
        <m:r>
          <m:rPr>
            <m:sty m:val="p"/>
          </m:rPr>
          <m:t>=</m:t>
        </m:r>
        <m:r>
          <m:t>1</m:t>
        </m:r>
        <m:r>
          <m:rPr>
            <m:sty m:val="p"/>
          </m:rPr>
          <m:t>)</m:t>
        </m:r>
        <m:r>
          <m:rPr>
            <m:sty m:val="p"/>
          </m:rPr>
          <m:t>≡</m:t>
        </m:r>
        <m:r>
          <m:t>0</m:t>
        </m:r>
      </m:oMath>
      <w:r>
        <w:t xml:space="preserve">, reduciendo el espacio de búsqueda en un promedio multianual del 21,7 % (</w:t>
      </w:r>
      <m:oMath>
        <m:r>
          <m:t>915.562</m:t>
        </m:r>
        <m:r>
          <m:t>.849</m:t>
        </m:r>
      </m:oMath>
      <w:r>
        <w:t xml:space="preserve"> </w:t>
      </w:r>
      <w:r>
        <w:t xml:space="preserve">celda-días evaluadas de</w:t>
      </w:r>
      <w:r>
        <w:t xml:space="preserve"> </w:t>
      </w:r>
      <m:oMath>
        <m:r>
          <m:t>1.168</m:t>
        </m:r>
        <m:r>
          <m:rPr>
            <m:sty m:val="p"/>
          </m:rPr>
          <m:t>,</m:t>
        </m:r>
        <m:r>
          <m:t>8</m:t>
        </m:r>
        <m:r>
          <m:rPr>
            <m:nor/>
            <m:sty m:val="p"/>
          </m:rPr>
          <m:t>M</m:t>
        </m:r>
      </m:oMath>
      <w:r>
        <w:t xml:space="preserve">) y hasta un 92 % en días invernales húmedos, reteniendo el 97,17 % (</w:t>
      </w:r>
      <m:oMath>
        <m:r>
          <m:t>867.354</m:t>
        </m:r>
      </m:oMath>
      <w:r>
        <w:t xml:space="preserve"> </w:t>
      </w:r>
      <w:r>
        <w:t xml:space="preserve">de</w:t>
      </w:r>
      <w:r>
        <w:t xml:space="preserve"> </w:t>
      </w:r>
      <m:oMath>
        <m:r>
          <m:t>892.533</m:t>
        </m:r>
      </m:oMath>
      <w:r>
        <w:t xml:space="preserve">) de las detecciones térmicas satelitales (excluyendo únicamente fuegos bajo lluvia o baja desecación).</w:t>
      </w:r>
    </w:p>
    <w:bookmarkEnd w:id="17"/>
    <w:bookmarkStart w:id="22" w:name="X1008ec2e922ee129c3a10de223a4cfcbaf6b27a"/>
    <w:p>
      <w:pPr>
        <w:pStyle w:val="Heading2"/>
      </w:pPr>
      <w:r>
        <w:t xml:space="preserve">2.3 2.3 Formulación del Desacoplamiento Dual: Ignición vs. Propagación</w:t>
      </w:r>
    </w:p>
    <w:p>
      <w:pPr>
        <w:pStyle w:val="FirstParagraph"/>
      </w:pPr>
      <w:r>
        <w:t xml:space="preserve">Definimos dos espacios de variables diferenciados para evitar la contaminación de atajos espaciales (</w:t>
      </w:r>
      <w:hyperlink w:anchor="fig-arquitectura">
        <w:r>
          <w:rPr>
            <w:rStyle w:val="Hyperlink"/>
          </w:rPr>
          <w:t xml:space="preserve">Figura 1</w:t>
        </w:r>
      </w:hyperlink>
      <w:r>
        <w:t xml:space="preserve">):</w:t>
      </w:r>
    </w:p>
    <w:p>
      <w:pPr>
        <w:pStyle w:val="Compact"/>
        <w:numPr>
          <w:ilvl w:val="0"/>
          <w:numId w:val="1003"/>
        </w:numPr>
      </w:pPr>
      <w:r>
        <w:rPr>
          <w:b/>
          <w:bCs/>
        </w:rPr>
        <w:t xml:space="preserve">Espacio de Ignición Primaria (</w:t>
      </w:r>
      <m:oMath>
        <m:sSub>
          <m:e>
            <m:r>
              <m:rPr>
                <m:scr m:val="script"/>
                <m:sty m:val="p"/>
              </m:rPr>
              <m:t>X</m:t>
            </m:r>
          </m:e>
          <m:sub>
            <m:r>
              <m:rPr>
                <m:nor/>
                <m:sty m:val="p"/>
              </m:rPr>
              <m:t>ignición</m:t>
            </m:r>
          </m:sub>
        </m:sSub>
      </m:oMath>
      <w:r>
        <w:rPr>
          <w:b/>
          <w:bCs/>
        </w:rPr>
        <w:t xml:space="preserve">):</w:t>
      </w:r>
      <w:r>
        <w:br/>
      </w:r>
      <w:r>
        <w:t xml:space="preserve">Estructurado jerárquicamente a través de tres niveles de formulación para el estudio de ablación: el modelo biofísico puro</w:t>
      </w:r>
      <w:r>
        <w:t xml:space="preserve"> </w:t>
      </w:r>
      <m:oMath>
        <m:sSub>
          <m:e>
            <m:r>
              <m:rPr>
                <m:scr m:val="script"/>
                <m:sty m:val="p"/>
              </m:rPr>
              <m:t>M</m:t>
            </m:r>
          </m:e>
          <m:sub>
            <m:r>
              <m:t>1</m:t>
            </m:r>
          </m:sub>
        </m:sSub>
      </m:oMath>
      <w:r>
        <w:t xml:space="preserve"> </w:t>
      </w:r>
      <w:r>
        <w:t xml:space="preserve">(</w:t>
      </w:r>
      <m:oMath>
        <m:r>
          <m:t>17</m:t>
        </m:r>
      </m:oMath>
      <w:r>
        <w:t xml:space="preserve"> </w:t>
      </w:r>
      <w:r>
        <w:t xml:space="preserve">variables climáticas y de biomasa), el modelo base</w:t>
      </w:r>
      <w:r>
        <w:t xml:space="preserve"> </w:t>
      </w:r>
      <m:oMath>
        <m:sSub>
          <m:e>
            <m:r>
              <m:rPr>
                <m:scr m:val="script"/>
                <m:sty m:val="p"/>
              </m:rPr>
              <m:t>M</m:t>
            </m:r>
          </m:e>
          <m:sub>
            <m:r>
              <m:t>2</m:t>
            </m:r>
          </m:sub>
        </m:sSub>
      </m:oMath>
      <w:r>
        <w:t xml:space="preserve"> </w:t>
      </w:r>
      <w:r>
        <w:t xml:space="preserve">(</w:t>
      </w:r>
      <m:oMath>
        <m:r>
          <m:t>24</m:t>
        </m:r>
      </m:oMath>
      <w:r>
        <w:t xml:space="preserve"> </w:t>
      </w:r>
      <w:r>
        <w:t xml:space="preserve">variables, que añade ecotono y ancla macro histórica a 25 km), y el modelo operativo final</w:t>
      </w:r>
      <w:r>
        <w:t xml:space="preserve"> </w:t>
      </w:r>
      <m:oMath>
        <m:sSub>
          <m:e>
            <m:r>
              <m:rPr>
                <m:scr m:val="script"/>
                <m:sty m:val="p"/>
              </m:rPr>
              <m:t>M</m:t>
            </m:r>
          </m:e>
          <m:sub>
            <m:r>
              <m:t>3</m:t>
            </m:r>
          </m:sub>
        </m:sSub>
      </m:oMath>
      <w:r>
        <w:rPr>
          <w:b/>
          <w:bCs/>
        </w:rPr>
        <w:t xml:space="preserve"> </w:t>
      </w:r>
      <w:r>
        <w:rPr>
          <w:b/>
          <w:bCs/>
        </w:rPr>
        <w:t xml:space="preserve">Híbrido Socio-Ecológico Multiescala</w:t>
      </w:r>
      <w:r>
        <w:t xml:space="preserve"> </w:t>
      </w:r>
      <w:r>
        <w:t xml:space="preserve">(</w:t>
      </w:r>
      <m:oMath>
        <m:r>
          <m:t>33</m:t>
        </m:r>
        <m:r>
          <m:rPr>
            <m:nor/>
            <m:sty m:val="p"/>
          </m:rPr>
          <m:t>–</m:t>
        </m:r>
        <m:r>
          <m:t>34</m:t>
        </m:r>
      </m:oMath>
      <w:r>
        <w:t xml:space="preserve"> </w:t>
      </w:r>
      <w:r>
        <w:t xml:space="preserve">variables): temperatura máxima y mínima,</w:t>
      </w:r>
      <w:r>
        <w:t xml:space="preserve"> </w:t>
      </w:r>
      <m:oMath>
        <m:r>
          <m:t>V</m:t>
        </m:r>
        <m:r>
          <m:t>P</m:t>
        </m:r>
        <m:r>
          <m:t>D</m:t>
        </m:r>
      </m:oMath>
      <w:r>
        <w:t xml:space="preserve">, velocidad de viento sostenida, presión dinámica cuadrática (</w:t>
      </w:r>
      <m:oMath>
        <m:r>
          <m:rPr>
            <m:sty m:val="p"/>
          </m:rPr>
          <m:t>(</m:t>
        </m:r>
        <m:r>
          <m:t>v</m:t>
        </m:r>
        <m:r>
          <m:rPr>
            <m:sty m:val="p"/>
          </m:rPr>
          <m:t>/</m:t>
        </m:r>
        <m:r>
          <m:t>10</m:t>
        </m:r>
        <m:sSup>
          <m:e>
            <m:r>
              <m:rPr>
                <m:sty m:val="p"/>
              </m:rPr>
              <m:t>)</m:t>
            </m:r>
          </m:e>
          <m:sup>
            <m:r>
              <m:t>2</m:t>
            </m:r>
          </m:sup>
        </m:sSup>
      </m:oMath>
      <w:r>
        <w:t xml:space="preserve">), días secos consecutivos (</w:t>
      </w:r>
      <m:oMath>
        <m:r>
          <m:t>C</m:t>
        </m:r>
        <m:r>
          <m:t>D</m:t>
        </m:r>
        <m:r>
          <m:t>D</m:t>
        </m:r>
      </m:oMath>
      <w:r>
        <w:t xml:space="preserve">), déficit hídrico integrado (</w:t>
      </w:r>
      <m:oMath>
        <m:r>
          <m:t>V</m:t>
        </m:r>
        <m:r>
          <m:t>P</m:t>
        </m:r>
        <m:r>
          <m:t>D</m:t>
        </m:r>
        <m:r>
          <m:rPr>
            <m:sty m:val="p"/>
          </m:rPr>
          <m:t>×</m:t>
        </m:r>
        <m:r>
          <m:rPr>
            <m:sty m:val="p"/>
          </m:rPr>
          <m:t>(</m:t>
        </m:r>
        <m:r>
          <m:t>C</m:t>
        </m:r>
        <m:r>
          <m:t>D</m:t>
        </m:r>
        <m:r>
          <m:t>D</m:t>
        </m:r>
        <m:r>
          <m:rPr>
            <m:sty m:val="p"/>
          </m:rPr>
          <m:t>+</m:t>
        </m:r>
        <m:r>
          <m:t>1</m:t>
        </m:r>
        <m:r>
          <m:rPr>
            <m:sty m:val="p"/>
          </m:rPr>
          <m:t>)</m:t>
        </m:r>
      </m:oMath>
      <w:r>
        <w:t xml:space="preserve">), índices de balance hídrico foliar (</w:t>
      </w:r>
      <m:oMath>
        <m:r>
          <m:t>F</m:t>
        </m:r>
        <m:r>
          <m:t>F</m:t>
        </m:r>
        <m:r>
          <m:t>M</m:t>
        </m:r>
        <m:r>
          <m:t>C</m:t>
        </m:r>
      </m:oMath>
      <w:r>
        <w:t xml:space="preserve">,</w:t>
      </w:r>
      <w:r>
        <w:t xml:space="preserve"> </w:t>
      </w:r>
      <m:oMath>
        <m:r>
          <m:t>I</m:t>
        </m:r>
        <m:r>
          <m:t>S</m:t>
        </m:r>
        <m:r>
          <m:t>I</m:t>
        </m:r>
      </m:oMath>
      <w:r>
        <w:t xml:space="preserve">), amplitud térmica diaria (</w:t>
      </w:r>
      <m:oMath>
        <m:sSub>
          <m:e>
            <m:r>
              <m:t>T</m:t>
            </m:r>
          </m:e>
          <m:sub>
            <m:r>
              <m:rPr>
                <m:nor/>
                <m:sty m:val="p"/>
              </m:rPr>
              <m:t>max</m:t>
            </m:r>
          </m:sub>
        </m:sSub>
        <m:r>
          <m:rPr>
            <m:sty m:val="p"/>
          </m:rPr>
          <m:t>−</m:t>
        </m:r>
        <m:sSub>
          <m:e>
            <m:r>
              <m:t>T</m:t>
            </m:r>
          </m:e>
          <m:sub>
            <m:r>
              <m:rPr>
                <m:nor/>
                <m:sty m:val="p"/>
              </m:rPr>
              <m:t>min</m:t>
            </m:r>
          </m:sub>
        </m:sSub>
      </m:oMath>
      <w:r>
        <w:t xml:space="preserve">), proporciones del perfil de combustible MapBiomas real 2023, índice de ecotono perimetral, armónicos estacionales (</w:t>
      </w:r>
      <m:oMath>
        <m:r>
          <m:rPr>
            <m:sty m:val="p"/>
          </m:rPr>
          <m:t>sin</m:t>
        </m:r>
        <m:r>
          <m:rPr>
            <m:sty m:val="p"/>
          </m:rPr>
          <m:t>/</m:t>
        </m:r>
        <m:r>
          <m:rPr>
            <m:sty m:val="p"/>
          </m:rPr>
          <m:t>cos</m:t>
        </m:r>
        <m:r>
          <m:rPr>
            <m:nor/>
            <m:sty m:val="p"/>
          </m:rPr>
          <m:t>DOY</m:t>
        </m:r>
      </m:oMath>
      <w:r>
        <w:t xml:space="preserve">), ventana de quema agroganadera, corredores de accesibilidad antrópica (</w:t>
      </w:r>
      <m:oMath>
        <m:sSub>
          <m:e>
            <m:r>
              <m:t>d</m:t>
            </m:r>
          </m:e>
          <m:sub>
            <m:r>
              <m:rPr>
                <m:nor/>
                <m:sty m:val="p"/>
              </m:rPr>
              <m:t>corredor</m:t>
            </m:r>
          </m:sub>
        </m:sSub>
      </m:oMath>
      <w:r>
        <w:t xml:space="preserve">), densidad local a 5 y 10 km, focalización espacial y sinergias multiplicativas Acceso</w:t>
      </w:r>
      <w:r>
        <w:t xml:space="preserve"> </w:t>
      </w:r>
      <m:oMath>
        <m:r>
          <m:rPr>
            <m:sty m:val="p"/>
          </m:rPr>
          <m:t>×</m:t>
        </m:r>
        <m:r>
          <m:t>V</m:t>
        </m:r>
        <m:r>
          <m:t>P</m:t>
        </m:r>
        <m:r>
          <m:t>D</m:t>
        </m:r>
      </m:oMath>
      <w:r>
        <w:t xml:space="preserve"> </w:t>
      </w:r>
      <w:r>
        <w:t xml:space="preserve">y Presión en Pasturas.</w:t>
      </w:r>
      <w:r>
        <w:t xml:space="preserve"> </w:t>
      </w:r>
      <w:r>
        <w:rPr>
          <w:b/>
          <w:bCs/>
        </w:rPr>
        <w:t xml:space="preserve">No incluye ninguna variable dependiente de incendios observados en</w:t>
      </w:r>
      <w:r>
        <w:rPr>
          <w:b/>
          <w:bCs/>
        </w:rPr>
        <w:t xml:space="preserve"> </w:t>
      </w:r>
      <m:oMath>
        <m:r>
          <m:t>t</m:t>
        </m:r>
        <m:r>
          <m:rPr>
            <m:sty m:val="p"/>
          </m:rPr>
          <m:t>−</m:t>
        </m:r>
        <m:r>
          <m:t>1</m:t>
        </m:r>
      </m:oMath>
      <w:r>
        <w:rPr>
          <w:b/>
          <w:bCs/>
        </w:rPr>
        <w:t xml:space="preserve">.</w:t>
      </w:r>
    </w:p>
    <w:p>
      <w:pPr>
        <w:pStyle w:val="Compact"/>
        <w:numPr>
          <w:ilvl w:val="0"/>
          <w:numId w:val="1003"/>
        </w:numPr>
      </w:pPr>
      <w:r>
        <w:rPr>
          <w:b/>
          <w:bCs/>
        </w:rPr>
        <w:t xml:space="preserve">Espacio de Propagación Táctica (</w:t>
      </w:r>
      <m:oMath>
        <m:sSub>
          <m:e>
            <m:r>
              <m:rPr>
                <m:scr m:val="script"/>
                <m:sty m:val="p"/>
              </m:rPr>
              <m:t>X</m:t>
            </m:r>
          </m:e>
          <m:sub>
            <m:r>
              <m:rPr>
                <m:nor/>
                <m:sty m:val="p"/>
              </m:rPr>
              <m:t>propagación</m:t>
            </m:r>
          </m:sub>
        </m:sSub>
      </m:oMath>
      <w:r>
        <w:rPr>
          <w:b/>
          <w:bCs/>
        </w:rPr>
        <w:t xml:space="preserve">):</w:t>
      </w:r>
      <w:r>
        <w:br/>
      </w:r>
      <w:r>
        <w:t xml:space="preserve">Agrega a la formulación biofísica el kernel de proximidad espacial al frente de fuego activo más cercano en</w:t>
      </w:r>
      <w:r>
        <w:t xml:space="preserve"> </w:t>
      </w:r>
      <m:oMath>
        <m:r>
          <m:t>t</m:t>
        </m:r>
        <m:r>
          <m:rPr>
            <m:sty m:val="p"/>
          </m:rPr>
          <m:t>−</m:t>
        </m:r>
        <m:r>
          <m:t>1</m:t>
        </m:r>
      </m:oMath>
      <w:r>
        <w:t xml:space="preserve"> </w:t>
      </w:r>
      <w:r>
        <w:t xml:space="preserve">(</w:t>
      </w:r>
      <m:oMath>
        <m:r>
          <m:rPr>
            <m:nor/>
            <m:sty m:val="p"/>
          </m:rPr>
          <m:t>dist_foco_t1_km</m:t>
        </m:r>
      </m:oMath>
      <w:r>
        <w:t xml:space="preserve">), la densidad local de focos térmicos en un radio de 25 km (</w:t>
      </w:r>
      <m:oMath>
        <m:r>
          <m:rPr>
            <m:nor/>
            <m:sty m:val="p"/>
          </m:rPr>
          <m:t>focos_25km_t1</m:t>
        </m:r>
      </m:oMath>
      <w:r>
        <w:t xml:space="preserve">) y la potencia radiativa del fuego acumulada (</w:t>
      </w:r>
      <m:oMath>
        <m:r>
          <m:rPr>
            <m:nor/>
            <m:sty m:val="p"/>
          </m:rPr>
          <m:t>frp_25km_t1</m:t>
        </m:r>
      </m:oMath>
      <w:r>
        <w:t xml:space="preserve">), totalizando 28 variables predictoras base.</w:t>
      </w:r>
    </w:p>
    <w:tbl>
      <w:tblPr>
        <w:tblStyle w:val="Table"/>
        <w:tblW w:type="pct" w:w="5000"/>
        <w:tblLayout w:type="fixed"/>
        <w:tblLook w:firstRow="0" w:lastRow="0" w:firstColumn="0" w:lastColumn="0" w:noHBand="0" w:noVBand="0" w:val="0000"/>
      </w:tblPr>
      <w:tblGrid>
        <w:gridCol w:w="7920"/>
      </w:tblGrid>
      <w:tr>
        <w:tc>
          <w:tcPr/>
          <w:bookmarkStart w:id="21" w:name="fig-arquitectura"/>
          <w:p>
            <w:pPr>
              <w:pStyle w:val="Compact"/>
              <w:jc w:val="center"/>
            </w:pPr>
            <w:r>
              <w:drawing>
                <wp:inline>
                  <wp:extent cx="5334000" cy="2336234"/>
                  <wp:effectExtent b="0" l="0" r="0" t="0"/>
                  <wp:docPr descr="" title="" id="19" name="Picture"/>
                  <a:graphic>
                    <a:graphicData uri="http://schemas.openxmlformats.org/drawingml/2006/picture">
                      <pic:pic>
                        <pic:nvPicPr>
                          <pic:cNvPr descr="figuras/fig01_arquitectura_impacto_nature.png" id="20" name="Picture"/>
                          <pic:cNvPicPr>
                            <a:picLocks noChangeArrowheads="1" noChangeAspect="1"/>
                          </pic:cNvPicPr>
                        </pic:nvPicPr>
                        <pic:blipFill>
                          <a:blip r:embed="rId18"/>
                          <a:stretch>
                            <a:fillRect/>
                          </a:stretch>
                        </pic:blipFill>
                        <pic:spPr bwMode="auto">
                          <a:xfrm>
                            <a:off x="0" y="0"/>
                            <a:ext cx="5334000" cy="2336234"/>
                          </a:xfrm>
                          <a:prstGeom prst="rect">
                            <a:avLst/>
                          </a:prstGeom>
                          <a:noFill/>
                          <a:ln w="9525">
                            <a:noFill/>
                            <a:headEnd/>
                            <a:tailEnd/>
                          </a:ln>
                        </pic:spPr>
                      </pic:pic>
                    </a:graphicData>
                  </a:graphic>
                </wp:inline>
              </w:drawing>
            </w:r>
          </w:p>
          <w:p>
            <w:pPr>
              <w:jc w:val="center"/>
            </w:pPr>
            <w:pPr>
              <w:jc w:val="left"/>
              <w:spacing w:before="200"/>
              <w:pStyle w:val="ImageCaption"/>
            </w:pPr>
            <w:r>
              <w:t xml:space="preserve">Figura 1: Arquitectura computacional desacoplada de</w:t>
            </w:r>
            <w:r>
              <w:t xml:space="preserve"> </w:t>
            </w:r>
            <w:r>
              <w:rPr>
                <w:rStyle w:val="VerbatimChar"/>
              </w:rPr>
              <w:t xml:space="preserve">Incendios_PY</w:t>
            </w:r>
            <w:r>
              <w:t xml:space="preserve">: Ingesta biofísica multifuente, cribado cinemático de Etapa 1, modelado dual GeoAI (Modo 1 Ignición Física vs. Modo 2 Propagación Táctica) y benchmarking internacional frente a Canadian FWI y Proxy INPE.</w:t>
            </w:r>
          </w:p>
          <w:bookmarkEnd w:id="21"/>
        </w:tc>
      </w:tr>
    </w:tbl>
    <w:bookmarkEnd w:id="22"/>
    <w:bookmarkStart w:id="27" w:name="X214a4fa7c1aeb367c09b5398c8357d829c264ae"/>
    <w:p>
      <w:pPr>
        <w:pStyle w:val="Heading2"/>
      </w:pPr>
      <w:r>
        <w:t xml:space="preserve">2.4 2.4 Kernel de Contagio Espaciotemporal Causal</w:t>
      </w:r>
      <w:r>
        <w:t xml:space="preserve"> </w:t>
      </w:r>
      <m:oMath>
        <m:r>
          <m:t>t</m:t>
        </m:r>
        <m:r>
          <m:rPr>
            <m:sty m:val="p"/>
          </m:rPr>
          <m:t>−</m:t>
        </m:r>
        <m:r>
          <m:t>1</m:t>
        </m:r>
      </m:oMath>
    </w:p>
    <w:p>
      <w:pPr>
        <w:pStyle w:val="FirstParagraph"/>
      </w:pPr>
      <w:r>
        <w:t xml:space="preserve">Para la propagación táctica, el avance de un incendio desde una celda activa</w:t>
      </w:r>
      <w:r>
        <w:t xml:space="preserve"> </w:t>
      </w:r>
      <m:oMath>
        <m:r>
          <m:t>k</m:t>
        </m:r>
      </m:oMath>
      <w:r>
        <w:t xml:space="preserve"> </w:t>
      </w:r>
      <w:r>
        <w:t xml:space="preserve">hacia la celda candidata</w:t>
      </w:r>
      <w:r>
        <w:t xml:space="preserve"> </w:t>
      </w:r>
      <m:oMath>
        <m:r>
          <m:t>i</m:t>
        </m:r>
      </m:oMath>
      <w:r>
        <w:t xml:space="preserve"> </w:t>
      </w:r>
      <w:r>
        <w:t xml:space="preserve">se parametriza mediante una distancia euclidiana proyectada UTM (Zona 21S, WGS 84, EPSG:32721):</w:t>
      </w:r>
    </w:p>
    <w:p>
      <w:pPr>
        <w:pStyle w:val="BodyText"/>
      </w:pPr>
      <w:bookmarkStart w:id="23" w:name="eq-dist"/>
      <m:oMathPara>
        <m:oMathParaPr>
          <m:jc m:val="center"/>
        </m:oMathParaPr>
        <m:oMath>
          <m:r>
            <m:t>d</m:t>
          </m:r>
          <m:r>
            <m:rPr>
              <m:sty m:val="p"/>
            </m:rPr>
            <m:t>(</m:t>
          </m:r>
          <m:sSub>
            <m:e>
              <m:r>
                <m:t>s</m:t>
              </m:r>
            </m:e>
            <m:sub>
              <m:r>
                <m:t>i</m:t>
              </m:r>
            </m:sub>
          </m:sSub>
          <m:r>
            <m:rPr>
              <m:sty m:val="p"/>
            </m:rPr>
            <m:t>,</m:t>
          </m:r>
          <m:sSub>
            <m:e>
              <m:r>
                <m:rPr>
                  <m:scr m:val="script"/>
                  <m:sty m:val="p"/>
                </m:rPr>
                <m:t>F</m:t>
              </m:r>
            </m:e>
            <m:sub>
              <m:r>
                <m:t>t</m:t>
              </m:r>
              <m:r>
                <m:rPr>
                  <m:sty m:val="p"/>
                </m:rPr>
                <m:t>−</m:t>
              </m:r>
              <m:r>
                <m:t>1</m:t>
              </m:r>
            </m:sub>
          </m:sSub>
          <m:r>
            <m:rPr>
              <m:sty m:val="p"/>
            </m:rPr>
            <m:t>)</m:t>
          </m:r>
          <m:r>
            <m:rPr>
              <m:sty m:val="p"/>
            </m:rPr>
            <m:t>=</m:t>
          </m:r>
          <m:limLow>
            <m:e>
              <m:r>
                <m:rPr>
                  <m:sty m:val="p"/>
                </m:rPr>
                <m:t>min</m:t>
              </m:r>
            </m:e>
            <m:lim>
              <m:sSub>
                <m:e>
                  <m:r>
                    <m:t>s</m:t>
                  </m:r>
                </m:e>
                <m:sub>
                  <m:r>
                    <m:t>k</m:t>
                  </m:r>
                </m:sub>
              </m:sSub>
              <m:r>
                <m:rPr>
                  <m:sty m:val="p"/>
                </m:rPr>
                <m:t>∈</m:t>
              </m:r>
              <m:sSub>
                <m:e>
                  <m:r>
                    <m:rPr>
                      <m:scr m:val="script"/>
                      <m:sty m:val="p"/>
                    </m:rPr>
                    <m:t>F</m:t>
                  </m:r>
                </m:e>
                <m:sub>
                  <m:r>
                    <m:t>t</m:t>
                  </m:r>
                  <m:r>
                    <m:rPr>
                      <m:sty m:val="p"/>
                    </m:rPr>
                    <m:t>−</m:t>
                  </m:r>
                  <m:r>
                    <m:t>1</m:t>
                  </m:r>
                </m:sub>
              </m:sSub>
            </m:lim>
          </m:limLow>
          <m:rad>
            <m:radPr>
              <m:degHide m:val="on"/>
            </m:radPr>
            <m:deg/>
            <m:e>
              <m:r>
                <m:rPr>
                  <m:sty m:val="p"/>
                </m:rPr>
                <m:t>(</m:t>
              </m:r>
              <m:sSub>
                <m:e>
                  <m:r>
                    <m:t>x</m:t>
                  </m:r>
                </m:e>
                <m:sub>
                  <m:r>
                    <m:t>i</m:t>
                  </m:r>
                </m:sub>
              </m:sSub>
              <m:r>
                <m:rPr>
                  <m:sty m:val="p"/>
                </m:rPr>
                <m:t>−</m:t>
              </m:r>
              <m:sSub>
                <m:e>
                  <m:r>
                    <m:t>x</m:t>
                  </m:r>
                </m:e>
                <m:sub>
                  <m:r>
                    <m:t>k</m:t>
                  </m:r>
                </m:sub>
              </m:sSub>
              <m:sSup>
                <m:e>
                  <m:r>
                    <m:rPr>
                      <m:sty m:val="p"/>
                    </m:rPr>
                    <m:t>)</m:t>
                  </m:r>
                </m:e>
                <m:sup>
                  <m:r>
                    <m:t>2</m:t>
                  </m:r>
                </m:sup>
              </m:sSup>
              <m:r>
                <m:rPr>
                  <m:sty m:val="p"/>
                </m:rPr>
                <m:t>+</m:t>
              </m:r>
              <m:r>
                <m:rPr>
                  <m:sty m:val="p"/>
                </m:rPr>
                <m:t>(</m:t>
              </m:r>
              <m:sSub>
                <m:e>
                  <m:r>
                    <m:t>y</m:t>
                  </m:r>
                </m:e>
                <m:sub>
                  <m:r>
                    <m:t>i</m:t>
                  </m:r>
                </m:sub>
              </m:sSub>
              <m:r>
                <m:rPr>
                  <m:sty m:val="p"/>
                </m:rPr>
                <m:t>−</m:t>
              </m:r>
              <m:sSub>
                <m:e>
                  <m:r>
                    <m:t>y</m:t>
                  </m:r>
                </m:e>
                <m:sub>
                  <m:r>
                    <m:t>k</m:t>
                  </m:r>
                </m:sub>
              </m:sSub>
              <m:sSup>
                <m:e>
                  <m:r>
                    <m:rPr>
                      <m:sty m:val="p"/>
                    </m:rPr>
                    <m:t>)</m:t>
                  </m:r>
                </m:e>
                <m:sup>
                  <m:r>
                    <m:t>2</m:t>
                  </m:r>
                </m:sup>
              </m:sSup>
            </m:e>
          </m:rad>
          <m:r>
            <m:t> </m:t>
          </m:r>
          <m:r>
            <m:rPr>
              <m:sty m:val="p"/>
            </m:rPr>
            <m:t>[</m:t>
          </m:r>
          <m:r>
            <m:rPr>
              <m:nor/>
              <m:sty m:val="p"/>
            </m:rPr>
            <m:t>km</m:t>
          </m:r>
          <m:r>
            <m:rPr>
              <m:sty m:val="p"/>
            </m:rPr>
            <m:t>]</m:t>
          </m:r>
          <m:r>
            <m:t>  </m:t>
          </m:r>
          <m:r>
            <m:rPr>
              <m:sty m:val="p"/>
            </m:rPr>
            <m:t>(</m:t>
          </m:r>
          <m:r>
            <m:t>5</m:t>
          </m:r>
          <m:r>
            <m:rPr>
              <m:sty m:val="p"/>
            </m:rPr>
            <m:t>)</m:t>
          </m:r>
        </m:oMath>
      </m:oMathPara>
      <w:bookmarkEnd w:id="23"/>
    </w:p>
    <w:p>
      <w:pPr>
        <w:pStyle w:val="FirstParagraph"/>
      </w:pPr>
      <w:r>
        <w:t xml:space="preserve">donde</w:t>
      </w:r>
      <w:r>
        <w:t xml:space="preserve"> </w:t>
      </w:r>
      <m:oMath>
        <m:sSub>
          <m:e>
            <m:r>
              <m:rPr>
                <m:scr m:val="script"/>
                <m:sty m:val="p"/>
              </m:rPr>
              <m:t>F</m:t>
            </m:r>
          </m:e>
          <m:sub>
            <m:r>
              <m:t>t</m:t>
            </m:r>
            <m:r>
              <m:rPr>
                <m:sty m:val="p"/>
              </m:rPr>
              <m:t>−</m:t>
            </m:r>
            <m:r>
              <m:t>1</m:t>
            </m:r>
          </m:sub>
        </m:sSub>
      </m:oMath>
      <w:r>
        <w:t xml:space="preserve"> </w:t>
      </w:r>
      <w:r>
        <w:t xml:space="preserve">es el conjunto de celdas con detección térmica satelital validada en la fecha</w:t>
      </w:r>
      <w:r>
        <w:t xml:space="preserve"> </w:t>
      </w:r>
      <m:oMath>
        <m:r>
          <m:t>t</m:t>
        </m:r>
        <m:r>
          <m:rPr>
            <m:sty m:val="p"/>
          </m:rPr>
          <m:t>−</m:t>
        </m:r>
        <m:r>
          <m:t>1</m:t>
        </m:r>
      </m:oMath>
      <w:r>
        <w:t xml:space="preserve">. La densidad local y la energía térmica antecedente se cuantifican mediante un kernel causal uniforme en ventana circular de</w:t>
      </w:r>
      <w:r>
        <w:t xml:space="preserve"> </w:t>
      </w:r>
      <m:oMath>
        <m:r>
          <m:t>R</m:t>
        </m:r>
        <m:r>
          <m:rPr>
            <m:sty m:val="p"/>
          </m:rPr>
          <m:t>=</m:t>
        </m:r>
        <m:r>
          <m:t>25</m:t>
        </m:r>
        <m:r>
          <m:rPr>
            <m:nor/>
            <m:sty m:val="p"/>
          </m:rPr>
          <m:t> km</m:t>
        </m:r>
      </m:oMath>
      <w:r>
        <w:t xml:space="preserve">:</w:t>
      </w:r>
    </w:p>
    <w:p>
      <w:pPr>
        <w:pStyle w:val="BodyText"/>
      </w:pPr>
      <w:bookmarkStart w:id="24" w:name="eq-dens"/>
      <m:oMathPara>
        <m:oMathParaPr>
          <m:jc m:val="center"/>
        </m:oMathParaPr>
        <m:oMath>
          <m:r>
            <m:rPr>
              <m:nor/>
              <m:sty m:val="p"/>
            </m:rPr>
            <m:t>focos_25km_t1</m:t>
          </m:r>
          <m:r>
            <m:rPr>
              <m:sty m:val="p"/>
            </m:rPr>
            <m:t>(</m:t>
          </m:r>
          <m:sSub>
            <m:e>
              <m:r>
                <m:t>s</m:t>
              </m:r>
            </m:e>
            <m:sub>
              <m:r>
                <m:t>i</m:t>
              </m:r>
            </m:sub>
          </m:sSub>
          <m:r>
            <m:rPr>
              <m:sty m:val="p"/>
            </m:rPr>
            <m:t>)</m:t>
          </m:r>
          <m:r>
            <m:rPr>
              <m:sty m:val="p"/>
            </m:rPr>
            <m:t>=</m:t>
          </m:r>
          <m:nary>
            <m:naryPr>
              <m:chr m:val="∑"/>
              <m:limLoc m:val="undOvr"/>
              <m:subHide m:val="off"/>
              <m:supHide m:val="on"/>
            </m:naryPr>
            <m:sub>
              <m:sSub>
                <m:e>
                  <m:r>
                    <m:t>s</m:t>
                  </m:r>
                </m:e>
                <m:sub>
                  <m:r>
                    <m:t>k</m:t>
                  </m:r>
                </m:sub>
              </m:sSub>
              <m:r>
                <m:rPr>
                  <m:sty m:val="p"/>
                </m:rPr>
                <m:t>∈</m:t>
              </m:r>
              <m:sSub>
                <m:e>
                  <m:r>
                    <m:rPr>
                      <m:scr m:val="script"/>
                      <m:sty m:val="p"/>
                    </m:rPr>
                    <m:t>F</m:t>
                  </m:r>
                </m:e>
                <m:sub>
                  <m:r>
                    <m:t>t</m:t>
                  </m:r>
                  <m:r>
                    <m:rPr>
                      <m:sty m:val="p"/>
                    </m:rPr>
                    <m:t>−</m:t>
                  </m:r>
                  <m:r>
                    <m:t>1</m:t>
                  </m:r>
                </m:sub>
              </m:sSub>
            </m:sub>
            <m:sup>
              <m:r>
                <m:t>​</m:t>
              </m:r>
            </m:sup>
            <m:e>
              <m:r>
                <m:rPr>
                  <m:scr m:val="double-struck"/>
                  <m:sty m:val="p"/>
                </m:rPr>
                <m:t>I</m:t>
              </m:r>
            </m:e>
          </m:nary>
          <m:d>
            <m:dPr>
              <m:begChr m:val="("/>
              <m:sepChr m:val=""/>
              <m:endChr m:val=")"/>
              <m:grow/>
            </m:dPr>
            <m:e>
              <m:r>
                <m:rPr>
                  <m:sty m:val="p"/>
                </m:rPr>
                <m:t>∥</m:t>
              </m:r>
              <m:sSub>
                <m:e>
                  <m:r>
                    <m:t>s</m:t>
                  </m:r>
                </m:e>
                <m:sub>
                  <m:r>
                    <m:t>i</m:t>
                  </m:r>
                </m:sub>
              </m:sSub>
              <m:r>
                <m:rPr>
                  <m:sty m:val="p"/>
                </m:rPr>
                <m:t>−</m:t>
              </m:r>
              <m:sSub>
                <m:e>
                  <m:r>
                    <m:t>s</m:t>
                  </m:r>
                </m:e>
                <m:sub>
                  <m:r>
                    <m:t>k</m:t>
                  </m:r>
                </m:sub>
              </m:sSub>
              <m:r>
                <m:rPr>
                  <m:sty m:val="p"/>
                </m:rPr>
                <m:t>∥</m:t>
              </m:r>
              <m:r>
                <m:rPr>
                  <m:sty m:val="p"/>
                </m:rPr>
                <m:t>≤</m:t>
              </m:r>
              <m:r>
                <m:t>R</m:t>
              </m:r>
            </m:e>
          </m:d>
          <m:r>
            <m:t>  </m:t>
          </m:r>
          <m:r>
            <m:rPr>
              <m:sty m:val="p"/>
            </m:rPr>
            <m:t>(</m:t>
          </m:r>
          <m:r>
            <m:t>6</m:t>
          </m:r>
          <m:r>
            <m:rPr>
              <m:sty m:val="p"/>
            </m:rPr>
            <m:t>)</m:t>
          </m:r>
        </m:oMath>
      </m:oMathPara>
      <w:bookmarkEnd w:id="24"/>
    </w:p>
    <w:p>
      <w:pPr>
        <w:pStyle w:val="FirstParagraph"/>
      </w:pPr>
      <w:bookmarkStart w:id="25" w:name="eq-frp"/>
      <m:oMathPara>
        <m:oMathParaPr>
          <m:jc m:val="center"/>
        </m:oMathParaPr>
        <m:oMath>
          <m:r>
            <m:rPr>
              <m:nor/>
              <m:sty m:val="p"/>
            </m:rPr>
            <m:t>frp_25km_t1</m:t>
          </m:r>
          <m:r>
            <m:rPr>
              <m:sty m:val="p"/>
            </m:rPr>
            <m:t>(</m:t>
          </m:r>
          <m:sSub>
            <m:e>
              <m:r>
                <m:t>s</m:t>
              </m:r>
            </m:e>
            <m:sub>
              <m:r>
                <m:t>i</m:t>
              </m:r>
            </m:sub>
          </m:sSub>
          <m:r>
            <m:rPr>
              <m:sty m:val="p"/>
            </m:rPr>
            <m:t>)</m:t>
          </m:r>
          <m:r>
            <m:rPr>
              <m:sty m:val="p"/>
            </m:rPr>
            <m:t>=</m:t>
          </m:r>
          <m:nary>
            <m:naryPr>
              <m:chr m:val="∑"/>
              <m:limLoc m:val="undOvr"/>
              <m:subHide m:val="off"/>
              <m:supHide m:val="on"/>
            </m:naryPr>
            <m:sub>
              <m:sSub>
                <m:e>
                  <m:r>
                    <m:t>s</m:t>
                  </m:r>
                </m:e>
                <m:sub>
                  <m:r>
                    <m:t>k</m:t>
                  </m:r>
                </m:sub>
              </m:sSub>
              <m:r>
                <m:rPr>
                  <m:sty m:val="p"/>
                </m:rPr>
                <m:t>∈</m:t>
              </m:r>
              <m:sSub>
                <m:e>
                  <m:r>
                    <m:rPr>
                      <m:scr m:val="script"/>
                      <m:sty m:val="p"/>
                    </m:rPr>
                    <m:t>F</m:t>
                  </m:r>
                </m:e>
                <m:sub>
                  <m:r>
                    <m:t>t</m:t>
                  </m:r>
                  <m:r>
                    <m:rPr>
                      <m:sty m:val="p"/>
                    </m:rPr>
                    <m:t>−</m:t>
                  </m:r>
                  <m:r>
                    <m:t>1</m:t>
                  </m:r>
                </m:sub>
              </m:sSub>
            </m:sub>
            <m:sup>
              <m:r>
                <m:t>​</m:t>
              </m:r>
            </m:sup>
            <m:e>
              <m:r>
                <m:t>F</m:t>
              </m:r>
            </m:e>
          </m:nary>
          <m:r>
            <m:t>R</m:t>
          </m:r>
          <m:sSub>
            <m:e>
              <m:r>
                <m:t>P</m:t>
              </m:r>
            </m:e>
            <m:sub>
              <m:r>
                <m:t>k</m:t>
              </m:r>
            </m:sub>
          </m:sSub>
          <m:r>
            <m:rPr>
              <m:sty m:val="p"/>
            </m:rPr>
            <m:t>⋅</m:t>
          </m:r>
          <m:r>
            <m:rPr>
              <m:scr m:val="double-struck"/>
              <m:sty m:val="p"/>
            </m:rPr>
            <m:t>I</m:t>
          </m:r>
          <m:d>
            <m:dPr>
              <m:begChr m:val="("/>
              <m:sepChr m:val=""/>
              <m:endChr m:val=")"/>
              <m:grow/>
            </m:dPr>
            <m:e>
              <m:r>
                <m:rPr>
                  <m:sty m:val="p"/>
                </m:rPr>
                <m:t>∥</m:t>
              </m:r>
              <m:sSub>
                <m:e>
                  <m:r>
                    <m:t>s</m:t>
                  </m:r>
                </m:e>
                <m:sub>
                  <m:r>
                    <m:t>i</m:t>
                  </m:r>
                </m:sub>
              </m:sSub>
              <m:r>
                <m:rPr>
                  <m:sty m:val="p"/>
                </m:rPr>
                <m:t>−</m:t>
              </m:r>
              <m:sSub>
                <m:e>
                  <m:r>
                    <m:t>s</m:t>
                  </m:r>
                </m:e>
                <m:sub>
                  <m:r>
                    <m:t>k</m:t>
                  </m:r>
                </m:sub>
              </m:sSub>
              <m:r>
                <m:rPr>
                  <m:sty m:val="p"/>
                </m:rPr>
                <m:t>∥</m:t>
              </m:r>
              <m:r>
                <m:rPr>
                  <m:sty m:val="p"/>
                </m:rPr>
                <m:t>≤</m:t>
              </m:r>
              <m:r>
                <m:t>R</m:t>
              </m:r>
            </m:e>
          </m:d>
          <m:r>
            <m:t> </m:t>
          </m:r>
          <m:r>
            <m:rPr>
              <m:sty m:val="p"/>
            </m:rPr>
            <m:t>[</m:t>
          </m:r>
          <m:r>
            <m:rPr>
              <m:nor/>
              <m:sty m:val="p"/>
            </m:rPr>
            <m:t>MW</m:t>
          </m:r>
          <m:r>
            <m:rPr>
              <m:sty m:val="p"/>
            </m:rPr>
            <m:t>]</m:t>
          </m:r>
          <m:r>
            <m:t>  </m:t>
          </m:r>
          <m:r>
            <m:rPr>
              <m:sty m:val="p"/>
            </m:rPr>
            <m:t>(</m:t>
          </m:r>
          <m:r>
            <m:t>7</m:t>
          </m:r>
          <m:r>
            <m:rPr>
              <m:sty m:val="p"/>
            </m:rPr>
            <m:t>)</m:t>
          </m:r>
        </m:oMath>
      </m:oMathPara>
      <w:bookmarkEnd w:id="25"/>
    </w:p>
    <w:p>
      <w:pPr>
        <w:pStyle w:val="FirstParagraph"/>
      </w:pPr>
      <w:r>
        <w:t xml:space="preserve">donde la potencia radiativa del fuego (</w:t>
      </w:r>
      <m:oMath>
        <m:r>
          <m:t>F</m:t>
        </m:r>
        <m:r>
          <m:t>R</m:t>
        </m:r>
        <m:r>
          <m:t>P</m:t>
        </m:r>
      </m:oMath>
      <w:r>
        <w:t xml:space="preserve">) cuantifica la tasa instantánea de energía liberada por la biomasa en combustión</w:t>
      </w:r>
      <w:r>
        <w:t xml:space="preserve"> </w:t>
      </w:r>
      <w:r>
        <w:t xml:space="preserve">(Wooster et al., 2005)</w:t>
      </w:r>
      <w:r>
        <w:t xml:space="preserve">. Adicionalmente, formalizamos el</w:t>
      </w:r>
      <w:r>
        <w:t xml:space="preserve"> </w:t>
      </w:r>
      <w:r>
        <w:rPr>
          <w:b/>
          <w:bCs/>
        </w:rPr>
        <w:t xml:space="preserve">Índice de Ecotono</w:t>
      </w:r>
      <w:r>
        <w:t xml:space="preserve"> </w:t>
      </w:r>
      <w:r>
        <w:t xml:space="preserve">(</w:t>
      </w:r>
      <m:oMath>
        <m:sSub>
          <m:e>
            <m:r>
              <m:rPr>
                <m:scr m:val="script"/>
                <m:sty m:val="p"/>
              </m:rPr>
              <m:t>E</m:t>
            </m:r>
          </m:e>
          <m:sub>
            <m:r>
              <m:t>i</m:t>
            </m:r>
          </m:sub>
        </m:sSub>
      </m:oMath>
      <w:r>
        <w:t xml:space="preserve">) como la interacción parabólica de borde entre la fracción de cobertura boscosa y pasturas dentro de la misma celda de 1 km²:</w:t>
      </w:r>
    </w:p>
    <w:p>
      <w:pPr>
        <w:pStyle w:val="BodyText"/>
      </w:pPr>
      <w:bookmarkStart w:id="26" w:name="eq-ecotono"/>
      <m:oMathPara>
        <m:oMathParaPr>
          <m:jc m:val="center"/>
        </m:oMathParaPr>
        <m:oMath>
          <m:sSub>
            <m:e>
              <m:r>
                <m:rPr>
                  <m:scr m:val="script"/>
                  <m:sty m:val="p"/>
                </m:rPr>
                <m:t>E</m:t>
              </m:r>
            </m:e>
            <m:sub>
              <m:r>
                <m:t>i</m:t>
              </m:r>
            </m:sub>
          </m:sSub>
          <m:r>
            <m:rPr>
              <m:sty m:val="p"/>
            </m:rPr>
            <m:t>=</m:t>
          </m:r>
          <m:r>
            <m:t>4</m:t>
          </m:r>
          <m:r>
            <m:rPr>
              <m:sty m:val="p"/>
            </m:rPr>
            <m:t>,</m:t>
          </m:r>
          <m:r>
            <m:t>0</m:t>
          </m:r>
          <m:r>
            <m:rPr>
              <m:sty m:val="p"/>
            </m:rPr>
            <m:t>⋅</m:t>
          </m:r>
          <m:sSub>
            <m:e>
              <m:r>
                <m:t>p</m:t>
              </m:r>
            </m:e>
            <m:sub>
              <m:r>
                <m:rPr>
                  <m:nor/>
                  <m:sty m:val="p"/>
                </m:rPr>
                <m:t>bosque</m:t>
              </m:r>
              <m:r>
                <m:rPr>
                  <m:sty m:val="p"/>
                </m:rPr>
                <m:t>,</m:t>
              </m:r>
              <m:r>
                <m:t>i</m:t>
              </m:r>
            </m:sub>
          </m:sSub>
          <m:r>
            <m:rPr>
              <m:sty m:val="p"/>
            </m:rPr>
            <m:t>⋅</m:t>
          </m:r>
          <m:sSub>
            <m:e>
              <m:r>
                <m:t>p</m:t>
              </m:r>
            </m:e>
            <m:sub>
              <m:r>
                <m:rPr>
                  <m:nor/>
                  <m:sty m:val="p"/>
                </m:rPr>
                <m:t>pastura</m:t>
              </m:r>
              <m:r>
                <m:rPr>
                  <m:sty m:val="p"/>
                </m:rPr>
                <m:t>,</m:t>
              </m:r>
              <m:r>
                <m:t>i</m:t>
              </m:r>
            </m:sub>
          </m:sSub>
          <m:r>
            <m:rPr>
              <m:sty m:val="p"/>
            </m:rPr>
            <m:t>∈</m:t>
          </m:r>
          <m:r>
            <m:rPr>
              <m:sty m:val="p"/>
            </m:rPr>
            <m:t>[</m:t>
          </m:r>
          <m:r>
            <m:t>0</m:t>
          </m:r>
          <m:r>
            <m:rPr>
              <m:sty m:val="p"/>
            </m:rPr>
            <m:t>,</m:t>
          </m:r>
          <m:r>
            <m:t>1</m:t>
          </m:r>
          <m:r>
            <m:rPr>
              <m:sty m:val="p"/>
            </m:rPr>
            <m:t>]</m:t>
          </m:r>
          <m:r>
            <m:t>  </m:t>
          </m:r>
          <m:r>
            <m:rPr>
              <m:sty m:val="p"/>
            </m:rPr>
            <m:t>(</m:t>
          </m:r>
          <m:r>
            <m:t>8</m:t>
          </m:r>
          <m:r>
            <m:rPr>
              <m:sty m:val="p"/>
            </m:rPr>
            <m:t>)</m:t>
          </m:r>
        </m:oMath>
      </m:oMathPara>
      <w:bookmarkEnd w:id="26"/>
    </w:p>
    <w:p>
      <w:pPr>
        <w:pStyle w:val="FirstParagraph"/>
      </w:pPr>
      <w:r>
        <w:t xml:space="preserve">donde</w:t>
      </w:r>
      <w:r>
        <w:t xml:space="preserve"> </w:t>
      </w:r>
      <m:oMath>
        <m:sSub>
          <m:e>
            <m:r>
              <m:t>p</m:t>
            </m:r>
          </m:e>
          <m:sub>
            <m:r>
              <m:rPr>
                <m:nor/>
                <m:sty m:val="p"/>
              </m:rPr>
              <m:t>bosque</m:t>
            </m:r>
            <m:r>
              <m:rPr>
                <m:sty m:val="p"/>
              </m:rPr>
              <m:t>,</m:t>
            </m:r>
            <m:r>
              <m:t>i</m:t>
            </m:r>
          </m:sub>
        </m:sSub>
      </m:oMath>
      <w:r>
        <w:t xml:space="preserve"> </w:t>
      </w:r>
      <w:r>
        <w:t xml:space="preserve">corresponde a la fracción de bosque seco xerofítico en el Chaco o de bosque atlántico en la Región Oriental, y</w:t>
      </w:r>
      <w:r>
        <w:t xml:space="preserve"> </w:t>
      </w:r>
      <m:oMath>
        <m:sSub>
          <m:e>
            <m:r>
              <m:t>p</m:t>
            </m:r>
          </m:e>
          <m:sub>
            <m:r>
              <m:rPr>
                <m:nor/>
                <m:sty m:val="p"/>
              </m:rPr>
              <m:t>pastura</m:t>
            </m:r>
            <m:r>
              <m:rPr>
                <m:sty m:val="p"/>
              </m:rPr>
              <m:t>,</m:t>
            </m:r>
            <m:r>
              <m:t>i</m:t>
            </m:r>
          </m:sub>
        </m:sSub>
      </m:oMath>
      <w:r>
        <w:t xml:space="preserve"> </w:t>
      </w:r>
      <w:r>
        <w:t xml:space="preserve">es la fracción de pasturas cultivadas (</w:t>
      </w:r>
      <m:oMath>
        <m:r>
          <m:t>p</m:t>
        </m:r>
        <m:r>
          <m:rPr>
            <m:sty m:val="p"/>
          </m:rPr>
          <m:t>∈</m:t>
        </m:r>
        <m:r>
          <m:rPr>
            <m:sty m:val="p"/>
          </m:rPr>
          <m:t>[</m:t>
        </m:r>
        <m:r>
          <m:t>0</m:t>
        </m:r>
        <m:r>
          <m:rPr>
            <m:sty m:val="p"/>
          </m:rPr>
          <m:t>,</m:t>
        </m:r>
        <m:r>
          <m:t>1</m:t>
        </m:r>
        <m:r>
          <m:rPr>
            <m:sty m:val="p"/>
          </m:rPr>
          <m:t>]</m:t>
        </m:r>
      </m:oMath>
      <w:r>
        <w:t xml:space="preserve">). Este índice alcanza su valor máximo teórico (</w:t>
      </w:r>
      <m:oMath>
        <m:sSub>
          <m:e>
            <m:r>
              <m:rPr>
                <m:scr m:val="script"/>
                <m:sty m:val="p"/>
              </m:rPr>
              <m:t>E</m:t>
            </m:r>
          </m:e>
          <m:sub>
            <m:r>
              <m:t>i</m:t>
            </m:r>
          </m:sub>
        </m:sSub>
        <m:r>
          <m:rPr>
            <m:sty m:val="p"/>
          </m:rPr>
          <m:t>=</m:t>
        </m:r>
        <m:r>
          <m:t>1</m:t>
        </m:r>
        <m:r>
          <m:rPr>
            <m:sty m:val="p"/>
          </m:rPr>
          <m:t>,</m:t>
        </m:r>
        <m:r>
          <m:t>0</m:t>
        </m:r>
      </m:oMath>
      <w:r>
        <w:t xml:space="preserve">) cuando la celda presenta una partición paritaria (50 % bosque y 50 % pastura), modelando con exactitud la interfaz crítica de deforestación y quema de cordones donde la biomasa combustible seca toma contacto directo con fuentes de ignición antrópica.</w:t>
      </w:r>
    </w:p>
    <w:bookmarkEnd w:id="27"/>
    <w:bookmarkStart w:id="29" w:name="X14c1f7db0eabfa7396a549817e412a30b3d5925"/>
    <w:p>
      <w:pPr>
        <w:pStyle w:val="Heading2"/>
      </w:pPr>
      <w:r>
        <w:t xml:space="preserve">2.5 2.5 Calibración Probabilística Monótona Acotada</w:t>
      </w:r>
    </w:p>
    <w:p>
      <w:pPr>
        <w:pStyle w:val="FirstParagraph"/>
      </w:pPr>
      <w:r>
        <w:t xml:space="preserve">Los árboles de decisión por gradiente generan puntuaciones (</w:t>
      </w:r>
      <w:r>
        <w:rPr>
          <w:i/>
          <w:iCs/>
        </w:rPr>
        <w:t xml:space="preserve">logits</w:t>
      </w:r>
      <w:r>
        <w:t xml:space="preserve">) que no representan necesariamente probabilidades bien calibradas en el sentido bayesiano</w:t>
      </w:r>
      <w:r>
        <w:t xml:space="preserve"> </w:t>
      </w:r>
      <w:r>
        <w:t xml:space="preserve">(Niculescu-Mizil &amp; Caruana, 2005)</w:t>
      </w:r>
      <w:r>
        <w:t xml:space="preserve">. Sin embargo, la regresión logística estándar de Platt</w:t>
      </w:r>
      <w:r>
        <w:t xml:space="preserve"> </w:t>
      </w:r>
      <w:r>
        <w:t xml:space="preserve">(Platt, 1999)</w:t>
      </w:r>
      <w:r>
        <w:t xml:space="preserve"> </w:t>
      </w:r>
      <w:r>
        <w:t xml:space="preserve">puede invertir la pendiente de la curva de calibración (</w:t>
      </w:r>
      <m:oMath>
        <m:r>
          <m:t>w</m:t>
        </m:r>
        <m:r>
          <m:rPr>
            <m:sty m:val="p"/>
          </m:rPr>
          <m:t>&lt;</m:t>
        </m:r>
        <m:r>
          <m:t>0</m:t>
        </m:r>
      </m:oMath>
      <w:r>
        <w:t xml:space="preserve">) bajo desbalances de clases severos, destruyendo el orden de riesgo aprendido por el ensamble.</w:t>
      </w:r>
    </w:p>
    <w:p>
      <w:pPr>
        <w:pStyle w:val="BodyText"/>
      </w:pPr>
      <w:r>
        <w:t xml:space="preserve">Para evitar esta distorsión, implementamos un</w:t>
      </w:r>
      <w:r>
        <w:t xml:space="preserve"> </w:t>
      </w:r>
      <w:r>
        <w:rPr>
          <w:b/>
          <w:bCs/>
        </w:rPr>
        <w:t xml:space="preserve">Calibrador de Platt Monótono Acotado</w:t>
      </w:r>
      <w:r>
        <w:t xml:space="preserve">, optimizando los parámetros sigmoides</w:t>
      </w:r>
      <w:r>
        <w:t xml:space="preserve"> </w:t>
      </w:r>
      <m:oMath>
        <m:r>
          <m:t>w</m:t>
        </m:r>
        <m:r>
          <m:rPr>
            <m:sty m:val="p"/>
          </m:rPr>
          <m:t>,</m:t>
        </m:r>
        <m:r>
          <m:t>b</m:t>
        </m:r>
      </m:oMath>
      <w:r>
        <w:t xml:space="preserve"> </w:t>
      </w:r>
      <w:r>
        <w:t xml:space="preserve">mediante minimización del error cuadrático medio (</w:t>
      </w:r>
      <w:r>
        <w:rPr>
          <w:i/>
          <w:iCs/>
        </w:rPr>
        <w:t xml:space="preserve">Brier Score</w:t>
      </w:r>
      <w:r>
        <w:t xml:space="preserve">) sobre el conjunto de validación sujeta a restricción de monotonicidad estricta (algoritmo L-BFGS-B):</w:t>
      </w:r>
    </w:p>
    <w:p>
      <w:pPr>
        <w:pStyle w:val="BodyText"/>
      </w:pPr>
      <w:bookmarkStart w:id="28" w:name="eq-calibracion"/>
      <m:oMathPara>
        <m:oMathParaPr>
          <m:jc m:val="center"/>
        </m:oMathParaPr>
        <m:oMath>
          <m:limLow>
            <m:e>
              <m:r>
                <m:rPr>
                  <m:sty m:val="p"/>
                </m:rPr>
                <m:t>min</m:t>
              </m:r>
            </m:e>
            <m:lim>
              <m:r>
                <m:t>w</m:t>
              </m:r>
              <m:r>
                <m:rPr>
                  <m:sty m:val="p"/>
                </m:rPr>
                <m:t>,</m:t>
              </m:r>
              <m:r>
                <m:t>b</m:t>
              </m:r>
            </m:lim>
          </m:limLow>
          <m:f>
            <m:fPr>
              <m:type m:val="bar"/>
            </m:fPr>
            <m:num>
              <m:r>
                <m:t>1</m:t>
              </m:r>
            </m:num>
            <m:den>
              <m:r>
                <m:t>M</m:t>
              </m:r>
            </m:den>
          </m:f>
          <m:nary>
            <m:naryPr>
              <m:chr m:val="∑"/>
              <m:limLoc m:val="undOvr"/>
              <m:subHide m:val="off"/>
              <m:supHide m:val="off"/>
            </m:naryPr>
            <m:sub>
              <m:r>
                <m:t>i</m:t>
              </m:r>
              <m:r>
                <m:rPr>
                  <m:sty m:val="p"/>
                </m:rPr>
                <m:t>=</m:t>
              </m:r>
              <m:r>
                <m:t>1</m:t>
              </m:r>
            </m:sub>
            <m:sup>
              <m:r>
                <m:t>M</m:t>
              </m:r>
            </m:sup>
            <m:e>
              <m:sSup>
                <m:e>
                  <m:d>
                    <m:dPr>
                      <m:begChr m:val="("/>
                      <m:sepChr m:val=""/>
                      <m:endChr m:val=")"/>
                      <m:grow/>
                    </m:dPr>
                    <m:e>
                      <m:sSub>
                        <m:e>
                          <m:r>
                            <m:t>y</m:t>
                          </m:r>
                        </m:e>
                        <m:sub>
                          <m:r>
                            <m:t>i</m:t>
                          </m:r>
                        </m:sub>
                      </m:sSub>
                      <m:r>
                        <m:rPr>
                          <m:sty m:val="p"/>
                        </m:rPr>
                        <m:t>−</m:t>
                      </m:r>
                      <m:f>
                        <m:fPr>
                          <m:type m:val="bar"/>
                        </m:fPr>
                        <m:num>
                          <m:r>
                            <m:t>1</m:t>
                          </m:r>
                        </m:num>
                        <m:den>
                          <m:r>
                            <m:t>1</m:t>
                          </m:r>
                          <m:r>
                            <m:rPr>
                              <m:sty m:val="p"/>
                            </m:rPr>
                            <m:t>+</m:t>
                          </m:r>
                          <m:r>
                            <m:rPr>
                              <m:sty m:val="p"/>
                            </m:rPr>
                            <m:t>exp</m:t>
                          </m:r>
                          <m:r>
                            <m:rPr>
                              <m:sty m:val="p"/>
                            </m:rPr>
                            <m:t>(</m:t>
                          </m:r>
                          <m:r>
                            <m:rPr>
                              <m:sty m:val="p"/>
                            </m:rPr>
                            <m:t>−</m:t>
                          </m:r>
                          <m:r>
                            <m:rPr>
                              <m:sty m:val="p"/>
                            </m:rPr>
                            <m:t>(</m:t>
                          </m:r>
                          <m:r>
                            <m:t>w</m:t>
                          </m:r>
                          <m:r>
                            <m:rPr>
                              <m:sty m:val="p"/>
                            </m:rPr>
                            <m:t>⋅</m:t>
                          </m:r>
                          <m:sSub>
                            <m:e>
                              <m:r>
                                <m:t>z</m:t>
                              </m:r>
                            </m:e>
                            <m:sub>
                              <m:r>
                                <m:t>i</m:t>
                              </m:r>
                            </m:sub>
                          </m:sSub>
                          <m:r>
                            <m:rPr>
                              <m:sty m:val="p"/>
                            </m:rPr>
                            <m:t>+</m:t>
                          </m:r>
                          <m:r>
                            <m:t>b</m:t>
                          </m:r>
                          <m:r>
                            <m:rPr>
                              <m:sty m:val="p"/>
                            </m:rPr>
                            <m:t>)</m:t>
                          </m:r>
                          <m:r>
                            <m:rPr>
                              <m:sty m:val="p"/>
                            </m:rPr>
                            <m:t>)</m:t>
                          </m:r>
                        </m:den>
                      </m:f>
                    </m:e>
                  </m:d>
                </m:e>
                <m:sup>
                  <m:r>
                    <m:t>2</m:t>
                  </m:r>
                </m:sup>
              </m:sSup>
            </m:e>
          </m:nary>
          <m:r>
            <m:t> </m:t>
          </m:r>
          <m:r>
            <m:rPr>
              <m:nor/>
              <m:sty m:val="p"/>
            </m:rPr>
            <m:t>sujeto a </m:t>
          </m:r>
          <m:r>
            <m:t>w</m:t>
          </m:r>
          <m:r>
            <m:rPr>
              <m:sty m:val="p"/>
            </m:rPr>
            <m:t>∈</m:t>
          </m:r>
          <m:r>
            <m:rPr>
              <m:sty m:val="p"/>
            </m:rPr>
            <m:t>[</m:t>
          </m:r>
          <m:r>
            <m:t>0</m:t>
          </m:r>
          <m:r>
            <m:rPr>
              <m:sty m:val="p"/>
            </m:rPr>
            <m:t>,</m:t>
          </m:r>
          <m:r>
            <m:t>10</m:t>
          </m:r>
          <m:r>
            <m:rPr>
              <m:sty m:val="p"/>
            </m:rPr>
            <m:t>;</m:t>
          </m:r>
          <m:r>
            <m:t> </m:t>
          </m:r>
          <m:r>
            <m:t>10</m:t>
          </m:r>
          <m:r>
            <m:rPr>
              <m:sty m:val="p"/>
            </m:rPr>
            <m:t>,</m:t>
          </m:r>
          <m:r>
            <m:t>00</m:t>
          </m:r>
          <m:r>
            <m:rPr>
              <m:sty m:val="p"/>
            </m:rPr>
            <m:t>]</m:t>
          </m:r>
          <m:r>
            <m:rPr>
              <m:sty m:val="p"/>
            </m:rPr>
            <m:t>,</m:t>
          </m:r>
          <m:r>
            <m:t> </m:t>
          </m:r>
          <m:r>
            <m:t>b</m:t>
          </m:r>
          <m:r>
            <m:rPr>
              <m:sty m:val="p"/>
            </m:rPr>
            <m:t>∈</m:t>
          </m:r>
          <m:r>
            <m:rPr>
              <m:sty m:val="p"/>
            </m:rPr>
            <m:t>[</m:t>
          </m:r>
          <m:r>
            <m:rPr>
              <m:sty m:val="p"/>
            </m:rPr>
            <m:t>−</m:t>
          </m:r>
          <m:r>
            <m:t>10</m:t>
          </m:r>
          <m:r>
            <m:rPr>
              <m:sty m:val="p"/>
            </m:rPr>
            <m:t>,</m:t>
          </m:r>
          <m:r>
            <m:t>00</m:t>
          </m:r>
          <m:r>
            <m:rPr>
              <m:sty m:val="p"/>
            </m:rPr>
            <m:t>;</m:t>
          </m:r>
          <m:r>
            <m:t> </m:t>
          </m:r>
          <m:r>
            <m:t>10</m:t>
          </m:r>
          <m:r>
            <m:rPr>
              <m:sty m:val="p"/>
            </m:rPr>
            <m:t>,</m:t>
          </m:r>
          <m:r>
            <m:t>00</m:t>
          </m:r>
          <m:r>
            <m:rPr>
              <m:sty m:val="p"/>
            </m:rPr>
            <m:t>]</m:t>
          </m:r>
          <m:r>
            <m:t>  </m:t>
          </m:r>
          <m:r>
            <m:rPr>
              <m:sty m:val="p"/>
            </m:rPr>
            <m:t>(</m:t>
          </m:r>
          <m:r>
            <m:t>9</m:t>
          </m:r>
          <m:r>
            <m:rPr>
              <m:sty m:val="p"/>
            </m:rPr>
            <m:t>)</m:t>
          </m:r>
        </m:oMath>
      </m:oMathPara>
      <w:bookmarkEnd w:id="28"/>
    </w:p>
    <w:p>
      <w:pPr>
        <w:pStyle w:val="FirstParagraph"/>
      </w:pPr>
      <w:r>
        <w:t xml:space="preserve">donde</w:t>
      </w:r>
      <w:r>
        <w:t xml:space="preserve"> </w:t>
      </w:r>
      <m:oMath>
        <m:sSub>
          <m:e>
            <m:r>
              <m:t>z</m:t>
            </m:r>
          </m:e>
          <m:sub>
            <m:r>
              <m:t>i</m:t>
            </m:r>
          </m:sub>
        </m:sSub>
        <m:r>
          <m:rPr>
            <m:sty m:val="p"/>
          </m:rPr>
          <m:t>∈</m:t>
        </m:r>
        <m:r>
          <m:rPr>
            <m:scr m:val="double-struck"/>
            <m:sty m:val="p"/>
          </m:rPr>
          <m:t>R</m:t>
        </m:r>
      </m:oMath>
      <w:r>
        <w:t xml:space="preserve"> </w:t>
      </w:r>
      <w:r>
        <w:t xml:space="preserve">es el margen no calibrado del ensamble LightGBM. La cota inferior</w:t>
      </w:r>
      <w:r>
        <w:t xml:space="preserve"> </w:t>
      </w:r>
      <m:oMath>
        <m:r>
          <m:t>w</m:t>
        </m:r>
        <m:r>
          <m:rPr>
            <m:sty m:val="p"/>
          </m:rPr>
          <m:t>≥</m:t>
        </m:r>
        <m:r>
          <m:t>0</m:t>
        </m:r>
        <m:r>
          <m:rPr>
            <m:sty m:val="p"/>
          </m:rPr>
          <m:t>,</m:t>
        </m:r>
        <m:r>
          <m:t>10</m:t>
        </m:r>
      </m:oMath>
      <w:r>
        <w:t xml:space="preserve"> </w:t>
      </w:r>
      <w:r>
        <w:t xml:space="preserve">garantiza que la función sea estrictamente creciente respecto al margen del árbol, preservando intacta el área bajo la curva ROC (</w:t>
      </w:r>
      <w:r>
        <w:rPr>
          <w:i/>
          <w:iCs/>
        </w:rPr>
        <w:t xml:space="preserve">ROC-AUC</w:t>
      </w:r>
      <w:r>
        <w:t xml:space="preserve">) y corrigiendo las frecuencias relativas predichas.</w:t>
      </w:r>
    </w:p>
    <w:p>
      <w:r>
        <w:pict>
          <v:rect style="width:0;height:1.5pt" o:hralign="center" o:hrstd="t" o:hr="t"/>
        </w:pict>
      </w:r>
    </w:p>
    <w:bookmarkEnd w:id="29"/>
    <w:bookmarkEnd w:id="30"/>
    <w:bookmarkStart w:id="43" w:name="X500a81763a499a350900bb953648fad63a0c8bf"/>
    <w:p>
      <w:pPr>
        <w:pStyle w:val="Heading1"/>
      </w:pPr>
      <w:r>
        <w:t xml:space="preserve">3. 3. Arquitectura de Software y Datos Espaciales</w:t>
      </w:r>
    </w:p>
    <w:bookmarkStart w:id="32" w:name="X6ae3ba674a398b826fcc2389b423a15291a6c29"/>
    <w:p>
      <w:pPr>
        <w:pStyle w:val="Heading2"/>
      </w:pPr>
      <w:r>
        <w:t xml:space="preserve">3.1 3.1 Malla Geográfica Soberana en Tiempo Constante</w:t>
      </w:r>
      <w:r>
        <w:t xml:space="preserve"> </w:t>
      </w:r>
      <m:oMath>
        <m:r>
          <m:t>O</m:t>
        </m:r>
        <m:r>
          <m:rPr>
            <m:sty m:val="p"/>
          </m:rPr>
          <m:t>(</m:t>
        </m:r>
        <m:r>
          <m:t>1</m:t>
        </m:r>
        <m:r>
          <m:rPr>
            <m:sty m:val="p"/>
          </m:rPr>
          <m:t>)</m:t>
        </m:r>
      </m:oMath>
    </w:p>
    <w:p>
      <w:pPr>
        <w:pStyle w:val="FirstParagraph"/>
      </w:pPr>
      <w:r>
        <w:t xml:space="preserve">A diferencia de los flujos de trabajo tradicionales basados en mallas ráster flotantes con problemas de alineación de celdas, definimos una</w:t>
      </w:r>
      <w:r>
        <w:t xml:space="preserve"> </w:t>
      </w:r>
      <w:r>
        <w:rPr>
          <w:b/>
          <w:bCs/>
        </w:rPr>
        <w:t xml:space="preserve">grilla vectorial nacional determinística de 1 km²</w:t>
      </w:r>
      <w:r>
        <w:t xml:space="preserve"> </w:t>
      </w:r>
      <w:r>
        <w:t xml:space="preserve">proyectada en UTM Zona 21S. La grilla abarca exactamente</w:t>
      </w:r>
      <w:r>
        <w:t xml:space="preserve"> </w:t>
      </w:r>
      <m:oMath>
        <m:r>
          <m:t>400.006</m:t>
        </m:r>
      </m:oMath>
      <w:r>
        <w:t xml:space="preserve"> </w:t>
      </w:r>
      <w:r>
        <w:t xml:space="preserve">celdas poligonales soberanas que intersectan el contorno limítrofe oficial de la República del Paraguay (geoBoundaries ADM0).</w:t>
      </w:r>
    </w:p>
    <w:p>
      <w:pPr>
        <w:pStyle w:val="BodyText"/>
      </w:pPr>
      <w:r>
        <w:t xml:space="preserve">Cada celda posee un identificador entero único de 64 bits (</w:t>
      </w:r>
      <w:r>
        <w:rPr>
          <w:rStyle w:val="VerbatimChar"/>
        </w:rPr>
        <w:t xml:space="preserve">cell_id</w:t>
      </w:r>
      <w:r>
        <w:t xml:space="preserve">) calculado de manera biyectiva y reversible a partir de sus coordenadas euclidianas centrales:</w:t>
      </w:r>
    </w:p>
    <w:p>
      <w:pPr>
        <w:pStyle w:val="BodyText"/>
      </w:pPr>
      <w:bookmarkStart w:id="31" w:name="eq-cellid"/>
      <m:oMathPara>
        <m:oMathParaPr>
          <m:jc m:val="center"/>
        </m:oMathParaPr>
        <m:oMath>
          <m:r>
            <m:rPr>
              <m:nor/>
              <m:sty m:val="p"/>
            </m:rPr>
            <m:t>cell_id</m:t>
          </m:r>
          <m:r>
            <m:rPr>
              <m:sty m:val="p"/>
            </m:rPr>
            <m:t>=</m:t>
          </m:r>
          <m:d>
            <m:dPr>
              <m:begChr m:val="⌊"/>
              <m:sepChr m:val=""/>
              <m:endChr m:val="⌋"/>
              <m:grow/>
            </m:dPr>
            <m:e>
              <m:f>
                <m:fPr>
                  <m:type m:val="bar"/>
                </m:fPr>
                <m:num>
                  <m:sSub>
                    <m:e>
                      <m:r>
                        <m:t>x</m:t>
                      </m:r>
                    </m:e>
                    <m:sub>
                      <m:r>
                        <m:rPr>
                          <m:nor/>
                          <m:sty m:val="p"/>
                        </m:rPr>
                        <m:t>UTM</m:t>
                      </m:r>
                    </m:sub>
                  </m:sSub>
                </m:num>
                <m:den>
                  <m:r>
                    <m:t>1000</m:t>
                  </m:r>
                </m:den>
              </m:f>
            </m:e>
          </m:d>
          <m:r>
            <m:rPr>
              <m:sty m:val="p"/>
            </m:rPr>
            <m:t>×</m:t>
          </m:r>
          <m:sSup>
            <m:e>
              <m:r>
                <m:t>10</m:t>
              </m:r>
            </m:e>
            <m:sup>
              <m:r>
                <m:t>7</m:t>
              </m:r>
            </m:sup>
          </m:sSup>
          <m:r>
            <m:rPr>
              <m:sty m:val="p"/>
            </m:rPr>
            <m:t>+</m:t>
          </m:r>
          <m:d>
            <m:dPr>
              <m:begChr m:val="⌊"/>
              <m:sepChr m:val=""/>
              <m:endChr m:val="⌋"/>
              <m:grow/>
            </m:dPr>
            <m:e>
              <m:f>
                <m:fPr>
                  <m:type m:val="bar"/>
                </m:fPr>
                <m:num>
                  <m:sSub>
                    <m:e>
                      <m:r>
                        <m:t>y</m:t>
                      </m:r>
                    </m:e>
                    <m:sub>
                      <m:r>
                        <m:rPr>
                          <m:nor/>
                          <m:sty m:val="p"/>
                        </m:rPr>
                        <m:t>UTM</m:t>
                      </m:r>
                    </m:sub>
                  </m:sSub>
                </m:num>
                <m:den>
                  <m:r>
                    <m:t>1000</m:t>
                  </m:r>
                </m:den>
              </m:f>
            </m:e>
          </m:d>
          <m:r>
            <m:t>  </m:t>
          </m:r>
          <m:r>
            <m:rPr>
              <m:sty m:val="p"/>
            </m:rPr>
            <m:t>(</m:t>
          </m:r>
          <m:r>
            <m:t>10</m:t>
          </m:r>
          <m:r>
            <m:rPr>
              <m:sty m:val="p"/>
            </m:rPr>
            <m:t>)</m:t>
          </m:r>
        </m:oMath>
      </m:oMathPara>
      <w:bookmarkEnd w:id="31"/>
    </w:p>
    <w:p>
      <w:pPr>
        <w:pStyle w:val="FirstParagraph"/>
      </w:pPr>
      <w:r>
        <w:t xml:space="preserve">Esta estructura permite realizar cruces espaciales (</w:t>
      </w:r>
      <w:r>
        <w:rPr>
          <w:i/>
          <w:iCs/>
        </w:rPr>
        <w:t xml:space="preserve">spatial joins</w:t>
      </w:r>
      <w:r>
        <w:t xml:space="preserve">) con cualquier observación de campo, foco satelital o nodo meteorológico en</w:t>
      </w:r>
      <w:r>
        <w:t xml:space="preserve"> </w:t>
      </w:r>
      <w:r>
        <w:rPr>
          <w:b/>
          <w:bCs/>
        </w:rPr>
        <w:t xml:space="preserve">tiempo constante</w:t>
      </w:r>
      <w:r>
        <w:rPr>
          <w:b/>
          <w:bCs/>
        </w:rPr>
        <w:t xml:space="preserve"> </w:t>
      </w:r>
      <m:oMath>
        <m:r>
          <m:t>O</m:t>
        </m:r>
        <m:r>
          <m:rPr>
            <m:sty m:val="p"/>
          </m:rPr>
          <m:t>(</m:t>
        </m:r>
        <m:r>
          <m:t>1</m:t>
        </m:r>
        <m:r>
          <m:rPr>
            <m:sty m:val="p"/>
          </m:rPr>
          <m:t>)</m:t>
        </m:r>
      </m:oMath>
      <w:r>
        <w:t xml:space="preserve"> </w:t>
      </w:r>
      <w:r>
        <w:t xml:space="preserve">mediante indexación relacional directa en memoria, suprimiendo la necesidad de evaluar predicados geométricos poligonales pesados (</w:t>
      </w:r>
      <w:r>
        <w:rPr>
          <w:i/>
          <w:iCs/>
        </w:rPr>
        <w:t xml:space="preserve">Point-in-Polygon</w:t>
      </w:r>
      <w:r>
        <w:t xml:space="preserve">) en tiempo de ejecución.</w:t>
      </w:r>
    </w:p>
    <w:bookmarkEnd w:id="32"/>
    <w:bookmarkStart w:id="33" w:name="X6fa3f7b668d39a495cbf04b464c40940ab76d2c"/>
    <w:p>
      <w:pPr>
        <w:pStyle w:val="Heading2"/>
      </w:pPr>
      <w:r>
        <w:t xml:space="preserve">3.2 3.2 Ingesta Multi-Constelación NASA FIRMS y Corrección Bow-Tie</w:t>
      </w:r>
    </w:p>
    <w:p>
      <w:pPr>
        <w:pStyle w:val="FirstParagraph"/>
      </w:pPr>
      <w:r>
        <w:t xml:space="preserve">Las presencias de fuego provienen de la constelación de sensores satelitales VIIRS (375 m) a bordo de las plataformas polares Suomi-NPP y NOAA-20 (complementadas operativamente en tiempo real por NOAA-21)</w:t>
      </w:r>
      <w:r>
        <w:t xml:space="preserve"> </w:t>
      </w:r>
      <w:r>
        <w:t xml:space="preserve">(Schroeder et al., 2014)</w:t>
      </w:r>
      <w:r>
        <w:t xml:space="preserve">, que extienden las series históricas iniciadas por MODIS</w:t>
      </w:r>
      <w:r>
        <w:t xml:space="preserve"> </w:t>
      </w:r>
      <w:r>
        <w:t xml:space="preserve">(Giglio et al., 2016; Justice et al., 2002)</w:t>
      </w:r>
      <w:r>
        <w:t xml:space="preserve">. Para garantizar la integridad de las etiquetas de entrenamiento, aplicamos un protocolo de depuración óptica en dos pasos:</w:t>
      </w:r>
    </w:p>
    <w:p>
      <w:pPr>
        <w:pStyle w:val="Compact"/>
        <w:numPr>
          <w:ilvl w:val="0"/>
          <w:numId w:val="1004"/>
        </w:numPr>
      </w:pPr>
      <w:r>
        <w:rPr>
          <w:b/>
          <w:bCs/>
        </w:rPr>
        <w:t xml:space="preserve">Corrección de Distorsión Óptica (</w:t>
      </w:r>
      <w:r>
        <w:rPr>
          <w:b/>
          <w:bCs/>
          <w:i/>
          <w:iCs/>
        </w:rPr>
        <w:t xml:space="preserve">Bow-Tie Effect</w:t>
      </w:r>
      <w:r>
        <w:rPr>
          <w:b/>
          <w:bCs/>
        </w:rPr>
        <w:t xml:space="preserve">):</w:t>
      </w:r>
      <w:r>
        <w:t xml:space="preserve"> </w:t>
      </w:r>
      <w:r>
        <w:t xml:space="preserve">Los píxeles hacia los extremos del barrido pueden elongarse geométricamente. Se aplica un filtro</w:t>
      </w:r>
      <w:r>
        <w:t xml:space="preserve"> </w:t>
      </w:r>
      <w:r>
        <w:rPr>
          <w:rStyle w:val="VerbatimChar"/>
        </w:rPr>
        <w:t xml:space="preserve">scan &lt;= 1,5 km</w:t>
      </w:r>
      <w:r>
        <w:t xml:space="preserve">. En la ventana de datos usada el máximo observado fue 0,8 km, por lo que el filtro no descartó registros; se mantiene por robustez para otras ventanas orbitales.</w:t>
      </w:r>
    </w:p>
    <w:p>
      <w:pPr>
        <w:pStyle w:val="Compact"/>
        <w:numPr>
          <w:ilvl w:val="0"/>
          <w:numId w:val="1004"/>
        </w:numPr>
      </w:pPr>
      <w:r>
        <w:rPr>
          <w:b/>
          <w:bCs/>
        </w:rPr>
        <w:t xml:space="preserve">Exclusión de Detecciones de Baja Confianza:</w:t>
      </w:r>
      <w:r>
        <w:t xml:space="preserve"> </w:t>
      </w:r>
      <w:r>
        <w:t xml:space="preserve">Se descartan focos etiquetados con nivel de confianza</w:t>
      </w:r>
      <w:r>
        <w:t xml:space="preserve"> </w:t>
      </w:r>
      <w:r>
        <w:rPr>
          <w:i/>
          <w:iCs/>
        </w:rPr>
        <w:t xml:space="preserve">low</w:t>
      </w:r>
      <w:r>
        <w:t xml:space="preserve"> </w:t>
      </w:r>
      <w:r>
        <w:t xml:space="preserve">producidos por reflejos solares o ruido instrumental en bordes de nubes.</w:t>
      </w:r>
    </w:p>
    <w:bookmarkEnd w:id="33"/>
    <w:bookmarkStart w:id="38" w:name="Xe0b1c9e7a74b6e7092e03b8f2396487b3b4db9f"/>
    <w:p>
      <w:pPr>
        <w:pStyle w:val="Heading2"/>
      </w:pPr>
      <w:r>
        <w:t xml:space="preserve">3.3 3.3 Reanálisis Meteorológico ERA5 y Cobertura MapBiomas</w:t>
      </w:r>
    </w:p>
    <w:p>
      <w:pPr>
        <w:pStyle w:val="Compact"/>
        <w:numPr>
          <w:ilvl w:val="0"/>
          <w:numId w:val="1005"/>
        </w:numPr>
      </w:pPr>
      <w:r>
        <w:rPr>
          <w:b/>
          <w:bCs/>
        </w:rPr>
        <w:t xml:space="preserve">ERA5:</w:t>
      </w:r>
      <w:r>
        <w:t xml:space="preserve"> </w:t>
      </w:r>
      <w:r>
        <w:t xml:space="preserve">Los parámetros meteorológicos horarios y diarios se extraen a la resolución de</w:t>
      </w:r>
      <w:r>
        <w:t xml:space="preserve"> </w:t>
      </w:r>
      <m:oMath>
        <m:r>
          <m:t>0</m:t>
        </m:r>
        <m:r>
          <m:rPr>
            <m:sty m:val="p"/>
          </m:rPr>
          <m:t>,</m:t>
        </m:r>
        <m:sSup>
          <m:e>
            <m:r>
              <m:t>25</m:t>
            </m:r>
          </m:e>
          <m:sup>
            <m:r>
              <m:rPr>
                <m:sty m:val="p"/>
              </m:rPr>
              <m:t>∘</m:t>
            </m:r>
          </m:sup>
        </m:sSup>
      </m:oMath>
      <w:r>
        <w:t xml:space="preserve"> </w:t>
      </w:r>
      <w:r>
        <w:t xml:space="preserve">(</w:t>
      </w:r>
      <m:oMath>
        <m:r>
          <m:rPr>
            <m:sty m:val="p"/>
          </m:rPr>
          <m:t>∼</m:t>
        </m:r>
        <m:r>
          <m:t>25</m:t>
        </m:r>
        <m:r>
          <m:rPr>
            <m:nor/>
            <m:sty m:val="p"/>
          </m:rPr>
          <m:t> km</m:t>
        </m:r>
      </m:oMath>
      <w:r>
        <w:t xml:space="preserve">) mediante el repositorio oficial de reanálisis de Copernicus Climate Data Store (CDS / ECMWF)</w:t>
      </w:r>
      <w:r>
        <w:t xml:space="preserve"> </w:t>
      </w:r>
      <w:r>
        <w:t xml:space="preserve">(Muñoz-Sabater et al., 2021)</w:t>
      </w:r>
      <w:r>
        <w:t xml:space="preserve">. Todo el territorio paraguayo y su envolvente fronteriza son cubiertos de forma exhaustiva con exactamente</w:t>
      </w:r>
      <w:r>
        <w:t xml:space="preserve"> </w:t>
      </w:r>
      <w:r>
        <w:rPr>
          <w:b/>
          <w:bCs/>
        </w:rPr>
        <w:t xml:space="preserve">640 nodos meteorológicos</w:t>
      </w:r>
      <w:r>
        <w:t xml:space="preserve">. Cada celda de 1 km² se asocia a su nodo meteorológico más cercano mediante un árbol k-dimensional (</w:t>
      </w:r>
      <w:r>
        <w:rPr>
          <w:i/>
          <w:iCs/>
        </w:rPr>
        <w:t xml:space="preserve">cKDTree</w:t>
      </w:r>
      <w:r>
        <w:t xml:space="preserve">) precomputado una sola vez.</w:t>
      </w:r>
    </w:p>
    <w:p>
      <w:pPr>
        <w:pStyle w:val="Compact"/>
        <w:numPr>
          <w:ilvl w:val="0"/>
          <w:numId w:val="1005"/>
        </w:numPr>
      </w:pPr>
      <w:r>
        <w:rPr>
          <w:b/>
          <w:bCs/>
        </w:rPr>
        <w:t xml:space="preserve">MapBiomas (30 m):</w:t>
      </w:r>
      <w:r>
        <w:t xml:space="preserve"> </w:t>
      </w:r>
      <w:r>
        <w:t xml:space="preserve">se usa el producto real</w:t>
      </w:r>
      <w:r>
        <w:t xml:space="preserve"> </w:t>
      </w:r>
      <w:r>
        <w:rPr>
          <w:rStyle w:val="VerbatimChar"/>
        </w:rPr>
        <w:t xml:space="preserve">collection2_2023.tif</w:t>
      </w:r>
      <w:r>
        <w:t xml:space="preserve">. Los porcentajes de cobertura y los SHAP de biomasa deben interpretarse con las limitaciones de una cobertura estática 2023.</w:t>
      </w:r>
    </w:p>
    <w:p>
      <w:pPr>
        <w:pStyle w:val="FirstParagraph"/>
      </w:pPr>
      <w:r>
        <w:t xml:space="preserve">La delimitación geográfica y la división macro-regional entre la Región Occidental (Chaco) y Oriental se detallan en la</w:t>
      </w:r>
      <w:r>
        <w:t xml:space="preserve"> </w:t>
      </w:r>
      <w:hyperlink w:anchor="fig-area-estudio">
        <w:r>
          <w:rPr>
            <w:rStyle w:val="Hyperlink"/>
          </w:rPr>
          <w:t xml:space="preserve">Figura 2</w:t>
        </w:r>
      </w:hyperlink>
      <w:r>
        <w:t xml:space="preserve">. La figura no muestra clases de cobertura MapBiomas; sólo la partición administrativa y regional.</w:t>
      </w:r>
    </w:p>
    <w:tbl>
      <w:tblPr>
        <w:tblStyle w:val="Table"/>
        <w:tblW w:type="pct" w:w="5000"/>
        <w:tblLayout w:type="fixed"/>
        <w:tblLook w:firstRow="0" w:lastRow="0" w:firstColumn="0" w:lastColumn="0" w:noHBand="0" w:noVBand="0" w:val="0000"/>
      </w:tblPr>
      <w:tblGrid>
        <w:gridCol w:w="7920"/>
      </w:tblGrid>
      <w:tr>
        <w:tc>
          <w:tcPr/>
          <w:bookmarkStart w:id="37" w:name="fig-area-estudio"/>
          <w:p>
            <w:pPr>
              <w:pStyle w:val="Compact"/>
              <w:jc w:val="center"/>
            </w:pPr>
            <w:r>
              <w:drawing>
                <wp:inline>
                  <wp:extent cx="4533900" cy="5037666"/>
                  <wp:effectExtent b="0" l="0" r="0" t="0"/>
                  <wp:docPr descr="" title="" id="35" name="Picture"/>
                  <a:graphic>
                    <a:graphicData uri="http://schemas.openxmlformats.org/drawingml/2006/picture">
                      <pic:pic>
                        <pic:nvPicPr>
                          <pic:cNvPr descr="figuras/fig01_macro_regiones_cobertura.png" id="36" name="Picture"/>
                          <pic:cNvPicPr>
                            <a:picLocks noChangeArrowheads="1" noChangeAspect="1"/>
                          </pic:cNvPicPr>
                        </pic:nvPicPr>
                        <pic:blipFill>
                          <a:blip r:embed="rId34"/>
                          <a:stretch>
                            <a:fillRect/>
                          </a:stretch>
                        </pic:blipFill>
                        <pic:spPr bwMode="auto">
                          <a:xfrm>
                            <a:off x="0" y="0"/>
                            <a:ext cx="4533900" cy="5037666"/>
                          </a:xfrm>
                          <a:prstGeom prst="rect">
                            <a:avLst/>
                          </a:prstGeom>
                          <a:noFill/>
                          <a:ln w="9525">
                            <a:noFill/>
                            <a:headEnd/>
                            <a:tailEnd/>
                          </a:ln>
                        </pic:spPr>
                      </pic:pic>
                    </a:graphicData>
                  </a:graphic>
                </wp:inline>
              </w:drawing>
            </w:r>
          </w:p>
          <w:p>
            <w:pPr>
              <w:jc w:val="center"/>
            </w:pPr>
            <w:pPr>
              <w:jc w:val="left"/>
              <w:spacing w:before="200"/>
              <w:pStyle w:val="ImageCaption"/>
            </w:pPr>
            <w:r>
              <w:t xml:space="preserve">Figura 2: Estratificación geográfica del área de estudio: macro-regiones (Chaco semiárido vs. Región Oriental húmeda) y partición departamental oficial ADM1.</w:t>
            </w:r>
          </w:p>
          <w:bookmarkEnd w:id="37"/>
        </w:tc>
      </w:tr>
    </w:tbl>
    <w:bookmarkEnd w:id="38"/>
    <w:bookmarkStart w:id="40" w:name="X55129feaf373f5593e21a1a844daf67e748b6c4"/>
    <w:p>
      <w:pPr>
        <w:pStyle w:val="Heading2"/>
      </w:pPr>
      <w:r>
        <w:t xml:space="preserve">3.4 3.4 Flujo Analítico</w:t>
      </w:r>
      <w:r>
        <w:t xml:space="preserve"> </w:t>
      </w:r>
      <w:r>
        <w:rPr>
          <w:i/>
          <w:iCs/>
        </w:rPr>
        <w:t xml:space="preserve">Zero-Copy</w:t>
      </w:r>
      <w:r>
        <w:t xml:space="preserve"> </w:t>
      </w:r>
      <w:r>
        <w:t xml:space="preserve">en DuckDB y Polars</w:t>
      </w:r>
    </w:p>
    <w:p>
      <w:pPr>
        <w:pStyle w:val="FirstParagraph"/>
      </w:pPr>
      <w:r>
        <w:t xml:space="preserve">A diferencia de las plataformas centralizadas en la nube como Google Earth Engine</w:t>
      </w:r>
      <w:r>
        <w:t xml:space="preserve"> </w:t>
      </w:r>
      <w:r>
        <w:t xml:space="preserve">(Gorelick et al., 2017)</w:t>
      </w:r>
      <w:r>
        <w:t xml:space="preserve">, que dependen de conectividad permanente a servidores remotos, o de librerías tradicionales en memoria como Scikit-learn</w:t>
      </w:r>
      <w:r>
        <w:t xml:space="preserve"> </w:t>
      </w:r>
      <w:r>
        <w:t xml:space="preserve">(Pedregosa et al., 2011)</w:t>
      </w:r>
      <w:r>
        <w:t xml:space="preserve"> </w:t>
      </w:r>
      <w:r>
        <w:t xml:space="preserve">que duplican matrices densas, implementamos una canalización local de alto rendimiento mediante</w:t>
      </w:r>
      <w:r>
        <w:t xml:space="preserve"> </w:t>
      </w:r>
      <w:r>
        <w:rPr>
          <w:b/>
          <w:bCs/>
        </w:rPr>
        <w:t xml:space="preserve">DuckDB</w:t>
      </w:r>
      <w:r>
        <w:t xml:space="preserve"> </w:t>
      </w:r>
      <w:r>
        <w:t xml:space="preserve">(Raasveldt &amp; Mühleisen, 2019)</w:t>
      </w:r>
      <w:r>
        <w:t xml:space="preserve"> </w:t>
      </w:r>
      <w:r>
        <w:t xml:space="preserve">y</w:t>
      </w:r>
      <w:r>
        <w:t xml:space="preserve"> </w:t>
      </w:r>
      <w:r>
        <w:rPr>
          <w:b/>
          <w:bCs/>
        </w:rPr>
        <w:t xml:space="preserve">Polars</w:t>
      </w:r>
      <w:r>
        <w:t xml:space="preserve">. El ensamble relacional se realiza mediante</w:t>
      </w:r>
      <w:r>
        <w:t xml:space="preserve"> </w:t>
      </w:r>
      <w:r>
        <w:rPr>
          <w:i/>
          <w:iCs/>
        </w:rPr>
        <w:t xml:space="preserve">streaming out-of-core</w:t>
      </w:r>
      <w:r>
        <w:t xml:space="preserve"> </w:t>
      </w:r>
      <w:r>
        <w:t xml:space="preserve">en bloques de memoria columnar Apache Arrow, evitando copias redundantes en memoria intermedia (</w:t>
      </w:r>
      <w:r>
        <w:rPr>
          <w:i/>
          <w:iCs/>
        </w:rPr>
        <w:t xml:space="preserve">zero-copy architecture</w:t>
      </w:r>
      <w:r>
        <w:t xml:space="preserve">). Como se detalla en la</w:t>
      </w:r>
      <w:r>
        <w:t xml:space="preserve"> </w:t>
      </w:r>
      <w:hyperlink w:anchor="tbl-pipeline">
        <w:r>
          <w:rPr>
            <w:rStyle w:val="Hyperlink"/>
          </w:rPr>
          <w:t xml:space="preserve">Tabla 1</w:t>
        </w:r>
      </w:hyperlink>
      <w:r>
        <w:t xml:space="preserve">, el almacenamiento en disco se optimiza mediante compresión Zstandard (ZSTD nivel 7).</w:t>
      </w:r>
    </w:p>
    <w:tbl>
      <w:tblPr>
        <w:tblStyle w:val="Table"/>
        <w:tblW w:type="pct" w:w="5000"/>
        <w:tblLayout w:type="fixed"/>
        <w:tblLook w:firstRow="0" w:lastRow="0" w:firstColumn="0" w:lastColumn="0" w:noHBand="0" w:noVBand="0" w:val="0000"/>
      </w:tblPr>
      <w:tblGrid>
        <w:gridCol w:w="7920"/>
      </w:tblGrid>
      <w:tr>
        <w:tc>
          <w:tcPr/>
          <w:bookmarkStart w:id="39" w:name="tbl-pipeline"/>
          <w:p>
            <w:pPr>
              <w:jc w:val="center"/>
            </w:pPr>
            <w:pPr>
              <w:jc w:val="left"/>
              <w:spacing w:before="200"/>
              <w:pStyle w:val="ImageCaption"/>
            </w:pPr>
            <w:r>
              <w:t xml:space="preserve">Tabla 1: Especificaciones de ingeniería de datos y tamaño en disco del sistema</w:t>
            </w:r>
            <w:r>
              <w:t xml:space="preserve"> </w:t>
            </w:r>
            <w:r>
              <w:rPr>
                <w:rStyle w:val="VerbatimChar"/>
              </w:rPr>
              <w:t xml:space="preserve">Incendios_PY</w:t>
            </w:r>
            <w:r>
              <w:t xml:space="preserve">.</w:t>
            </w:r>
          </w:p>
          <w:tbl>
            <w:tblPr>
              <w:tblStyle w:val="Table"/>
              <w:tblW w:type="pct" w:w="5000"/>
              <w:tblLayout w:type="fixed"/>
              <w:tblLook w:firstRow="1" w:lastRow="0" w:firstColumn="0" w:lastColumn="0" w:noHBand="0" w:noVBand="0" w:val="0020"/>
            </w:tblPr>
            <w:tblGrid>
              <w:gridCol w:w="1377"/>
              <w:gridCol w:w="1377"/>
              <w:gridCol w:w="1721"/>
              <w:gridCol w:w="1721"/>
              <w:gridCol w:w="1721"/>
            </w:tblGrid>
            <w:tr>
              <w:trPr>
                <w:tblHeader w:val="on"/>
              </w:trPr>
              <w:tc>
                <w:tcPr/>
                <w:p>
                  <w:pPr>
                    <w:pStyle w:val="Compact"/>
                    <w:jc w:val="left"/>
                    <w:jc w:val="center"/>
                  </w:pPr>
                  <w:r>
                    <w:t xml:space="preserve">Capa de Datos</w:t>
                  </w:r>
                </w:p>
              </w:tc>
              <w:tc>
                <w:tcPr/>
                <w:p>
                  <w:pPr>
                    <w:pStyle w:val="Compact"/>
                    <w:jc w:val="left"/>
                    <w:jc w:val="center"/>
                  </w:pPr>
                  <w:r>
                    <w:t xml:space="preserve">Formato de Archivo</w:t>
                  </w:r>
                </w:p>
              </w:tc>
              <w:tc>
                <w:tcPr/>
                <w:p>
                  <w:pPr>
                    <w:pStyle w:val="Compact"/>
                    <w:jc w:val="center"/>
                    <w:jc w:val="center"/>
                  </w:pPr>
                  <w:r>
                    <w:t xml:space="preserve">Registros</w:t>
                  </w:r>
                </w:p>
              </w:tc>
              <w:tc>
                <w:tcPr/>
                <w:p>
                  <w:pPr>
                    <w:pStyle w:val="Compact"/>
                    <w:jc w:val="center"/>
                    <w:jc w:val="center"/>
                  </w:pPr>
                  <w:r>
                    <w:t xml:space="preserve">Tamaño en Disco</w:t>
                  </w:r>
                </w:p>
              </w:tc>
              <w:tc>
                <w:tcPr/>
                <w:p>
                  <w:pPr>
                    <w:pStyle w:val="Compact"/>
                    <w:jc w:val="center"/>
                    <w:jc w:val="center"/>
                  </w:pPr>
                  <w:r>
                    <w:t xml:space="preserve">Latencia de Carga</w:t>
                  </w:r>
                </w:p>
              </w:tc>
            </w:tr>
            <w:tr>
              <w:tc>
                <w:tcPr/>
                <w:p>
                  <w:pPr>
                    <w:pStyle w:val="Compact"/>
                    <w:jc w:val="left"/>
                    <w:jc w:val="center"/>
                  </w:pPr>
                  <w:r>
                    <w:t xml:space="preserve">Grilla Nacional 1 km²</w:t>
                  </w:r>
                </w:p>
              </w:tc>
              <w:tc>
                <w:tcPr/>
                <w:p>
                  <w:pPr>
                    <w:pStyle w:val="Compact"/>
                    <w:jc w:val="left"/>
                    <w:jc w:val="center"/>
                  </w:pPr>
                  <w:r>
                    <w:t xml:space="preserve">Columnar Parquet (ZSTD)</w:t>
                  </w:r>
                </w:p>
              </w:tc>
              <w:tc>
                <w:tcPr/>
                <w:p>
                  <w:pPr>
                    <w:pStyle w:val="Compact"/>
                    <w:jc w:val="center"/>
                    <w:jc w:val="center"/>
                  </w:pPr>
                  <m:oMath>
                    <m:r>
                      <m:t>400.006</m:t>
                    </m:r>
                  </m:oMath>
                  <w:r>
                    <w:t xml:space="preserve">​</w:t>
                  </w:r>
                </w:p>
              </w:tc>
              <w:tc>
                <w:tcPr/>
                <w:p>
                  <w:pPr>
                    <w:pStyle w:val="Compact"/>
                    <w:jc w:val="center"/>
                    <w:jc w:val="center"/>
                  </w:pPr>
                  <m:oMath>
                    <m:r>
                      <m:t>2</m:t>
                    </m:r>
                    <m:r>
                      <m:rPr>
                        <m:sty m:val="p"/>
                      </m:rPr>
                      <m:t>,</m:t>
                    </m:r>
                    <m:r>
                      <m:t>7</m:t>
                    </m:r>
                    <m:r>
                      <m:rPr>
                        <m:nor/>
                        <m:sty m:val="p"/>
                      </m:rPr>
                      <m:t> MB</m:t>
                    </m:r>
                  </m:oMath>
                  <w:r>
                    <w:t xml:space="preserve">​</w:t>
                  </w:r>
                </w:p>
              </w:tc>
              <w:tc>
                <w:tcPr/>
                <w:p>
                  <w:pPr>
                    <w:pStyle w:val="Compact"/>
                    <w:jc w:val="center"/>
                    <w:jc w:val="center"/>
                  </w:pPr>
                  <m:oMath>
                    <m:r>
                      <m:t>18</m:t>
                    </m:r>
                    <m:r>
                      <m:rPr>
                        <m:nor/>
                        <m:sty m:val="p"/>
                      </m:rPr>
                      <m:t> ms</m:t>
                    </m:r>
                  </m:oMath>
                  <w:r>
                    <w:t xml:space="preserve">​</w:t>
                  </w:r>
                </w:p>
              </w:tc>
            </w:tr>
            <w:tr>
              <w:tc>
                <w:tcPr/>
                <w:p>
                  <w:pPr>
                    <w:pStyle w:val="Compact"/>
                    <w:jc w:val="left"/>
                    <w:jc w:val="center"/>
                  </w:pPr>
                  <w:r>
                    <w:t xml:space="preserve">Perfil de combustible MapBiomas real</w:t>
                  </w:r>
                </w:p>
              </w:tc>
              <w:tc>
                <w:tcPr/>
                <w:p>
                  <w:pPr>
                    <w:pStyle w:val="Compact"/>
                    <w:jc w:val="left"/>
                    <w:jc w:val="center"/>
                  </w:pPr>
                  <w:r>
                    <w:t xml:space="preserve">Columnar Parquet (ZSTD)</w:t>
                  </w:r>
                </w:p>
              </w:tc>
              <w:tc>
                <w:tcPr/>
                <w:p>
                  <w:pPr>
                    <w:pStyle w:val="Compact"/>
                    <w:jc w:val="center"/>
                    <w:jc w:val="center"/>
                  </w:pPr>
                  <m:oMath>
                    <m:r>
                      <m:t>400.006</m:t>
                    </m:r>
                  </m:oMath>
                  <w:r>
                    <w:t xml:space="preserve">​</w:t>
                  </w:r>
                </w:p>
              </w:tc>
              <w:tc>
                <w:tcPr/>
                <w:p>
                  <w:pPr>
                    <w:pStyle w:val="Compact"/>
                    <w:jc w:val="center"/>
                    <w:jc w:val="center"/>
                  </w:pPr>
                  <m:oMath>
                    <m:r>
                      <m:t>4</m:t>
                    </m:r>
                    <m:r>
                      <m:rPr>
                        <m:sty m:val="p"/>
                      </m:rPr>
                      <m:t>,</m:t>
                    </m:r>
                    <m:r>
                      <m:t>7</m:t>
                    </m:r>
                    <m:r>
                      <m:rPr>
                        <m:nor/>
                        <m:sty m:val="p"/>
                      </m:rPr>
                      <m:t> MB</m:t>
                    </m:r>
                  </m:oMath>
                  <w:r>
                    <w:t xml:space="preserve">​</w:t>
                  </w:r>
                </w:p>
              </w:tc>
              <w:tc>
                <w:tcPr/>
                <w:p>
                  <w:pPr>
                    <w:pStyle w:val="Compact"/>
                    <w:jc w:val="center"/>
                    <w:jc w:val="center"/>
                  </w:pPr>
                  <m:oMath>
                    <m:r>
                      <m:t>22</m:t>
                    </m:r>
                    <m:r>
                      <m:rPr>
                        <m:nor/>
                        <m:sty m:val="p"/>
                      </m:rPr>
                      <m:t> ms</m:t>
                    </m:r>
                  </m:oMath>
                  <w:r>
                    <w:t xml:space="preserve">​</w:t>
                  </w:r>
                </w:p>
              </w:tc>
            </w:tr>
            <w:tr>
              <w:tc>
                <w:tcPr/>
                <w:p>
                  <w:pPr>
                    <w:pStyle w:val="Compact"/>
                    <w:jc w:val="left"/>
                    <w:jc w:val="center"/>
                  </w:pPr>
                  <w:r>
                    <w:t xml:space="preserve">Reanálisis ERA5-Land (8 Años)</w:t>
                  </w:r>
                </w:p>
              </w:tc>
              <w:tc>
                <w:tcPr/>
                <w:p>
                  <w:pPr>
                    <w:pStyle w:val="Compact"/>
                    <w:jc w:val="left"/>
                    <w:jc w:val="center"/>
                  </w:pPr>
                  <w:r>
                    <w:t xml:space="preserve">Columnar Parquet (ZSTD)</w:t>
                  </w:r>
                </w:p>
              </w:tc>
              <w:tc>
                <w:tcPr/>
                <w:p>
                  <w:pPr>
                    <w:pStyle w:val="Compact"/>
                    <w:jc w:val="center"/>
                    <w:jc w:val="center"/>
                  </w:pPr>
                  <m:oMath>
                    <m:r>
                      <m:t>1.870</m:t>
                    </m:r>
                    <m:r>
                      <m:t>.080</m:t>
                    </m:r>
                  </m:oMath>
                  <w:r>
                    <w:t xml:space="preserve">​</w:t>
                  </w:r>
                </w:p>
              </w:tc>
              <w:tc>
                <w:tcPr/>
                <w:p>
                  <w:pPr>
                    <w:pStyle w:val="Compact"/>
                    <w:jc w:val="center"/>
                    <w:jc w:val="center"/>
                  </w:pPr>
                  <m:oMath>
                    <m:r>
                      <m:t>64</m:t>
                    </m:r>
                    <m:r>
                      <m:rPr>
                        <m:sty m:val="p"/>
                      </m:rPr>
                      <m:t>,</m:t>
                    </m:r>
                    <m:r>
                      <m:t>8</m:t>
                    </m:r>
                    <m:r>
                      <m:rPr>
                        <m:nor/>
                        <m:sty m:val="p"/>
                      </m:rPr>
                      <m:t> MB</m:t>
                    </m:r>
                  </m:oMath>
                  <w:r>
                    <w:t xml:space="preserve">​</w:t>
                  </w:r>
                </w:p>
              </w:tc>
              <w:tc>
                <w:tcPr/>
                <w:p>
                  <w:pPr>
                    <w:pStyle w:val="Compact"/>
                    <w:jc w:val="center"/>
                    <w:jc w:val="center"/>
                  </w:pPr>
                  <m:oMath>
                    <m:r>
                      <m:t>45</m:t>
                    </m:r>
                    <m:r>
                      <m:rPr>
                        <m:nor/>
                        <m:sty m:val="p"/>
                      </m:rPr>
                      <m:t> ms</m:t>
                    </m:r>
                  </m:oMath>
                  <w:r>
                    <w:t xml:space="preserve">​</w:t>
                  </w:r>
                </w:p>
              </w:tc>
            </w:tr>
            <w:tr>
              <w:tc>
                <w:tcPr/>
                <w:p>
                  <w:pPr>
                    <w:pStyle w:val="Compact"/>
                    <w:jc w:val="left"/>
                    <w:jc w:val="center"/>
                  </w:pPr>
                  <w:r>
                    <w:t xml:space="preserve">Focos Satelitales VIIRS (8 Años)</w:t>
                  </w:r>
                </w:p>
              </w:tc>
              <w:tc>
                <w:tcPr/>
                <w:p>
                  <w:pPr>
                    <w:pStyle w:val="Compact"/>
                    <w:jc w:val="left"/>
                    <w:jc w:val="center"/>
                  </w:pPr>
                  <w:r>
                    <w:t xml:space="preserve">Columnar Parquet (ZSTD)</w:t>
                  </w:r>
                </w:p>
              </w:tc>
              <w:tc>
                <w:tcPr/>
                <w:p>
                  <w:pPr>
                    <w:pStyle w:val="Compact"/>
                    <w:jc w:val="center"/>
                    <w:jc w:val="center"/>
                  </w:pPr>
                  <m:oMath>
                    <m:r>
                      <m:t>892.533</m:t>
                    </m:r>
                  </m:oMath>
                  <w:r>
                    <w:t xml:space="preserve">​</w:t>
                  </w:r>
                </w:p>
              </w:tc>
              <w:tc>
                <w:tcPr/>
                <w:p>
                  <w:pPr>
                    <w:pStyle w:val="Compact"/>
                    <w:jc w:val="center"/>
                    <w:jc w:val="center"/>
                  </w:pPr>
                  <m:oMath>
                    <m:r>
                      <m:t>11</m:t>
                    </m:r>
                    <m:r>
                      <m:rPr>
                        <m:sty m:val="p"/>
                      </m:rPr>
                      <m:t>,</m:t>
                    </m:r>
                    <m:r>
                      <m:t>1</m:t>
                    </m:r>
                    <m:r>
                      <m:rPr>
                        <m:nor/>
                        <m:sty m:val="p"/>
                      </m:rPr>
                      <m:t> MB</m:t>
                    </m:r>
                  </m:oMath>
                  <w:r>
                    <w:t xml:space="preserve">​</w:t>
                  </w:r>
                </w:p>
              </w:tc>
              <w:tc>
                <w:tcPr/>
                <w:p>
                  <w:pPr>
                    <w:pStyle w:val="Compact"/>
                    <w:jc w:val="center"/>
                    <w:jc w:val="center"/>
                  </w:pPr>
                  <m:oMath>
                    <m:r>
                      <m:t>15</m:t>
                    </m:r>
                    <m:r>
                      <m:rPr>
                        <m:nor/>
                        <m:sty m:val="p"/>
                      </m:rPr>
                      <m:t> ms</m:t>
                    </m:r>
                  </m:oMath>
                  <w:r>
                    <w:t xml:space="preserve">​</w:t>
                  </w:r>
                </w:p>
              </w:tc>
            </w:tr>
            <w:tr>
              <w:tc>
                <w:tcPr/>
                <w:p>
                  <w:pPr>
                    <w:pStyle w:val="Compact"/>
                    <w:jc w:val="left"/>
                    <w:jc w:val="center"/>
                  </w:pPr>
                  <w:r>
                    <w:rPr>
                      <w:b/>
                      <w:bCs/>
                    </w:rPr>
                    <w:t xml:space="preserve">Total Sistema Consolidado</w:t>
                  </w:r>
                </w:p>
              </w:tc>
              <w:tc>
                <w:tcPr/>
                <w:p>
                  <w:pPr>
                    <w:pStyle w:val="Compact"/>
                    <w:jc w:val="left"/>
                    <w:jc w:val="center"/>
                  </w:pPr>
                  <w:r>
                    <w:rPr>
                      <w:b/>
                      <w:bCs/>
                    </w:rPr>
                    <w:t xml:space="preserve">Parquet ZSTD</w:t>
                  </w:r>
                </w:p>
              </w:tc>
              <w:tc>
                <w:tcPr/>
                <w:p>
                  <w:pPr>
                    <w:pStyle w:val="Compact"/>
                    <w:jc w:val="center"/>
                    <w:jc w:val="center"/>
                  </w:pPr>
                  <w:r>
                    <w:rPr>
                      <w:b/>
                      <w:bCs/>
                    </w:rPr>
                    <w:t xml:space="preserve">—</w:t>
                  </w:r>
                </w:p>
              </w:tc>
              <w:tc>
                <w:tcPr/>
                <w:p>
                  <w:pPr>
                    <w:pStyle w:val="Compact"/>
                    <w:jc w:val="center"/>
                    <w:jc w:val="center"/>
                  </w:pPr>
                  <m:oMath>
                    <m:r>
                      <m:rPr>
                        <m:sty m:val="p"/>
                      </m:rPr>
                      <m:t>&lt;</m:t>
                    </m:r>
                    <m:r>
                      <m:t>350</m:t>
                    </m:r>
                    <m:r>
                      <m:rPr>
                        <m:nor/>
                        <m:sty m:val="p"/>
                      </m:rPr>
                      <m:t> MB</m:t>
                    </m:r>
                  </m:oMath>
                </w:p>
              </w:tc>
              <w:tc>
                <w:tcPr/>
                <w:p>
                  <w:pPr>
                    <w:pStyle w:val="Compact"/>
                    <w:jc w:val="center"/>
                    <w:jc w:val="center"/>
                  </w:pPr>
                  <m:oMath>
                    <m:r>
                      <m:rPr>
                        <m:sty m:val="p"/>
                      </m:rPr>
                      <m:t>&lt;</m:t>
                    </m:r>
                    <m:r>
                      <m:t>150</m:t>
                    </m:r>
                    <m:r>
                      <m:rPr>
                        <m:nor/>
                        <m:sty m:val="p"/>
                      </m:rPr>
                      <m:t> ms</m:t>
                    </m:r>
                  </m:oMath>
                </w:p>
              </w:tc>
            </w:tr>
          </w:tbl>
          <w:bookmarkEnd w:id="39"/>
          <w:p/>
        </w:tc>
      </w:tr>
    </w:tbl>
    <w:bookmarkEnd w:id="40"/>
    <w:bookmarkStart w:id="42" w:name="contribución-computacional"/>
    <w:p>
      <w:pPr>
        <w:pStyle w:val="Heading2"/>
      </w:pPr>
      <w:r>
        <w:t xml:space="preserve">3.5 3.5 Contribución computacional</w:t>
      </w:r>
    </w:p>
    <w:p>
      <w:pPr>
        <w:pStyle w:val="FirstParagraph"/>
      </w:pPr>
      <w:r>
        <w:t xml:space="preserve">La contribución computacional del sistema no depende de un nuevo algoritmo de boosting, sino de la combinación de: (i) una grilla nacional con</w:t>
      </w:r>
      <w:r>
        <w:t xml:space="preserve"> </w:t>
      </w:r>
      <w:r>
        <w:rPr>
          <w:rStyle w:val="VerbatimChar"/>
        </w:rPr>
        <w:t xml:space="preserve">cell_id</w:t>
      </w:r>
      <w:r>
        <w:t xml:space="preserve"> </w:t>
      </w:r>
      <w:r>
        <w:t xml:space="preserve">entero y lookup (O(1)); (ii) un pipeline columnar DuckDB/Polars con gating temprano; (iii) una definición D2 de targets que evita mezclar persistencia e ignición; (iv) calibración Platt y conformal; y (v) inferencia nacional ligera.</w:t>
      </w:r>
    </w:p>
    <w:p>
      <w:pPr>
        <w:pStyle w:val="BodyText"/>
      </w:pPr>
      <w:r>
        <w:t xml:space="preserve">El lookup</w:t>
      </w:r>
      <w:r>
        <w:t xml:space="preserve"> </w:t>
      </w:r>
      <w:r>
        <w:rPr>
          <w:rStyle w:val="VerbatimChar"/>
        </w:rPr>
        <w:t xml:space="preserve">cell_id</w:t>
      </w:r>
      <w:r>
        <w:t xml:space="preserve"> </w:t>
      </w:r>
      <w:r>
        <w:t xml:space="preserve">procesa 400.006 celdas en (7{,}3</w:t>
      </w:r>
      <w:r>
        <w:t xml:space="preserve">^{-4}) s (mediana de 100 repeticiones). Un</w:t>
      </w:r>
      <w:r>
        <w:t xml:space="preserve"> </w:t>
      </w:r>
      <w:r>
        <w:rPr>
          <w:rStyle w:val="VerbatimChar"/>
        </w:rPr>
        <w:t xml:space="preserve">sjoin</w:t>
      </w:r>
      <w:r>
        <w:t xml:space="preserve"> </w:t>
      </w:r>
      <w:r>
        <w:t xml:space="preserve">de GeoPandas sobre 50.000 puntos tarda 0,026 s; la comparación no es lineal, pero ilustra por qué el lookup entero evita Point-in-Polygon en tiempo de ejecución.</w:t>
      </w:r>
    </w:p>
    <w:tbl>
      <w:tblPr>
        <w:tblStyle w:val="Table"/>
        <w:tblW w:type="pct" w:w="5000"/>
        <w:tblLayout w:type="fixed"/>
        <w:tblLook w:firstRow="0" w:lastRow="0" w:firstColumn="0" w:lastColumn="0" w:noHBand="0" w:noVBand="0" w:val="0000"/>
      </w:tblPr>
      <w:tblGrid>
        <w:gridCol w:w="7920"/>
      </w:tblGrid>
      <w:tr>
        <w:tc>
          <w:tcPr/>
          <w:bookmarkStart w:id="41" w:name="tbl-computo"/>
          <w:p>
            <w:pPr>
              <w:jc w:val="center"/>
            </w:pPr>
            <w:pPr>
              <w:jc w:val="left"/>
              <w:spacing w:before="200"/>
              <w:pStyle w:val="ImageCaption"/>
            </w:pPr>
            <w:r>
              <w:t xml:space="preserve">Tabla 2: Benchmark computacional en macOS ARM64. El pipeline completo se midió sobre 400.006 celdas para 2024-09-09; x86_64 no fue medido.</w:t>
            </w:r>
          </w:p>
          <w:tbl>
            <w:tblPr>
              <w:tblStyle w:val="Table"/>
              <w:tblW w:type="pct" w:w="5000"/>
              <w:tblLayout w:type="fixed"/>
              <w:tblLook w:firstRow="1" w:lastRow="0" w:firstColumn="0" w:lastColumn="0" w:noHBand="0" w:noVBand="0" w:val="0020"/>
            </w:tblPr>
            <w:tblGrid>
              <w:gridCol w:w="1926"/>
              <w:gridCol w:w="1212"/>
              <w:gridCol w:w="570"/>
              <w:gridCol w:w="856"/>
              <w:gridCol w:w="713"/>
              <w:gridCol w:w="2640"/>
            </w:tblGrid>
            <w:tr>
              <w:trPr>
                <w:tblHeader w:val="on"/>
              </w:trPr>
              <w:tc>
                <w:tcPr/>
                <w:p>
                  <w:pPr>
                    <w:pStyle w:val="Compact"/>
                    <w:jc w:val="left"/>
                    <w:jc w:val="center"/>
                  </w:pPr>
                  <w:r>
                    <w:t xml:space="preserve">etapa</w:t>
                  </w:r>
                </w:p>
              </w:tc>
              <w:tc>
                <w:tcPr/>
                <w:p>
                  <w:pPr>
                    <w:pStyle w:val="Compact"/>
                    <w:jc w:val="left"/>
                    <w:jc w:val="center"/>
                  </w:pPr>
                  <w:r>
                    <w:t xml:space="preserve">metodo</w:t>
                  </w:r>
                </w:p>
              </w:tc>
              <w:tc>
                <w:tcPr/>
                <w:p>
                  <w:pPr>
                    <w:pStyle w:val="Compact"/>
                    <w:jc w:val="right"/>
                    <w:jc w:val="center"/>
                  </w:pPr>
                  <w:r>
                    <w:t xml:space="preserve">n</w:t>
                  </w:r>
                </w:p>
              </w:tc>
              <w:tc>
                <w:tcPr/>
                <w:p>
                  <w:pPr>
                    <w:pStyle w:val="Compact"/>
                    <w:jc w:val="right"/>
                    <w:jc w:val="center"/>
                  </w:pPr>
                  <w:r>
                    <w:t xml:space="preserve">tiempo_s</w:t>
                  </w:r>
                </w:p>
              </w:tc>
              <w:tc>
                <w:tcPr/>
                <w:p>
                  <w:pPr>
                    <w:pStyle w:val="Compact"/>
                    <w:jc w:val="right"/>
                    <w:jc w:val="center"/>
                  </w:pPr>
                  <w:r>
                    <w:t xml:space="preserve">ram_mb</w:t>
                  </w:r>
                </w:p>
              </w:tc>
              <w:tc>
                <w:tcPr/>
                <w:p>
                  <w:pPr>
                    <w:pStyle w:val="Compact"/>
                    <w:jc w:val="left"/>
                    <w:jc w:val="center"/>
                  </w:pPr>
                  <w:r>
                    <w:t xml:space="preserve">nota</w:t>
                  </w:r>
                </w:p>
              </w:tc>
            </w:tr>
            <w:tr>
              <w:tc>
                <w:tcPr/>
                <w:p>
                  <w:pPr>
                    <w:pStyle w:val="Compact"/>
                    <w:jc w:val="left"/>
                    <w:jc w:val="center"/>
                  </w:pPr>
                  <w:r>
                    <w:t xml:space="preserve">Lookup cell_id O(1)</w:t>
                  </w:r>
                </w:p>
              </w:tc>
              <w:tc>
                <w:tcPr/>
                <w:p>
                  <w:pPr>
                    <w:pStyle w:val="Compact"/>
                    <w:jc w:val="left"/>
                    <w:jc w:val="center"/>
                  </w:pPr>
                  <w:r>
                    <w:t xml:space="preserve">NumPy int64</w:t>
                  </w:r>
                </w:p>
              </w:tc>
              <w:tc>
                <w:tcPr/>
                <w:p>
                  <w:pPr>
                    <w:pStyle w:val="Compact"/>
                    <w:jc w:val="right"/>
                    <w:jc w:val="center"/>
                  </w:pPr>
                  <w:r>
                    <w:t xml:space="preserve">400006</w:t>
                  </w:r>
                </w:p>
              </w:tc>
              <w:tc>
                <w:tcPr/>
                <w:p>
                  <w:pPr>
                    <w:pStyle w:val="Compact"/>
                    <w:jc w:val="right"/>
                    <w:jc w:val="center"/>
                  </w:pPr>
                  <w:r>
                    <w:t xml:space="preserve">0.00073</w:t>
                  </w:r>
                </w:p>
              </w:tc>
              <w:tc>
                <w:tcPr/>
                <w:p>
                  <w:pPr>
                    <w:pStyle w:val="Compact"/>
                    <w:jc w:val="right"/>
                    <w:jc w:val="center"/>
                  </w:pPr>
                  <w:r>
                    <w:t xml:space="preserve">nan</w:t>
                  </w:r>
                </w:p>
              </w:tc>
              <w:tc>
                <w:tcPr/>
                <w:p>
                  <w:pPr>
                    <w:pStyle w:val="Compact"/>
                    <w:jc w:val="left"/>
                    <w:jc w:val="center"/>
                  </w:pPr>
                  <w:r>
                    <w:t xml:space="preserve">mediana 100 repeticiones</w:t>
                  </w:r>
                </w:p>
              </w:tc>
            </w:tr>
            <w:tr>
              <w:tc>
                <w:tcPr/>
                <w:p>
                  <w:pPr>
                    <w:pStyle w:val="Compact"/>
                    <w:jc w:val="left"/>
                    <w:jc w:val="center"/>
                  </w:pPr>
                  <w:r>
                    <w:t xml:space="preserve">Point-in-Polygon</w:t>
                  </w:r>
                </w:p>
              </w:tc>
              <w:tc>
                <w:tcPr/>
                <w:p>
                  <w:pPr>
                    <w:pStyle w:val="Compact"/>
                    <w:jc w:val="left"/>
                    <w:jc w:val="center"/>
                  </w:pPr>
                  <w:r>
                    <w:t xml:space="preserve">GeoPandas sjoin</w:t>
                  </w:r>
                </w:p>
              </w:tc>
              <w:tc>
                <w:tcPr/>
                <w:p>
                  <w:pPr>
                    <w:pStyle w:val="Compact"/>
                    <w:jc w:val="right"/>
                    <w:jc w:val="center"/>
                  </w:pPr>
                  <w:r>
                    <w:t xml:space="preserve">50000</w:t>
                  </w:r>
                </w:p>
              </w:tc>
              <w:tc>
                <w:tcPr/>
                <w:p>
                  <w:pPr>
                    <w:pStyle w:val="Compact"/>
                    <w:jc w:val="right"/>
                    <w:jc w:val="center"/>
                  </w:pPr>
                  <w:r>
                    <w:t xml:space="preserve">0.0261</w:t>
                  </w:r>
                </w:p>
              </w:tc>
              <w:tc>
                <w:tcPr/>
                <w:p>
                  <w:pPr>
                    <w:pStyle w:val="Compact"/>
                    <w:jc w:val="right"/>
                    <w:jc w:val="center"/>
                  </w:pPr>
                  <w:r>
                    <w:t xml:space="preserve">nan</w:t>
                  </w:r>
                </w:p>
              </w:tc>
              <w:tc>
                <w:tcPr/>
                <w:p>
                  <w:pPr>
                    <w:pStyle w:val="Compact"/>
                    <w:jc w:val="left"/>
                    <w:jc w:val="center"/>
                  </w:pPr>
                  <w:r>
                    <w:t xml:space="preserve">50k puntos; extrapolación no lineal</w:t>
                  </w:r>
                </w:p>
              </w:tc>
            </w:tr>
            <w:tr>
              <w:tc>
                <w:tcPr/>
                <w:p>
                  <w:pPr>
                    <w:pStyle w:val="Compact"/>
                    <w:jc w:val="left"/>
                    <w:jc w:val="center"/>
                  </w:pPr>
                  <w:r>
                    <w:t xml:space="preserve">Ingesta + priors + gating</w:t>
                  </w:r>
                </w:p>
              </w:tc>
              <w:tc>
                <w:tcPr/>
                <w:p>
                  <w:pPr>
                    <w:pStyle w:val="Compact"/>
                    <w:jc w:val="left"/>
                    <w:jc w:val="center"/>
                  </w:pPr>
                  <w:r>
                    <w:t xml:space="preserve">Polars/cKDTree</w:t>
                  </w:r>
                </w:p>
              </w:tc>
              <w:tc>
                <w:tcPr/>
                <w:p>
                  <w:pPr>
                    <w:pStyle w:val="Compact"/>
                    <w:jc w:val="right"/>
                    <w:jc w:val="center"/>
                  </w:pPr>
                  <w:r>
                    <w:t xml:space="preserve">400006</w:t>
                  </w:r>
                </w:p>
              </w:tc>
              <w:tc>
                <w:tcPr/>
                <w:p>
                  <w:pPr>
                    <w:pStyle w:val="Compact"/>
                    <w:jc w:val="right"/>
                    <w:jc w:val="center"/>
                  </w:pPr>
                  <w:r>
                    <w:t xml:space="preserve">1.268</w:t>
                  </w:r>
                </w:p>
              </w:tc>
              <w:tc>
                <w:tcPr/>
                <w:p>
                  <w:pPr>
                    <w:pStyle w:val="Compact"/>
                    <w:jc w:val="right"/>
                    <w:jc w:val="center"/>
                  </w:pPr>
                  <w:r>
                    <w:t xml:space="preserve">nan</w:t>
                  </w:r>
                </w:p>
              </w:tc>
              <w:tc>
                <w:tcPr/>
                <w:p>
                  <w:pPr>
                    <w:pStyle w:val="Compact"/>
                    <w:jc w:val="left"/>
                    <w:jc w:val="center"/>
                  </w:pPr>
                  <w:r>
                    <w:t xml:space="preserve">2024-09-09</w:t>
                  </w:r>
                </w:p>
              </w:tc>
            </w:tr>
            <w:tr>
              <w:tc>
                <w:tcPr/>
                <w:p>
                  <w:pPr>
                    <w:pStyle w:val="Compact"/>
                    <w:jc w:val="left"/>
                    <w:jc w:val="center"/>
                  </w:pPr>
                  <w:r>
                    <w:t xml:space="preserve">Inferencia dual</w:t>
                  </w:r>
                </w:p>
              </w:tc>
              <w:tc>
                <w:tcPr/>
                <w:p>
                  <w:pPr>
                    <w:pStyle w:val="Compact"/>
                    <w:jc w:val="left"/>
                    <w:jc w:val="center"/>
                  </w:pPr>
                  <w:r>
                    <w:t xml:space="preserve">LightGBM</w:t>
                  </w:r>
                </w:p>
              </w:tc>
              <w:tc>
                <w:tcPr/>
                <w:p>
                  <w:pPr>
                    <w:pStyle w:val="Compact"/>
                    <w:jc w:val="right"/>
                    <w:jc w:val="center"/>
                  </w:pPr>
                  <w:r>
                    <w:t xml:space="preserve">400006</w:t>
                  </w:r>
                </w:p>
              </w:tc>
              <w:tc>
                <w:tcPr/>
                <w:p>
                  <w:pPr>
                    <w:pStyle w:val="Compact"/>
                    <w:jc w:val="right"/>
                    <w:jc w:val="center"/>
                  </w:pPr>
                  <w:r>
                    <w:t xml:space="preserve">0.285</w:t>
                  </w:r>
                </w:p>
              </w:tc>
              <w:tc>
                <w:tcPr/>
                <w:p>
                  <w:pPr>
                    <w:pStyle w:val="Compact"/>
                    <w:jc w:val="right"/>
                    <w:jc w:val="center"/>
                  </w:pPr>
                  <w:r>
                    <w:t xml:space="preserve">nan</w:t>
                  </w:r>
                </w:p>
              </w:tc>
              <w:tc>
                <w:tcPr/>
                <w:p>
                  <w:pPr>
                    <w:pStyle w:val="Compact"/>
                    <w:jc w:val="left"/>
                    <w:jc w:val="center"/>
                  </w:pPr>
                  <w:r>
                    <w:t xml:space="preserve">2024-09-09</w:t>
                  </w:r>
                </w:p>
              </w:tc>
            </w:tr>
            <w:tr>
              <w:tc>
                <w:tcPr/>
                <w:p>
                  <w:pPr>
                    <w:pStyle w:val="Compact"/>
                    <w:jc w:val="left"/>
                    <w:jc w:val="center"/>
                  </w:pPr>
                  <w:r>
                    <w:t xml:space="preserve">Agregación/boletín</w:t>
                  </w:r>
                </w:p>
              </w:tc>
              <w:tc>
                <w:tcPr/>
                <w:p>
                  <w:pPr>
                    <w:pStyle w:val="Compact"/>
                    <w:jc w:val="left"/>
                    <w:jc w:val="center"/>
                  </w:pPr>
                  <w:r>
                    <w:t xml:space="preserve">Polars</w:t>
                  </w:r>
                </w:p>
              </w:tc>
              <w:tc>
                <w:tcPr/>
                <w:p>
                  <w:pPr>
                    <w:pStyle w:val="Compact"/>
                    <w:jc w:val="right"/>
                    <w:jc w:val="center"/>
                  </w:pPr>
                  <w:r>
                    <w:t xml:space="preserve">400006</w:t>
                  </w:r>
                </w:p>
              </w:tc>
              <w:tc>
                <w:tcPr/>
                <w:p>
                  <w:pPr>
                    <w:pStyle w:val="Compact"/>
                    <w:jc w:val="right"/>
                    <w:jc w:val="center"/>
                  </w:pPr>
                  <w:r>
                    <w:t xml:space="preserve">0.016</w:t>
                  </w:r>
                </w:p>
              </w:tc>
              <w:tc>
                <w:tcPr/>
                <w:p>
                  <w:pPr>
                    <w:pStyle w:val="Compact"/>
                    <w:jc w:val="right"/>
                    <w:jc w:val="center"/>
                  </w:pPr>
                  <w:r>
                    <w:t xml:space="preserve">nan</w:t>
                  </w:r>
                </w:p>
              </w:tc>
              <w:tc>
                <w:tcPr/>
                <w:p>
                  <w:pPr>
                    <w:pStyle w:val="Compact"/>
                    <w:jc w:val="left"/>
                    <w:jc w:val="center"/>
                  </w:pPr>
                  <w:r>
                    <w:t xml:space="preserve">2024-09-09</w:t>
                  </w:r>
                </w:p>
              </w:tc>
            </w:tr>
            <w:tr>
              <w:tc>
                <w:tcPr/>
                <w:p>
                  <w:pPr>
                    <w:pStyle w:val="Compact"/>
                    <w:jc w:val="left"/>
                    <w:jc w:val="center"/>
                  </w:pPr>
                  <w:r>
                    <w:t xml:space="preserve">Total pipeline</w:t>
                  </w:r>
                </w:p>
              </w:tc>
              <w:tc>
                <w:tcPr/>
                <w:p>
                  <w:pPr>
                    <w:pStyle w:val="Compact"/>
                    <w:jc w:val="left"/>
                    <w:jc w:val="center"/>
                  </w:pPr>
                  <w:r>
                    <w:t xml:space="preserve">Consolidado</w:t>
                  </w:r>
                </w:p>
              </w:tc>
              <w:tc>
                <w:tcPr/>
                <w:p>
                  <w:pPr>
                    <w:pStyle w:val="Compact"/>
                    <w:jc w:val="right"/>
                    <w:jc w:val="center"/>
                  </w:pPr>
                  <w:r>
                    <w:t xml:space="preserve">400006</w:t>
                  </w:r>
                </w:p>
              </w:tc>
              <w:tc>
                <w:tcPr/>
                <w:p>
                  <w:pPr>
                    <w:pStyle w:val="Compact"/>
                    <w:jc w:val="right"/>
                    <w:jc w:val="center"/>
                  </w:pPr>
                  <w:r>
                    <w:t xml:space="preserve">1.569</w:t>
                  </w:r>
                </w:p>
              </w:tc>
              <w:tc>
                <w:tcPr/>
                <w:p>
                  <w:pPr>
                    <w:pStyle w:val="Compact"/>
                    <w:jc w:val="right"/>
                    <w:jc w:val="center"/>
                  </w:pPr>
                  <w:r>
                    <w:t xml:space="preserve">2182.1</w:t>
                  </w:r>
                </w:p>
              </w:tc>
              <w:tc>
                <w:tcPr/>
                <w:p>
                  <w:pPr>
                    <w:pStyle w:val="Compact"/>
                    <w:jc w:val="left"/>
                    <w:jc w:val="center"/>
                  </w:pPr>
                  <w:r>
                    <w:t xml:space="preserve">ARM64; x86_64 no medido</w:t>
                  </w:r>
                </w:p>
              </w:tc>
            </w:tr>
          </w:tbl>
          <w:bookmarkEnd w:id="41"/>
          <w:p/>
        </w:tc>
      </w:tr>
    </w:tbl>
    <w:p>
      <w:r>
        <w:pict>
          <v:rect style="width:0;height:1.5pt" o:hralign="center" o:hrstd="t" o:hr="t"/>
        </w:pict>
      </w:r>
    </w:p>
    <w:bookmarkEnd w:id="42"/>
    <w:bookmarkEnd w:id="43"/>
    <w:bookmarkStart w:id="48" w:name="Xc7095903020df5e14970680641ef602b443ca6a"/>
    <w:p>
      <w:pPr>
        <w:pStyle w:val="Heading1"/>
      </w:pPr>
      <w:r>
        <w:t xml:space="preserve">4. 4. Protocolo Experimental Multianual y Benchmarking Internacional</w:t>
      </w:r>
    </w:p>
    <w:bookmarkStart w:id="44" w:name="Xfcc72fae6887bd472bbd2c776799f16cf68cc74"/>
    <w:p>
      <w:pPr>
        <w:pStyle w:val="Heading2"/>
      </w:pPr>
      <w:r>
        <w:t xml:space="preserve">4.1 4.1 Delimitación del Horizonte Temporal (2018–2025) y Justificación de Homogeneidad Satelital</w:t>
      </w:r>
    </w:p>
    <w:p>
      <w:pPr>
        <w:pStyle w:val="FirstParagraph"/>
      </w:pPr>
      <w:r>
        <w:t xml:space="preserve">La delimitación del período temporal en estudios predictivos de fuego asistidos por aprendizaje automático suele abordarse mediante criterios oportunistas de disponibilidad máxima de datos. Sin embargo, en geociencias y teledetección operativa, la validez causal de los modelos exige que los datos sean rigurosamente</w:t>
      </w:r>
      <w:r>
        <w:t xml:space="preserve"> </w:t>
      </w:r>
      <w:r>
        <w:rPr>
          <w:b/>
          <w:bCs/>
        </w:rPr>
        <w:t xml:space="preserve">fidedignos, completos y estacionarios en su esfuerzo de muestreo</w:t>
      </w:r>
      <w:r>
        <w:t xml:space="preserve">. Por ello, en</w:t>
      </w:r>
      <w:r>
        <w:t xml:space="preserve"> </w:t>
      </w:r>
      <w:r>
        <w:rPr>
          <w:rStyle w:val="VerbatimChar"/>
        </w:rPr>
        <w:t xml:space="preserve">Incendios_PY</w:t>
      </w:r>
      <w:r>
        <w:t xml:space="preserve"> </w:t>
      </w:r>
      <w:r>
        <w:t xml:space="preserve">establecemos el horizonte multianual en el período continuo de 8 años (</w:t>
      </w:r>
      <w:r>
        <w:rPr>
          <w:b/>
          <w:bCs/>
        </w:rPr>
        <w:t xml:space="preserve">2018–2025</w:t>
      </w:r>
      <w:r>
        <w:t xml:space="preserve">), fundamentado en tres pilares metodológicos irreprochables:</w:t>
      </w:r>
    </w:p>
    <w:p>
      <w:pPr>
        <w:numPr>
          <w:ilvl w:val="0"/>
          <w:numId w:val="1006"/>
        </w:numPr>
      </w:pPr>
      <w:r>
        <w:rPr>
          <w:b/>
          <w:bCs/>
        </w:rPr>
        <w:t xml:space="preserve">Rigor Metodológico y Prevención del Sesgo de Esfuerzo Observacional (</w:t>
      </w:r>
      <w:r>
        <w:rPr>
          <w:b/>
          <w:bCs/>
          <w:i/>
          <w:iCs/>
        </w:rPr>
        <w:t xml:space="preserve">Observational Effort Bias</w:t>
      </w:r>
      <w:r>
        <w:rPr>
          <w:b/>
          <w:bCs/>
        </w:rPr>
        <w:t xml:space="preserve"> </w:t>
      </w:r>
      <w:r>
        <w:rPr>
          <w:b/>
          <w:bCs/>
        </w:rPr>
        <w:t xml:space="preserve">/</w:t>
      </w:r>
      <w:r>
        <w:rPr>
          <w:b/>
          <w:bCs/>
        </w:rPr>
        <w:t xml:space="preserve"> </w:t>
      </w:r>
      <w:r>
        <w:rPr>
          <w:b/>
          <w:bCs/>
          <w:i/>
          <w:iCs/>
        </w:rPr>
        <w:t xml:space="preserve">Sensor Shift</w:t>
      </w:r>
      <w:r>
        <w:rPr>
          <w:b/>
          <w:bCs/>
        </w:rPr>
        <w:t xml:space="preserve">):</w:t>
      </w:r>
      <w:r>
        <w:br/>
      </w:r>
      <w:r>
        <w:t xml:space="preserve">Aunque el sensor VIIRS (375 m) a bordo de la plataforma Suomi-NPP comenzó a suministrar datos en 2012, operó en solitario durante sus primeros seis años de vida útil (proporcionando dos sobrevuelos diarios: 1 diurno ~13:30 y 1 nocturno ~01:30 hora local). En enero de 2018, la entrada en servicio de la plataforma NOAA-20 (JPSS-1) en la misma órbita heliosincrónica polar —volando con un desfasaje angular fijo de 50 minutos respecto a Suomi-NPP— transformó cualitativamente la capacidad de detección, duplicando de facto la cobertura temporal a</w:t>
      </w:r>
      <w:r>
        <w:t xml:space="preserve"> </w:t>
      </w:r>
      <w:r>
        <w:rPr>
          <w:b/>
          <w:bCs/>
        </w:rPr>
        <w:t xml:space="preserve">4 pases diarios</w:t>
      </w:r>
      <w:r>
        <w:t xml:space="preserve"> </w:t>
      </w:r>
      <w:r>
        <w:t xml:space="preserve">(2 diurnos y 2 nocturnos).</w:t>
      </w:r>
      <w:r>
        <w:br/>
      </w:r>
      <w:r>
        <w:t xml:space="preserve">Concatenar observaciones previas a 2018 con observaciones posteriores generaría una ruptura estructural espuria en la tasa base de igniciones: parecería artificialmente que a partir de 2018 la actividad de fuego se</w:t>
      </w:r>
      <w:r>
        <w:t xml:space="preserve"> </w:t>
      </w:r>
      <w:r>
        <w:t xml:space="preserve">“duplica”</w:t>
      </w:r>
      <w:r>
        <w:t xml:space="preserve">, cuando en realidad se trata de un artefacto instrumental de duplicación de sobrevuelos. Los algoritmos de gradiente (</w:t>
      </w:r>
      <w:r>
        <w:rPr>
          <w:i/>
          <w:iCs/>
        </w:rPr>
        <w:t xml:space="preserve">gradient boosting</w:t>
      </w:r>
      <w:r>
        <w:t xml:space="preserve">) aprenderían este salto técnico como una relación espuria frente a covariables climáticas multianuales. Al acotar el modelado al ciclo continuo 2018–2025 se homogeneiza la constelación satelital. No se implementa una función explícita</w:t>
      </w:r>
      <w:r>
        <w:t xml:space="preserve"> </w:t>
      </w:r>
      <m:oMath>
        <m:r>
          <m:t>P</m:t>
        </m:r>
        <m:r>
          <m:rPr>
            <m:sty m:val="p"/>
          </m:rPr>
          <m:t>(</m:t>
        </m:r>
        <m:r>
          <m:rPr>
            <m:nor/>
            <m:sty m:val="p"/>
          </m:rPr>
          <m:t>Obs</m:t>
        </m:r>
        <m:r>
          <m:rPr>
            <m:sty m:val="p"/>
          </m:rPr>
          <m:t>)</m:t>
        </m:r>
      </m:oMath>
      <w:r>
        <w:t xml:space="preserve">; la atenuación por nubes no se modela (ver Limitaciones).</w:t>
      </w:r>
    </w:p>
    <w:p>
      <w:pPr>
        <w:numPr>
          <w:ilvl w:val="0"/>
          <w:numId w:val="1006"/>
        </w:numPr>
      </w:pPr>
      <w:r>
        <w:rPr>
          <w:b/>
          <w:bCs/>
        </w:rPr>
        <w:t xml:space="preserve">Representatividad Ecológica y Estabilidad del Mosaico de Cobertura (MapBiomas):</w:t>
      </w:r>
      <w:r>
        <w:br/>
      </w:r>
      <w:r>
        <w:t xml:space="preserve">El Gran Chaco paraguayo experimentó una deforestación acelerada durante 2005–2017. Integrar igniciones antiguas con coberturas actuales generaría un error de atribución espaciotemporal. La ventana 2018–2025 se alinea con una cobertura MapBiomas estática 2023; no se modela explícitamente el cambio anual de cobertura.</w:t>
      </w:r>
    </w:p>
    <w:p>
      <w:pPr>
        <w:numPr>
          <w:ilvl w:val="0"/>
          <w:numId w:val="1006"/>
        </w:numPr>
      </w:pPr>
      <w:r>
        <w:rPr>
          <w:b/>
          <w:bCs/>
        </w:rPr>
        <w:t xml:space="preserve">Diseño de Partición Temporal</w:t>
      </w:r>
      <w:r>
        <w:rPr>
          <w:b/>
          <w:bCs/>
        </w:rPr>
        <w:t xml:space="preserve"> </w:t>
      </w:r>
      <w:r>
        <w:rPr>
          <w:b/>
          <w:bCs/>
          <w:i/>
          <w:iCs/>
        </w:rPr>
        <w:t xml:space="preserve">Out-of-Time</w:t>
      </w:r>
      <w:r>
        <w:rPr>
          <w:b/>
          <w:bCs/>
        </w:rPr>
        <w:t xml:space="preserve"> </w:t>
      </w:r>
      <w:r>
        <w:rPr>
          <w:b/>
          <w:bCs/>
        </w:rPr>
        <w:t xml:space="preserve">Anti-Data-Leakage:</w:t>
      </w:r>
      <w:r>
        <w:br/>
      </w:r>
      <w:r>
        <w:t xml:space="preserve">Para evaluar el rendimiento en condiciones operativas reales sin contaminación temporal (</w:t>
      </w:r>
      <w:r>
        <w:rPr>
          <w:i/>
          <w:iCs/>
        </w:rPr>
        <w:t xml:space="preserve">temporal data leakage</w:t>
      </w:r>
      <w:r>
        <w:t xml:space="preserve">), estructuramos la partición en tres bloques cronológicos estrictamente secuenciales:</w:t>
      </w:r>
    </w:p>
    <w:p>
      <w:pPr>
        <w:pStyle w:val="Compact"/>
        <w:numPr>
          <w:ilvl w:val="1"/>
          <w:numId w:val="1007"/>
        </w:numPr>
      </w:pPr>
      <w:r>
        <w:rPr>
          <w:b/>
          <w:bCs/>
        </w:rPr>
        <w:t xml:space="preserve">Conjunto de Entrenamiento (Train: 2018–2022, 5 años completos, 62,5 % del horizonte):</w:t>
      </w:r>
      <w:r>
        <w:br/>
      </w:r>
      <w:r>
        <w:t xml:space="preserve">Abarca una rica variabilidad sinóptica e interanual: captura años hidrológicamente normales, fases de recarga de humedad y, crucialmente, la megasequía continental de 2020 con incendios catastróficos en el Chaco y Pantanal.</w:t>
      </w:r>
    </w:p>
    <w:p>
      <w:pPr>
        <w:pStyle w:val="Compact"/>
        <w:numPr>
          <w:ilvl w:val="1"/>
          <w:numId w:val="1007"/>
        </w:numPr>
      </w:pPr>
      <w:r>
        <w:rPr>
          <w:b/>
          <w:bCs/>
        </w:rPr>
        <w:t xml:space="preserve">Conjunto de Validación (Val: 2023, 1 año completo, 12,5 % del horizonte):</w:t>
      </w:r>
      <w:r>
        <w:br/>
      </w:r>
      <w:r>
        <w:t xml:space="preserve">Reservado estrictamente para la sintonización de hiperparámetros de LightGBM, la determinación de rondas óptimas de árboles y la estimación de los coeficientes del calibrador monótono acotado de Platt.</w:t>
      </w:r>
    </w:p>
    <w:p>
      <w:pPr>
        <w:pStyle w:val="Compact"/>
        <w:numPr>
          <w:ilvl w:val="1"/>
          <w:numId w:val="1007"/>
        </w:numPr>
      </w:pPr>
      <w:r>
        <w:rPr>
          <w:b/>
          <w:bCs/>
        </w:rPr>
        <w:t xml:space="preserve">Conjunto de Test Ciego Out-of-Time (2024–2025, 2 años completos, 25 % del horizonte):</w:t>
      </w:r>
      <w:r>
        <w:br/>
      </w:r>
      <w:r>
        <w:t xml:space="preserve">Conjunto estrictamente congelado durante todo el entrenamiento y sintonización. Esta ventana alberga la crisis extrema de incendios de 2024 en el Chaco paraguayo (incluyendo los megaincendios del Parque Nacional Médanos del Chaco, Chovoreca y el corredor biológico fronterizo con Bolivia), proveyendo una prueba de estrés operativo de máxima exigencia para validar la capacidad de generalización frente a eventos hidrometeorológicos sin precedentes.</w:t>
      </w:r>
    </w:p>
    <w:p>
      <w:pPr>
        <w:pStyle w:val="BlockText"/>
      </w:pPr>
      <w:r>
        <w:t xml:space="preserve">[!NOTE]</w:t>
      </w:r>
      <w:r>
        <w:t xml:space="preserve"> </w:t>
      </w:r>
      <w:r>
        <w:rPr>
          <w:b/>
          <w:bCs/>
        </w:rPr>
        <w:t xml:space="preserve">Protocolo de Reproducibilidad en el Repositorio Abierto:</w:t>
      </w:r>
      <w:r>
        <w:br/>
      </w:r>
      <w:r>
        <w:t xml:space="preserve">En concordancia con las directrices de reproducibilidad de</w:t>
      </w:r>
      <w:r>
        <w:t xml:space="preserve"> </w:t>
      </w:r>
      <w:r>
        <w:rPr>
          <w:i/>
          <w:iCs/>
        </w:rPr>
        <w:t xml:space="preserve">Computers &amp; Geosciences</w:t>
      </w:r>
      <w:r>
        <w:t xml:space="preserve">, el repositorio de código abierto acompaña la metodología completa con un pipeline ejecutable de extremo a extremo (</w:t>
      </w:r>
      <w:r>
        <w:rPr>
          <w:rStyle w:val="VerbatimChar"/>
        </w:rPr>
        <w:t xml:space="preserve">scripts/00_...</w:t>
      </w:r>
      <w:r>
        <w:t xml:space="preserve"> </w:t>
      </w:r>
      <w:r>
        <w:t xml:space="preserve">a</w:t>
      </w:r>
      <w:r>
        <w:t xml:space="preserve"> </w:t>
      </w:r>
      <w:r>
        <w:rPr>
          <w:rStyle w:val="VerbatimChar"/>
        </w:rPr>
        <w:t xml:space="preserve">scripts/24_...</w:t>
      </w:r>
      <w:r>
        <w:t xml:space="preserve">). Para permitir la clonación y verificación inmediata en cualquier computadora sin descargar terabytes de archivos brutos de NASA Earthdata, los scripts implementan esta idéntica partición cronológica</w:t>
      </w:r>
      <w:r>
        <w:t xml:space="preserve"> </w:t>
      </w:r>
      <w:r>
        <w:rPr>
          <w:i/>
          <w:iCs/>
        </w:rPr>
        <w:t xml:space="preserve">out-of-time</w:t>
      </w:r>
      <w:r>
        <w:t xml:space="preserve"> </w:t>
      </w:r>
      <w:r>
        <w:t xml:space="preserve">secuencial (62,5 % train, 12,5 % val, 25 % test congelado) sobre la ventana satelital operativa NRT, verificando empíricamente la estabilidad de todas las invariantes algorítmicas.</w:t>
      </w:r>
    </w:p>
    <w:bookmarkEnd w:id="44"/>
    <w:bookmarkStart w:id="45" w:name="muestreo-d2-y-control-espacial"/>
    <w:p>
      <w:pPr>
        <w:pStyle w:val="Heading2"/>
      </w:pPr>
      <w:r>
        <w:t xml:space="preserve">4.2 4.2 Muestreo D2 y control espacial</w:t>
      </w:r>
    </w:p>
    <w:p>
      <w:pPr>
        <w:pStyle w:val="FirstParagraph"/>
      </w:pPr>
      <w:r>
        <w:t xml:space="preserve">La unidad de análisis se define con dos targets disjuntos. La</w:t>
      </w:r>
      <w:r>
        <w:t xml:space="preserve"> </w:t>
      </w:r>
      <w:r>
        <w:rPr>
          <w:b/>
          <w:bCs/>
        </w:rPr>
        <w:t xml:space="preserve">ignición primaria</w:t>
      </w:r>
      <w:r>
        <w:t xml:space="preserve"> </w:t>
      </w:r>
      <w:r>
        <w:t xml:space="preserve">exige fuego en</w:t>
      </w:r>
      <w:r>
        <w:t xml:space="preserve"> </w:t>
      </w:r>
      <m:oMath>
        <m:r>
          <m:t>t</m:t>
        </m:r>
      </m:oMath>
      <w:r>
        <w:t xml:space="preserve">, ausencia de fuego</w:t>
      </w:r>
      <w:r>
        <w:t xml:space="preserve"> </w:t>
      </w:r>
      <m:oMath>
        <m:r>
          <m:t>t</m:t>
        </m:r>
        <m:r>
          <m:rPr>
            <m:sty m:val="p"/>
          </m:rPr>
          <m:t>−</m:t>
        </m:r>
        <m:r>
          <m:t>1</m:t>
        </m:r>
      </m:oMath>
      <w:r>
        <w:t xml:space="preserve"> </w:t>
      </w:r>
      <w:r>
        <w:t xml:space="preserve">en un radio de</w:t>
      </w:r>
      <w:r>
        <w:t xml:space="preserve"> </w:t>
      </w:r>
      <m:oMath>
        <m:r>
          <m:t>25</m:t>
        </m:r>
        <m:r>
          <m:rPr>
            <m:nor/>
            <m:sty m:val="p"/>
          </m:rPr>
          <m:t> km</m:t>
        </m:r>
      </m:oMath>
      <w:r>
        <w:t xml:space="preserve"> </w:t>
      </w:r>
      <w:r>
        <w:t xml:space="preserve">y ausencia de fuego en la misma celda en los últimos 10 días. La</w:t>
      </w:r>
      <w:r>
        <w:t xml:space="preserve"> </w:t>
      </w:r>
      <w:r>
        <w:rPr>
          <w:b/>
          <w:bCs/>
        </w:rPr>
        <w:t xml:space="preserve">propagación</w:t>
      </w:r>
      <w:r>
        <w:t xml:space="preserve"> </w:t>
      </w:r>
      <w:r>
        <w:t xml:space="preserve">exige fuego en</w:t>
      </w:r>
      <w:r>
        <w:t xml:space="preserve"> </w:t>
      </w:r>
      <m:oMath>
        <m:r>
          <m:t>t</m:t>
        </m:r>
      </m:oMath>
      <w:r>
        <w:t xml:space="preserve"> </w:t>
      </w:r>
      <w:r>
        <w:t xml:space="preserve">dentro de</w:t>
      </w:r>
      <w:r>
        <w:t xml:space="preserve"> </w:t>
      </w:r>
      <m:oMath>
        <m:r>
          <m:t>25</m:t>
        </m:r>
        <m:r>
          <m:rPr>
            <m:nor/>
            <m:sty m:val="p"/>
          </m:rPr>
          <m:t> km</m:t>
        </m:r>
      </m:oMath>
      <w:r>
        <w:t xml:space="preserve"> </w:t>
      </w:r>
      <w:r>
        <w:t xml:space="preserve">de un fuego</w:t>
      </w:r>
      <w:r>
        <w:t xml:space="preserve"> </w:t>
      </w:r>
      <m:oMath>
        <m:r>
          <m:t>t</m:t>
        </m:r>
        <m:r>
          <m:rPr>
            <m:sty m:val="p"/>
          </m:rPr>
          <m:t>−</m:t>
        </m:r>
        <m:r>
          <m:t>1</m:t>
        </m:r>
      </m:oMath>
      <w:r>
        <w:t xml:space="preserve">. Las celdas fuera de cada dominio se excluyen del target correspondiente.</w:t>
      </w:r>
    </w:p>
    <w:p>
      <w:pPr>
        <w:pStyle w:val="BodyText"/>
      </w:pPr>
      <w:r>
        <w:t xml:space="preserve">El muestreo se realiza desde la población completa de celdas-día candidatas, estratificado por fecha y región, con ratio 1:10 entre positivos y negativos de cada dominio. No se aplica un buffer de 20 km contra fuegos del mismo día en el muestreo: ese filtro eliminaría la mayoría de los negativos cercanos al fuego y sesgaría las métricas.</w:t>
      </w:r>
    </w:p>
    <w:p>
      <w:pPr>
        <w:pStyle w:val="BodyText"/>
      </w:pPr>
      <w:r>
        <w:t xml:space="preserve">El buffer de 20 km se reserva para la</w:t>
      </w:r>
      <w:r>
        <w:t xml:space="preserve"> </w:t>
      </w:r>
      <w:r>
        <w:rPr>
          <w:b/>
          <w:bCs/>
        </w:rPr>
        <w:t xml:space="preserve">validación espacial por bloques</w:t>
      </w:r>
      <w:r>
        <w:t xml:space="preserve">: se excluyen del entrenamiento las celdas retenidas y las celdas a menos de 20 km de ellas. El valor de 18,4 km de un semivariograma no está implementado y no debe citarse como reproducido.</w:t>
      </w:r>
    </w:p>
    <w:bookmarkEnd w:id="45"/>
    <w:bookmarkStart w:id="46" w:name="X5ec34f33ccc287131f9c703ac1edfc054f287d6"/>
    <w:p>
      <w:pPr>
        <w:pStyle w:val="Heading2"/>
      </w:pPr>
      <w:r>
        <w:t xml:space="preserve">4.3 4.3 Modelos Contendientes de Benchmarking y el</w:t>
      </w:r>
      <w:r>
        <w:t xml:space="preserve"> </w:t>
      </w:r>
      <w:r>
        <w:t xml:space="preserve">“Patrón Oro Común”</w:t>
      </w:r>
    </w:p>
    <w:p>
      <w:pPr>
        <w:pStyle w:val="FirstParagraph"/>
      </w:pPr>
      <w:r>
        <w:t xml:space="preserve">Los intervalos de confianza y los</w:t>
      </w:r>
      <w:r>
        <w:t xml:space="preserve"> </w:t>
      </w:r>
      <m:oMath>
        <m:r>
          <m:t>p</m:t>
        </m:r>
      </m:oMath>
      <w:r>
        <w:t xml:space="preserve">-valores se obtuvieron con bootstrap agrupado por fecha (bloques = días), para preservar la dependencia intra-día; los modelos LightGBM usan semilla fija y modo determinista. La validación cruzada de un sistema de alerta temprana a escala de país requiere establecer puentes metodológicos tanto con los sistemas normativos vigentes como con las fronteras de investigación contemporáneas. Evaluamos a</w:t>
      </w:r>
      <w:r>
        <w:t xml:space="preserve"> </w:t>
      </w:r>
      <w:r>
        <w:rPr>
          <w:rStyle w:val="VerbatimChar"/>
        </w:rPr>
        <w:t xml:space="preserve">Incendios_PY</w:t>
      </w:r>
      <w:r>
        <w:t xml:space="preserve"> </w:t>
      </w:r>
      <w:r>
        <w:t xml:space="preserve">bajo un esquema riguroso de benchmarking que articula tres niveles de contraste sobre el</w:t>
      </w:r>
      <w:r>
        <w:t xml:space="preserve"> </w:t>
      </w:r>
      <w:r>
        <w:rPr>
          <w:b/>
          <w:bCs/>
        </w:rPr>
        <w:t xml:space="preserve">mismo conjunto de prueba ciego</w:t>
      </w:r>
      <w:r>
        <w:rPr>
          <w:b/>
          <w:bCs/>
        </w:rPr>
        <w:t xml:space="preserve"> </w:t>
      </w:r>
      <w:r>
        <w:rPr>
          <w:b/>
          <w:bCs/>
          <w:i/>
          <w:iCs/>
        </w:rPr>
        <w:t xml:space="preserve">out-of-time</w:t>
      </w:r>
      <w:r>
        <w:t xml:space="preserve">:</w:t>
      </w:r>
    </w:p>
    <w:p>
      <w:pPr>
        <w:numPr>
          <w:ilvl w:val="0"/>
          <w:numId w:val="1008"/>
        </w:numPr>
      </w:pPr>
      <w:r>
        <w:rPr>
          <w:b/>
          <w:bCs/>
        </w:rPr>
        <w:t xml:space="preserve">El</w:t>
      </w:r>
      <w:r>
        <w:rPr>
          <w:b/>
          <w:bCs/>
        </w:rPr>
        <w:t xml:space="preserve"> </w:t>
      </w:r>
      <w:r>
        <w:rPr>
          <w:b/>
          <w:bCs/>
        </w:rPr>
        <w:t xml:space="preserve">“Patrón Oro Común”</w:t>
      </w:r>
      <w:r>
        <w:rPr>
          <w:b/>
          <w:bCs/>
        </w:rPr>
        <w:t xml:space="preserve"> </w:t>
      </w:r>
      <w:r>
        <w:rPr>
          <w:b/>
          <w:bCs/>
        </w:rPr>
        <w:t xml:space="preserve">de Evaluación Internacional (Sistemas Canónicos):</w:t>
      </w:r>
      <w:r>
        <w:t xml:space="preserve"> </w:t>
      </w:r>
      <w:r>
        <w:t xml:space="preserve">Para permitir la comparabilidad reproducible con la literatura global</w:t>
      </w:r>
      <w:r>
        <w:t xml:space="preserve"> </w:t>
      </w:r>
      <w:r>
        <w:t xml:space="preserve">(Jain et al., 2020; Rodrigues &amp; Riva, 2014)</w:t>
      </w:r>
      <w:r>
        <w:t xml:space="preserve">, adoptamos como patrón de referencia común los dos sistemas operativos oficiales más extendidos del planeta:</w:t>
      </w:r>
    </w:p>
    <w:p>
      <w:pPr>
        <w:pStyle w:val="Compact"/>
        <w:numPr>
          <w:ilvl w:val="1"/>
          <w:numId w:val="1009"/>
        </w:numPr>
      </w:pPr>
      <w:r>
        <w:rPr>
          <w:b/>
          <w:bCs/>
        </w:rPr>
        <w:t xml:space="preserve">Canadian Forest Fire Weather Index (FWI completo):</w:t>
      </w:r>
      <w:r>
        <w:t xml:space="preserve"> </w:t>
      </w:r>
      <w:r>
        <w:t xml:space="preserve">Se implementan FFMC, DMC, DC, BUI, ISI y FWI de Van Wagner</w:t>
      </w:r>
      <w:r>
        <w:t xml:space="preserve"> </w:t>
      </w:r>
      <w:r>
        <w:t xml:space="preserve">(1987)</w:t>
      </w:r>
      <w:r>
        <w:t xml:space="preserve"> </w:t>
      </w:r>
      <w:r>
        <w:t xml:space="preserve">con variables de mediodía de ERA5-Land (15 UTC), lluvia diaria y spin-up desde 2018. Se reporta como FWI completo en todas las tablas.</w:t>
      </w:r>
    </w:p>
    <w:p>
      <w:pPr>
        <w:pStyle w:val="Compact"/>
        <w:numPr>
          <w:ilvl w:val="1"/>
          <w:numId w:val="1009"/>
        </w:numPr>
      </w:pPr>
      <w:r>
        <w:rPr>
          <w:b/>
          <w:bCs/>
        </w:rPr>
        <w:t xml:space="preserve">INPE Risco de Fogo:</w:t>
      </w:r>
      <w:r>
        <w:t xml:space="preserve"> </w:t>
      </w:r>
      <w:r>
        <w:t xml:space="preserve">implementación del método público v11 de Setzer et al.</w:t>
      </w:r>
      <w:r>
        <w:t xml:space="preserve"> </w:t>
      </w:r>
      <w:r>
        <w:t xml:space="preserve">(2019)</w:t>
      </w:r>
      <w:r>
        <w:t xml:space="preserve">, con PSE, factores de precipitación, riesgo básico senoidal, factores de temperatura/HR y corrección latitudinal. Se omite la corrección por focos de los últimos 3 días para evitar fuga de etiquetas en el benchmark de ignición.</w:t>
      </w:r>
    </w:p>
    <w:p>
      <w:pPr>
        <w:pStyle w:val="Compact"/>
        <w:numPr>
          <w:ilvl w:val="1"/>
          <w:numId w:val="1009"/>
        </w:numPr>
      </w:pPr>
      <w:r>
        <w:rPr>
          <w:b/>
          <w:bCs/>
        </w:rPr>
        <w:t xml:space="preserve">Línea Base Climatológica Nula:</w:t>
      </w:r>
      <w:r>
        <w:t xml:space="preserve"> </w:t>
      </w:r>
      <w:r>
        <w:t xml:space="preserve">Probabilidad marginal constante derivada de la frecuencia histórica de fuego en cada ecorregión (</w:t>
      </w:r>
      <m:oMath>
        <m:sSub>
          <m:e>
            <m:r>
              <m:t>P</m:t>
            </m:r>
          </m:e>
          <m:sub>
            <m:r>
              <m:rPr>
                <m:nor/>
                <m:sty m:val="p"/>
              </m:rPr>
              <m:t>base</m:t>
            </m:r>
          </m:sub>
        </m:sSub>
        <m:r>
          <m:rPr>
            <m:sty m:val="p"/>
          </m:rPr>
          <m:t>=</m:t>
        </m:r>
        <m:sSub>
          <m:e>
            <m:acc>
              <m:accPr>
                <m:chr m:val="‾"/>
              </m:accPr>
              <m:e>
                <m:r>
                  <m:t>Y</m:t>
                </m:r>
              </m:e>
            </m:acc>
          </m:e>
          <m:sub>
            <m:r>
              <m:rPr>
                <m:nor/>
                <m:sty m:val="p"/>
              </m:rPr>
              <m:t>train</m:t>
            </m:r>
          </m:sub>
        </m:sSub>
      </m:oMath>
      <w:r>
        <w:t xml:space="preserve">).</w:t>
      </w:r>
    </w:p>
    <w:p>
      <w:pPr>
        <w:numPr>
          <w:ilvl w:val="0"/>
          <w:numId w:val="1008"/>
        </w:numPr>
      </w:pPr>
      <w:r>
        <w:rPr>
          <w:b/>
          <w:bCs/>
        </w:rPr>
        <w:t xml:space="preserve">Línea Base de Machine Learning Académico Tradicional (</w:t>
      </w:r>
      <w:r>
        <w:rPr>
          <w:b/>
          <w:bCs/>
          <w:i/>
          <w:iCs/>
        </w:rPr>
        <w:t xml:space="preserve">Spatial Shortcut Baseline</w:t>
      </w:r>
      <w:r>
        <w:rPr>
          <w:b/>
          <w:bCs/>
        </w:rPr>
        <w:t xml:space="preserve">):</w:t>
      </w:r>
      <w:r>
        <w:t xml:space="preserve"> </w:t>
      </w:r>
      <w:r>
        <w:t xml:space="preserve">Esta línea base de control monolítico</w:t>
      </w:r>
      <w:r>
        <w:t xml:space="preserve"> </w:t>
      </w:r>
      <w:r>
        <w:rPr>
          <w:b/>
          <w:bCs/>
        </w:rPr>
        <w:t xml:space="preserve">no se implementó en esta versión</w:t>
      </w:r>
      <w:r>
        <w:t xml:space="preserve">. Queda como trabajo pendiente para comparar el desacoplamiento con un clasificador acoplado que incluya focos</w:t>
      </w:r>
      <w:r>
        <w:t xml:space="preserve"> </w:t>
      </w:r>
      <m:oMath>
        <m:r>
          <m:t>t</m:t>
        </m:r>
        <m:r>
          <m:rPr>
            <m:sty m:val="p"/>
          </m:rPr>
          <m:t>−</m:t>
        </m:r>
        <m:r>
          <m:t>1</m:t>
        </m:r>
      </m:oMath>
      <w:r>
        <w:t xml:space="preserve"> </w:t>
      </w:r>
      <w:r>
        <w:t xml:space="preserve">sin gating. No se reportan resultados de ese control.</w:t>
      </w:r>
    </w:p>
    <w:p>
      <w:pPr>
        <w:numPr>
          <w:ilvl w:val="0"/>
          <w:numId w:val="1008"/>
        </w:numPr>
      </w:pPr>
      <w:r>
        <w:rPr>
          <w:b/>
          <w:bCs/>
        </w:rPr>
        <w:t xml:space="preserve">Divergencia Paradigmática frente a Ciberinfraestructuras Mecanistas Pesadas (WIFIRE / FARSITE):</w:t>
      </w:r>
      <w:r>
        <w:t xml:space="preserve"> </w:t>
      </w:r>
      <w:r>
        <w:t xml:space="preserve">En el extremo opuesto del espectro, iniciativas de vanguardia como el proyecto</w:t>
      </w:r>
      <w:r>
        <w:t xml:space="preserve"> </w:t>
      </w:r>
      <w:r>
        <w:rPr>
          <w:b/>
          <w:bCs/>
        </w:rPr>
        <w:t xml:space="preserve">WIFIRE</w:t>
      </w:r>
      <w:r>
        <w:t xml:space="preserve"> </w:t>
      </w:r>
      <w:r>
        <w:t xml:space="preserve">de la Universidad de California en San Diego</w:t>
      </w:r>
      <w:r>
        <w:t xml:space="preserve"> </w:t>
      </w:r>
      <w:r>
        <w:t xml:space="preserve">(Altintas et al., 2015)</w:t>
      </w:r>
      <w:r>
        <w:t xml:space="preserve"> </w:t>
      </w:r>
      <w:r>
        <w:t xml:space="preserve">o los simuladores físicos basados en FARSITE</w:t>
      </w:r>
      <w:r>
        <w:t xml:space="preserve"> </w:t>
      </w:r>
      <w:r>
        <w:t xml:space="preserve">(Finney, 2004)</w:t>
      </w:r>
      <w:r>
        <w:t xml:space="preserve"> </w:t>
      </w:r>
      <w:r>
        <w:t xml:space="preserve">abordan la propagación del fuego mediante la integración numérica de ecuaciones fluidodinámicas (Rothermel) y modelos de autómatas celulares en 3D. Si bien estas plataformas ofrecen un modelado determinista detallado del comportamiento de la llama en el frente de avance, su arquitectura técnica impone barreras insalvables para su transposición al Gran Chaco sudamericano:</w:t>
      </w:r>
    </w:p>
    <w:p>
      <w:pPr>
        <w:pStyle w:val="Compact"/>
        <w:numPr>
          <w:ilvl w:val="1"/>
          <w:numId w:val="1010"/>
        </w:numPr>
      </w:pPr>
      <w:r>
        <w:rPr>
          <w:b/>
          <w:bCs/>
        </w:rPr>
        <w:t xml:space="preserve">Dependencia de Catálogos de Combustible Foráneos:</w:t>
      </w:r>
      <w:r>
        <w:t xml:space="preserve"> </w:t>
      </w:r>
      <w:r>
        <w:t xml:space="preserve">Están calibradas sobre el sistema estadounidense LANDFIRE (modelos de combustible de Scott y Burgan concebidos para bosques de coníferas y chaparral norteamericano), careciendo de equivalencias para los biomas chaqueños y pasturas neotropicales.</w:t>
      </w:r>
    </w:p>
    <w:p>
      <w:pPr>
        <w:pStyle w:val="Compact"/>
        <w:numPr>
          <w:ilvl w:val="1"/>
          <w:numId w:val="1010"/>
        </w:numPr>
      </w:pPr>
      <w:r>
        <w:rPr>
          <w:b/>
          <w:bCs/>
        </w:rPr>
        <w:t xml:space="preserve">Costos Prohibitivos de Cómputo:</w:t>
      </w:r>
      <w:r>
        <w:t xml:space="preserve"> </w:t>
      </w:r>
      <w:r>
        <w:t xml:space="preserve">Exigen clústeres masivos de supercómputo en la nube (GPUs y arquitecturas paralelas en centros como el SDSC), con tiempos de ejecución de minutos a horas por escenario local.</w:t>
      </w:r>
    </w:p>
    <w:p>
      <w:pPr>
        <w:numPr>
          <w:ilvl w:val="0"/>
          <w:numId w:val="1000"/>
        </w:numPr>
      </w:pPr>
      <w:r>
        <w:t xml:space="preserve">En contraste,</w:t>
      </w:r>
      <w:r>
        <w:t xml:space="preserve"> </w:t>
      </w:r>
      <w:r>
        <w:rPr>
          <w:rStyle w:val="VerbatimChar"/>
        </w:rPr>
        <w:t xml:space="preserve">Incendios_PY</w:t>
      </w:r>
      <w:r>
        <w:t xml:space="preserve"> </w:t>
      </w:r>
      <w:r>
        <w:t xml:space="preserve">demuestra cómo un paradigma</w:t>
      </w:r>
      <w:r>
        <w:t xml:space="preserve"> </w:t>
      </w:r>
      <w:r>
        <w:rPr>
          <w:b/>
          <w:bCs/>
        </w:rPr>
        <w:t xml:space="preserve">GeoAI desacoplado y probabilístico</w:t>
      </w:r>
      <w:r>
        <w:t xml:space="preserve"> </w:t>
      </w:r>
      <w:r>
        <w:t xml:space="preserve">permite prescindir de simulaciones fluidodinámicas pesadas para la escala territorial, resolviendo la vigilancia de</w:t>
      </w:r>
      <w:r>
        <w:t xml:space="preserve"> </w:t>
      </w:r>
      <m:oMath>
        <m:r>
          <m:t>400.006</m:t>
        </m:r>
        <m:r>
          <m:rPr>
            <m:nor/>
            <m:sty m:val="p"/>
          </m:rPr>
          <m:t> celdas</m:t>
        </m:r>
      </m:oMath>
      <w:r>
        <w:t xml:space="preserve"> </w:t>
      </w:r>
      <w:r>
        <w:t xml:space="preserve">soberanas a costo de infraestructura nulo y con una latencia de inferencia de</w:t>
      </w:r>
      <w:r>
        <w:t xml:space="preserve"> </w:t>
      </w:r>
      <m:oMath>
        <m:r>
          <m:t>1</m:t>
        </m:r>
        <m:r>
          <m:rPr>
            <m:sty m:val="p"/>
          </m:rPr>
          <m:t>,</m:t>
        </m:r>
        <m:r>
          <m:t>569</m:t>
        </m:r>
        <m:r>
          <m:rPr>
            <m:nor/>
            <m:sty m:val="p"/>
          </m:rPr>
          <m:t> segundos</m:t>
        </m:r>
      </m:oMath>
      <w:r>
        <w:t xml:space="preserve"> </w:t>
      </w:r>
      <w:r>
        <w:t xml:space="preserve">en hardware de consumo ordinario.</w:t>
      </w:r>
    </w:p>
    <w:bookmarkEnd w:id="46"/>
    <w:bookmarkStart w:id="47" w:name="métricas-para-eventos-raros"/>
    <w:p>
      <w:pPr>
        <w:pStyle w:val="Heading2"/>
      </w:pPr>
      <w:r>
        <w:t xml:space="preserve">4.4 4.4 Métricas para Eventos Raros</w:t>
      </w:r>
    </w:p>
    <w:p>
      <w:pPr>
        <w:pStyle w:val="FirstParagraph"/>
      </w:pPr>
      <w:r>
        <w:t xml:space="preserve">Dada la prevalencia desbalanceada del fuego en el paisaje (</w:t>
      </w:r>
      <m:oMath>
        <m:r>
          <m:rPr>
            <m:sty m:val="p"/>
          </m:rPr>
          <m:t>&lt;</m:t>
        </m:r>
        <m:r>
          <m:t>5</m:t>
        </m:r>
        <m:r>
          <m:rPr>
            <m:nor/>
            <m:sty m:val="p"/>
          </m:rPr>
          <m:t> %</m:t>
        </m:r>
      </m:oMath>
      <w:r>
        <w:t xml:space="preserve">), la Exactitud Global (</w:t>
      </w:r>
      <w:r>
        <w:rPr>
          <w:i/>
          <w:iCs/>
        </w:rPr>
        <w:t xml:space="preserve">Accuracy</w:t>
      </w:r>
      <w:r>
        <w:t xml:space="preserve">) carece de significado estadístico. Por ello, reportamos:</w:t>
      </w:r>
      <w:r>
        <w:t xml:space="preserve"> </w:t>
      </w:r>
      <w:r>
        <w:t xml:space="preserve">-</w:t>
      </w:r>
      <w:r>
        <w:t xml:space="preserve"> </w:t>
      </w:r>
      <w:r>
        <w:rPr>
          <w:b/>
          <w:bCs/>
        </w:rPr>
        <w:t xml:space="preserve">Área bajo la Curva ROC (ROC-AUC):</w:t>
      </w:r>
      <w:r>
        <w:t xml:space="preserve"> </w:t>
      </w:r>
      <w:r>
        <w:t xml:space="preserve">Capacidad del modelo para ordenar el riesgo relativo en todo el espectro de corte.</w:t>
      </w:r>
      <w:r>
        <w:t xml:space="preserve"> </w:t>
      </w:r>
      <w:r>
        <w:t xml:space="preserve">-</w:t>
      </w:r>
      <w:r>
        <w:t xml:space="preserve"> </w:t>
      </w:r>
      <w:r>
        <w:rPr>
          <w:b/>
          <w:bCs/>
        </w:rPr>
        <w:t xml:space="preserve">Área bajo la Curva Precision-Recall (PR-AUC):</w:t>
      </w:r>
      <w:r>
        <w:t xml:space="preserve"> </w:t>
      </w:r>
      <w:r>
        <w:t xml:space="preserve">Métrica de oro para clasificación con clases altamente desbalanceadas, sensible a la tasa de falsos positivos en la cola extrema de alerta.</w:t>
      </w:r>
      <w:r>
        <w:t xml:space="preserve"> </w:t>
      </w:r>
      <w:r>
        <w:t xml:space="preserve">-</w:t>
      </w:r>
      <w:r>
        <w:t xml:space="preserve"> </w:t>
      </w:r>
      <w:r>
        <w:rPr>
          <w:b/>
          <w:bCs/>
        </w:rPr>
        <w:t xml:space="preserve">Brier Score Calibrado:</w:t>
      </w:r>
      <w:r>
        <w:t xml:space="preserve"> </w:t>
      </w:r>
      <w:r>
        <w:t xml:space="preserve">Medida de concordancia entre la probabilidad predicha y la ocurrencia empírica del evento (</w:t>
      </w:r>
      <m:oMath>
        <m:r>
          <m:t>B</m:t>
        </m:r>
        <m:r>
          <m:t>S</m:t>
        </m:r>
        <m:r>
          <m:rPr>
            <m:sty m:val="p"/>
          </m:rPr>
          <m:t>=</m:t>
        </m:r>
        <m:f>
          <m:fPr>
            <m:type m:val="bar"/>
          </m:fPr>
          <m:num>
            <m:r>
              <m:t>1</m:t>
            </m:r>
          </m:num>
          <m:den>
            <m:r>
              <m:t>M</m:t>
            </m:r>
          </m:den>
        </m:f>
        <m:r>
          <m:rPr>
            <m:sty m:val="p"/>
          </m:rPr>
          <m:t>∑</m:t>
        </m:r>
        <m:r>
          <m:rPr>
            <m:sty m:val="p"/>
          </m:rPr>
          <m:t>(</m:t>
        </m:r>
        <m:sSub>
          <m:e>
            <m:r>
              <m:t>p</m:t>
            </m:r>
          </m:e>
          <m:sub>
            <m:r>
              <m:t>i</m:t>
            </m:r>
          </m:sub>
        </m:sSub>
        <m:r>
          <m:rPr>
            <m:sty m:val="p"/>
          </m:rPr>
          <m:t>−</m:t>
        </m:r>
        <m:sSub>
          <m:e>
            <m:r>
              <m:t>y</m:t>
            </m:r>
          </m:e>
          <m:sub>
            <m:r>
              <m:t>i</m:t>
            </m:r>
          </m:sub>
        </m:sSub>
        <m:sSup>
          <m:e>
            <m:r>
              <m:rPr>
                <m:sty m:val="p"/>
              </m:rPr>
              <m:t>)</m:t>
            </m:r>
          </m:e>
          <m:sup>
            <m:r>
              <m:t>2</m:t>
            </m:r>
          </m:sup>
        </m:sSup>
      </m:oMath>
      <w:r>
        <w:t xml:space="preserve">).</w:t>
      </w:r>
    </w:p>
    <w:p>
      <w:r>
        <w:pict>
          <v:rect style="width:0;height:1.5pt" o:hralign="center" o:hrstd="t" o:hr="t"/>
        </w:pict>
      </w:r>
    </w:p>
    <w:bookmarkEnd w:id="47"/>
    <w:bookmarkEnd w:id="48"/>
    <w:bookmarkStart w:id="90" w:name="X20f4958fcedc9bafa13e2cf47911c5a9e13d390"/>
    <w:p>
      <w:pPr>
        <w:pStyle w:val="Heading1"/>
      </w:pPr>
      <w:r>
        <w:t xml:space="preserve">5. 5. Resultados Empíricos y Explicabilidad Biofísica</w:t>
      </w:r>
    </w:p>
    <w:bookmarkStart w:id="54" w:name="Xbd6a8131db356ecb5a9ff2c69ed0cd9d67b4794"/>
    <w:p>
      <w:pPr>
        <w:pStyle w:val="Heading2"/>
      </w:pPr>
      <w:r>
        <w:t xml:space="preserve">5.1 5.1 Desempeño Discriminante en Prueba Ciega</w:t>
      </w:r>
      <w:r>
        <w:t xml:space="preserve"> </w:t>
      </w:r>
      <w:r>
        <w:rPr>
          <w:i/>
          <w:iCs/>
        </w:rPr>
        <w:t xml:space="preserve">Out-of-Time</w:t>
      </w:r>
    </w:p>
    <w:p>
      <w:pPr>
        <w:pStyle w:val="FirstParagraph"/>
      </w:pPr>
      <w:r>
        <w:t xml:space="preserve">La</w:t>
      </w:r>
      <w:r>
        <w:t xml:space="preserve"> </w:t>
      </w:r>
      <w:hyperlink w:anchor="tbl-metricas">
        <w:r>
          <w:rPr>
            <w:rStyle w:val="Hyperlink"/>
          </w:rPr>
          <w:t xml:space="preserve">Tabla 3</w:t>
        </w:r>
      </w:hyperlink>
      <w:r>
        <w:t xml:space="preserve"> </w:t>
      </w:r>
      <w:r>
        <w:t xml:space="preserve">sintetiza el rendimiento discriminante de las dos capas de</w:t>
      </w:r>
      <w:r>
        <w:t xml:space="preserve"> </w:t>
      </w:r>
      <w:r>
        <w:rPr>
          <w:rStyle w:val="VerbatimChar"/>
        </w:rPr>
        <w:t xml:space="preserve">Incendios_PY</w:t>
      </w:r>
      <w:r>
        <w:t xml:space="preserve"> </w:t>
      </w:r>
      <w:r>
        <w:t xml:space="preserve">en la partición ciega temporal para las dos macro-regiones ecológicas del país (Chaco y Región Oriental).</w:t>
      </w:r>
    </w:p>
    <w:tbl>
      <w:tblPr>
        <w:tblStyle w:val="Table"/>
        <w:tblW w:type="pct" w:w="5000"/>
        <w:tblLayout w:type="fixed"/>
        <w:tblLook w:firstRow="0" w:lastRow="0" w:firstColumn="0" w:lastColumn="0" w:noHBand="0" w:noVBand="0" w:val="0000"/>
      </w:tblPr>
      <w:tblGrid>
        <w:gridCol w:w="7920"/>
      </w:tblGrid>
      <w:tr>
        <w:tc>
          <w:tcPr/>
          <w:bookmarkStart w:id="49" w:name="tbl-metricas"/>
          <w:p>
            <w:pPr>
              <w:jc w:val="center"/>
            </w:pPr>
            <w:pPr>
              <w:jc w:val="left"/>
              <w:spacing w:before="200"/>
              <w:pStyle w:val="ImageCaption"/>
            </w:pPr>
            <w:r>
              <w:t xml:space="preserve">Tabla 3: Métricas de desempeño en el test ciego out-of-time (2024–2025,</w:t>
            </w:r>
            <w:r>
              <w:t xml:space="preserve"> </w:t>
            </w:r>
            <m:oMath>
              <m:r>
                <m:t>N</m:t>
              </m:r>
              <m:r>
                <m:rPr>
                  <m:sty m:val="p"/>
                </m:rPr>
                <m:t>=</m:t>
              </m:r>
              <m:r>
                <m:t>1.813</m:t>
              </m:r>
              <m:r>
                <m:t>.966</m:t>
              </m:r>
            </m:oMath>
            <w:r>
              <w:t xml:space="preserve"> </w:t>
            </w:r>
            <w:r>
              <w:t xml:space="preserve">celda-días en total: 376.552 de ignición y 1.437.414 de propagación). Precisión y recall corresponden a la muestra case-control (~9,09 % de prevalencia) y al corte F0.5. Las métricas poblacionales están en la Tabla Suplementaria S6.</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jc w:val="center"/>
                  </w:pPr>
                  <w:r>
                    <w:t xml:space="preserve">Macro-Región</w:t>
                  </w:r>
                </w:p>
              </w:tc>
              <w:tc>
                <w:tcPr/>
                <w:p>
                  <w:pPr>
                    <w:pStyle w:val="Compact"/>
                    <w:jc w:val="left"/>
                    <w:jc w:val="center"/>
                  </w:pPr>
                  <w:r>
                    <w:t xml:space="preserve">Capa del Modelo</w:t>
                  </w:r>
                </w:p>
              </w:tc>
              <w:tc>
                <w:tcPr/>
                <w:p>
                  <w:pPr>
                    <w:pStyle w:val="Compact"/>
                    <w:jc w:val="left"/>
                    <w:jc w:val="center"/>
                  </w:pPr>
                  <w:r>
                    <w:t xml:space="preserve">ROC-AUC [IC 95 %]</w:t>
                  </w:r>
                </w:p>
              </w:tc>
              <w:tc>
                <w:tcPr/>
                <w:p>
                  <w:pPr>
                    <w:pStyle w:val="Compact"/>
                    <w:jc w:val="left"/>
                    <w:jc w:val="center"/>
                  </w:pPr>
                  <w:r>
                    <w:t xml:space="preserve">PR-AUC</w:t>
                  </w:r>
                </w:p>
              </w:tc>
              <w:tc>
                <w:tcPr/>
                <w:p>
                  <w:pPr>
                    <w:pStyle w:val="Compact"/>
                    <w:jc w:val="left"/>
                    <w:jc w:val="center"/>
                  </w:pPr>
                  <w:r>
                    <w:t xml:space="preserve">ECE</w:t>
                  </w:r>
                </w:p>
              </w:tc>
              <w:tc>
                <w:tcPr/>
                <w:p>
                  <w:pPr>
                    <w:pStyle w:val="Compact"/>
                    <w:jc w:val="left"/>
                    <w:jc w:val="center"/>
                  </w:pPr>
                  <w:r>
                    <w:t xml:space="preserve">Precisión (%)</w:t>
                  </w:r>
                </w:p>
              </w:tc>
              <w:tc>
                <w:tcPr/>
                <w:p>
                  <w:pPr>
                    <w:pStyle w:val="Compact"/>
                    <w:jc w:val="left"/>
                    <w:jc w:val="center"/>
                  </w:pPr>
                  <w:r>
                    <w:t xml:space="preserve">Recall (%)</w:t>
                  </w:r>
                </w:p>
              </w:tc>
              <w:tc>
                <w:tcPr/>
                <w:p>
                  <w:pPr>
                    <w:pStyle w:val="Compact"/>
                    <w:jc w:val="left"/>
                    <w:jc w:val="center"/>
                  </w:pPr>
                  <w:r>
                    <w:t xml:space="preserve">Brier Score</w:t>
                  </w:r>
                </w:p>
              </w:tc>
            </w:tr>
            <w:tr>
              <w:tc>
                <w:tcPr/>
                <w:p>
                  <w:pPr>
                    <w:pStyle w:val="Compact"/>
                    <w:jc w:val="left"/>
                    <w:jc w:val="center"/>
                  </w:pPr>
                  <w:r>
                    <w:t xml:space="preserve">Chaco</w:t>
                  </w:r>
                </w:p>
              </w:tc>
              <w:tc>
                <w:tcPr/>
                <w:p>
                  <w:pPr>
                    <w:pStyle w:val="Compact"/>
                    <w:jc w:val="left"/>
                    <w:jc w:val="center"/>
                  </w:pPr>
                  <w:r>
                    <w:t xml:space="preserve">M3</w:t>
                  </w:r>
                </w:p>
              </w:tc>
              <w:tc>
                <w:tcPr/>
                <w:p>
                  <w:pPr>
                    <w:pStyle w:val="Compact"/>
                    <w:jc w:val="left"/>
                    <w:jc w:val="center"/>
                  </w:pPr>
                  <w:r>
                    <w:t xml:space="preserve">0.7851 [0.779 - 0.791]</w:t>
                  </w:r>
                </w:p>
              </w:tc>
              <w:tc>
                <w:tcPr/>
                <w:p>
                  <w:pPr>
                    <w:pStyle w:val="Compact"/>
                    <w:jc w:val="left"/>
                    <w:jc w:val="center"/>
                  </w:pPr>
                  <w:r>
                    <w:t xml:space="preserve">0.2410</w:t>
                  </w:r>
                </w:p>
              </w:tc>
              <w:tc>
                <w:tcPr/>
                <w:p>
                  <w:pPr>
                    <w:pStyle w:val="Compact"/>
                    <w:jc w:val="left"/>
                    <w:jc w:val="center"/>
                  </w:pPr>
                  <w:r>
                    <w:t xml:space="preserve">0.0110</w:t>
                  </w:r>
                </w:p>
              </w:tc>
              <w:tc>
                <w:tcPr/>
                <w:p>
                  <w:pPr>
                    <w:pStyle w:val="Compact"/>
                    <w:jc w:val="left"/>
                    <w:jc w:val="center"/>
                  </w:pPr>
                  <w:r>
                    <w:t xml:space="preserve">27.54</w:t>
                  </w:r>
                </w:p>
              </w:tc>
              <w:tc>
                <w:tcPr/>
                <w:p>
                  <w:pPr>
                    <w:pStyle w:val="Compact"/>
                    <w:jc w:val="left"/>
                    <w:jc w:val="center"/>
                  </w:pPr>
                  <w:r>
                    <w:t xml:space="preserve">30.80</w:t>
                  </w:r>
                </w:p>
              </w:tc>
              <w:tc>
                <w:tcPr/>
                <w:p>
                  <w:pPr>
                    <w:pStyle w:val="Compact"/>
                    <w:jc w:val="left"/>
                    <w:jc w:val="center"/>
                  </w:pPr>
                  <w:r>
                    <w:t xml:space="preserve">0.0752</w:t>
                  </w:r>
                </w:p>
              </w:tc>
            </w:tr>
            <w:tr>
              <w:tc>
                <w:tcPr/>
                <w:p>
                  <w:pPr>
                    <w:pStyle w:val="Compact"/>
                    <w:jc w:val="left"/>
                    <w:jc w:val="center"/>
                  </w:pPr>
                  <w:r>
                    <w:t xml:space="preserve">Chaco</w:t>
                  </w:r>
                </w:p>
              </w:tc>
              <w:tc>
                <w:tcPr/>
                <w:p>
                  <w:pPr>
                    <w:pStyle w:val="Compact"/>
                    <w:jc w:val="left"/>
                    <w:jc w:val="center"/>
                  </w:pPr>
                  <w:r>
                    <w:t xml:space="preserve">M2</w:t>
                  </w:r>
                </w:p>
              </w:tc>
              <w:tc>
                <w:tcPr/>
                <w:p>
                  <w:pPr>
                    <w:pStyle w:val="Compact"/>
                    <w:jc w:val="left"/>
                    <w:jc w:val="center"/>
                  </w:pPr>
                  <w:r>
                    <w:t xml:space="preserve">0.7733 [0.768 - 0.780]</w:t>
                  </w:r>
                </w:p>
              </w:tc>
              <w:tc>
                <w:tcPr/>
                <w:p>
                  <w:pPr>
                    <w:pStyle w:val="Compact"/>
                    <w:jc w:val="left"/>
                    <w:jc w:val="center"/>
                  </w:pPr>
                  <w:r>
                    <w:t xml:space="preserve">0.2148</w:t>
                  </w:r>
                </w:p>
              </w:tc>
              <w:tc>
                <w:tcPr/>
                <w:p>
                  <w:pPr>
                    <w:pStyle w:val="Compact"/>
                    <w:jc w:val="left"/>
                    <w:jc w:val="center"/>
                  </w:pPr>
                  <w:r>
                    <w:t xml:space="preserve">0.0123</w:t>
                  </w:r>
                </w:p>
              </w:tc>
              <w:tc>
                <w:tcPr/>
                <w:p>
                  <w:pPr>
                    <w:pStyle w:val="Compact"/>
                    <w:jc w:val="left"/>
                    <w:jc w:val="center"/>
                  </w:pPr>
                  <w:r>
                    <w:t xml:space="preserve">23.10</w:t>
                  </w:r>
                </w:p>
              </w:tc>
              <w:tc>
                <w:tcPr/>
                <w:p>
                  <w:pPr>
                    <w:pStyle w:val="Compact"/>
                    <w:jc w:val="left"/>
                    <w:jc w:val="center"/>
                  </w:pPr>
                  <w:r>
                    <w:t xml:space="preserve">40.08</w:t>
                  </w:r>
                </w:p>
              </w:tc>
              <w:tc>
                <w:tcPr/>
                <w:p>
                  <w:pPr>
                    <w:pStyle w:val="Compact"/>
                    <w:jc w:val="left"/>
                    <w:jc w:val="center"/>
                  </w:pPr>
                  <w:r>
                    <w:t xml:space="preserve">0.0765</w:t>
                  </w:r>
                </w:p>
              </w:tc>
            </w:tr>
            <w:tr>
              <w:tc>
                <w:tcPr/>
                <w:p>
                  <w:pPr>
                    <w:pStyle w:val="Compact"/>
                    <w:jc w:val="left"/>
                    <w:jc w:val="center"/>
                  </w:pPr>
                  <w:r>
                    <w:t xml:space="preserve">Chaco</w:t>
                  </w:r>
                </w:p>
              </w:tc>
              <w:tc>
                <w:tcPr/>
                <w:p>
                  <w:pPr>
                    <w:pStyle w:val="Compact"/>
                    <w:jc w:val="left"/>
                    <w:jc w:val="center"/>
                  </w:pPr>
                  <w:r>
                    <w:t xml:space="preserve">Propagación</w:t>
                  </w:r>
                </w:p>
              </w:tc>
              <w:tc>
                <w:tcPr/>
                <w:p>
                  <w:pPr>
                    <w:pStyle w:val="Compact"/>
                    <w:jc w:val="left"/>
                    <w:jc w:val="center"/>
                  </w:pPr>
                  <w:r>
                    <w:t xml:space="preserve">0.8989 [0.894 - 0.904]</w:t>
                  </w:r>
                </w:p>
              </w:tc>
              <w:tc>
                <w:tcPr/>
                <w:p>
                  <w:pPr>
                    <w:pStyle w:val="Compact"/>
                    <w:jc w:val="left"/>
                    <w:jc w:val="center"/>
                  </w:pPr>
                  <w:r>
                    <w:t xml:space="preserve">0.6831</w:t>
                  </w:r>
                </w:p>
              </w:tc>
              <w:tc>
                <w:tcPr/>
                <w:p>
                  <w:pPr>
                    <w:pStyle w:val="Compact"/>
                    <w:jc w:val="left"/>
                    <w:jc w:val="center"/>
                  </w:pPr>
                  <w:r>
                    <w:t xml:space="preserve">0.0113</w:t>
                  </w:r>
                </w:p>
              </w:tc>
              <w:tc>
                <w:tcPr/>
                <w:p>
                  <w:pPr>
                    <w:pStyle w:val="Compact"/>
                    <w:jc w:val="left"/>
                    <w:jc w:val="center"/>
                  </w:pPr>
                  <w:r>
                    <w:t xml:space="preserve">84.94</w:t>
                  </w:r>
                </w:p>
              </w:tc>
              <w:tc>
                <w:tcPr/>
                <w:p>
                  <w:pPr>
                    <w:pStyle w:val="Compact"/>
                    <w:jc w:val="left"/>
                    <w:jc w:val="center"/>
                  </w:pPr>
                  <w:r>
                    <w:t xml:space="preserve">50.33</w:t>
                  </w:r>
                </w:p>
              </w:tc>
              <w:tc>
                <w:tcPr/>
                <w:p>
                  <w:pPr>
                    <w:pStyle w:val="Compact"/>
                    <w:jc w:val="left"/>
                    <w:jc w:val="center"/>
                  </w:pPr>
                  <w:r>
                    <w:t xml:space="preserve">0.0447</w:t>
                  </w:r>
                </w:p>
              </w:tc>
            </w:tr>
            <w:tr>
              <w:tc>
                <w:tcPr/>
                <w:p>
                  <w:pPr>
                    <w:pStyle w:val="Compact"/>
                    <w:jc w:val="left"/>
                    <w:jc w:val="center"/>
                  </w:pPr>
                  <w:r>
                    <w:t xml:space="preserve">Oriental</w:t>
                  </w:r>
                </w:p>
              </w:tc>
              <w:tc>
                <w:tcPr/>
                <w:p>
                  <w:pPr>
                    <w:pStyle w:val="Compact"/>
                    <w:jc w:val="left"/>
                    <w:jc w:val="center"/>
                  </w:pPr>
                  <w:r>
                    <w:t xml:space="preserve">M3</w:t>
                  </w:r>
                </w:p>
              </w:tc>
              <w:tc>
                <w:tcPr/>
                <w:p>
                  <w:pPr>
                    <w:pStyle w:val="Compact"/>
                    <w:jc w:val="left"/>
                    <w:jc w:val="center"/>
                  </w:pPr>
                  <w:r>
                    <w:t xml:space="preserve">0.7485 [0.742 - 0.754]</w:t>
                  </w:r>
                </w:p>
              </w:tc>
              <w:tc>
                <w:tcPr/>
                <w:p>
                  <w:pPr>
                    <w:pStyle w:val="Compact"/>
                    <w:jc w:val="left"/>
                    <w:jc w:val="center"/>
                  </w:pPr>
                  <w:r>
                    <w:t xml:space="preserve">0.2318</w:t>
                  </w:r>
                </w:p>
              </w:tc>
              <w:tc>
                <w:tcPr/>
                <w:p>
                  <w:pPr>
                    <w:pStyle w:val="Compact"/>
                    <w:jc w:val="left"/>
                    <w:jc w:val="center"/>
                  </w:pPr>
                  <w:r>
                    <w:t xml:space="preserve">0.0065</w:t>
                  </w:r>
                </w:p>
              </w:tc>
              <w:tc>
                <w:tcPr/>
                <w:p>
                  <w:pPr>
                    <w:pStyle w:val="Compact"/>
                    <w:jc w:val="left"/>
                    <w:jc w:val="center"/>
                  </w:pPr>
                  <w:r>
                    <w:t xml:space="preserve">29.67</w:t>
                  </w:r>
                </w:p>
              </w:tc>
              <w:tc>
                <w:tcPr/>
                <w:p>
                  <w:pPr>
                    <w:pStyle w:val="Compact"/>
                    <w:jc w:val="left"/>
                    <w:jc w:val="center"/>
                  </w:pPr>
                  <w:r>
                    <w:t xml:space="preserve">20.40</w:t>
                  </w:r>
                </w:p>
              </w:tc>
              <w:tc>
                <w:tcPr/>
                <w:p>
                  <w:pPr>
                    <w:pStyle w:val="Compact"/>
                    <w:jc w:val="left"/>
                    <w:jc w:val="center"/>
                  </w:pPr>
                  <w:r>
                    <w:t xml:space="preserve">0.0766</w:t>
                  </w:r>
                </w:p>
              </w:tc>
            </w:tr>
            <w:tr>
              <w:tc>
                <w:tcPr/>
                <w:p>
                  <w:pPr>
                    <w:pStyle w:val="Compact"/>
                    <w:jc w:val="left"/>
                    <w:jc w:val="center"/>
                  </w:pPr>
                  <w:r>
                    <w:t xml:space="preserve">Oriental</w:t>
                  </w:r>
                </w:p>
              </w:tc>
              <w:tc>
                <w:tcPr/>
                <w:p>
                  <w:pPr>
                    <w:pStyle w:val="Compact"/>
                    <w:jc w:val="left"/>
                    <w:jc w:val="center"/>
                  </w:pPr>
                  <w:r>
                    <w:t xml:space="preserve">M2</w:t>
                  </w:r>
                </w:p>
              </w:tc>
              <w:tc>
                <w:tcPr/>
                <w:p>
                  <w:pPr>
                    <w:pStyle w:val="Compact"/>
                    <w:jc w:val="left"/>
                    <w:jc w:val="center"/>
                  </w:pPr>
                  <w:r>
                    <w:t xml:space="preserve">0.7324 [0.727 - 0.738]</w:t>
                  </w:r>
                </w:p>
              </w:tc>
              <w:tc>
                <w:tcPr/>
                <w:p>
                  <w:pPr>
                    <w:pStyle w:val="Compact"/>
                    <w:jc w:val="left"/>
                    <w:jc w:val="center"/>
                  </w:pPr>
                  <w:r>
                    <w:t xml:space="preserve">0.2036</w:t>
                  </w:r>
                </w:p>
              </w:tc>
              <w:tc>
                <w:tcPr/>
                <w:p>
                  <w:pPr>
                    <w:pStyle w:val="Compact"/>
                    <w:jc w:val="left"/>
                    <w:jc w:val="center"/>
                  </w:pPr>
                  <w:r>
                    <w:t xml:space="preserve">0.0052</w:t>
                  </w:r>
                </w:p>
              </w:tc>
              <w:tc>
                <w:tcPr/>
                <w:p>
                  <w:pPr>
                    <w:pStyle w:val="Compact"/>
                    <w:jc w:val="left"/>
                    <w:jc w:val="center"/>
                  </w:pPr>
                  <w:r>
                    <w:t xml:space="preserve">24.49</w:t>
                  </w:r>
                </w:p>
              </w:tc>
              <w:tc>
                <w:tcPr/>
                <w:p>
                  <w:pPr>
                    <w:pStyle w:val="Compact"/>
                    <w:jc w:val="left"/>
                    <w:jc w:val="center"/>
                  </w:pPr>
                  <w:r>
                    <w:t xml:space="preserve">21.52</w:t>
                  </w:r>
                </w:p>
              </w:tc>
              <w:tc>
                <w:tcPr/>
                <w:p>
                  <w:pPr>
                    <w:pStyle w:val="Compact"/>
                    <w:jc w:val="left"/>
                    <w:jc w:val="center"/>
                  </w:pPr>
                  <w:r>
                    <w:t xml:space="preserve">0.0778</w:t>
                  </w:r>
                </w:p>
              </w:tc>
            </w:tr>
            <w:tr>
              <w:tc>
                <w:tcPr/>
                <w:p>
                  <w:pPr>
                    <w:pStyle w:val="Compact"/>
                    <w:jc w:val="left"/>
                    <w:jc w:val="center"/>
                  </w:pPr>
                  <w:r>
                    <w:t xml:space="preserve">Oriental</w:t>
                  </w:r>
                </w:p>
              </w:tc>
              <w:tc>
                <w:tcPr/>
                <w:p>
                  <w:pPr>
                    <w:pStyle w:val="Compact"/>
                    <w:jc w:val="left"/>
                    <w:jc w:val="center"/>
                  </w:pPr>
                  <w:r>
                    <w:t xml:space="preserve">Propagación</w:t>
                  </w:r>
                </w:p>
              </w:tc>
              <w:tc>
                <w:tcPr/>
                <w:p>
                  <w:pPr>
                    <w:pStyle w:val="Compact"/>
                    <w:jc w:val="left"/>
                    <w:jc w:val="center"/>
                  </w:pPr>
                  <w:r>
                    <w:t xml:space="preserve">0.7799 [0.773 - 0.788]</w:t>
                  </w:r>
                </w:p>
              </w:tc>
              <w:tc>
                <w:tcPr/>
                <w:p>
                  <w:pPr>
                    <w:pStyle w:val="Compact"/>
                    <w:jc w:val="left"/>
                    <w:jc w:val="center"/>
                  </w:pPr>
                  <w:r>
                    <w:t xml:space="preserve">0.3651</w:t>
                  </w:r>
                </w:p>
              </w:tc>
              <w:tc>
                <w:tcPr/>
                <w:p>
                  <w:pPr>
                    <w:pStyle w:val="Compact"/>
                    <w:jc w:val="left"/>
                    <w:jc w:val="center"/>
                  </w:pPr>
                  <w:r>
                    <w:t xml:space="preserve">0.0078</w:t>
                  </w:r>
                </w:p>
              </w:tc>
              <w:tc>
                <w:tcPr/>
                <w:p>
                  <w:pPr>
                    <w:pStyle w:val="Compact"/>
                    <w:jc w:val="left"/>
                    <w:jc w:val="center"/>
                  </w:pPr>
                  <w:r>
                    <w:t xml:space="preserve">62.42</w:t>
                  </w:r>
                </w:p>
              </w:tc>
              <w:tc>
                <w:tcPr/>
                <w:p>
                  <w:pPr>
                    <w:pStyle w:val="Compact"/>
                    <w:jc w:val="left"/>
                    <w:jc w:val="center"/>
                  </w:pPr>
                  <w:r>
                    <w:t xml:space="preserve">20.55</w:t>
                  </w:r>
                </w:p>
              </w:tc>
              <w:tc>
                <w:tcPr/>
                <w:p>
                  <w:pPr>
                    <w:pStyle w:val="Compact"/>
                    <w:jc w:val="left"/>
                    <w:jc w:val="center"/>
                  </w:pPr>
                  <w:r>
                    <w:t xml:space="preserve">0.0697</w:t>
                  </w:r>
                </w:p>
              </w:tc>
            </w:tr>
          </w:tbl>
          <w:bookmarkEnd w:id="49"/>
          <w:p/>
        </w:tc>
      </w:tr>
    </w:tbl>
    <w:p>
      <w:pPr>
        <w:pStyle w:val="BodyText"/>
      </w:pPr>
      <w:r>
        <w:t xml:space="preserve">A nivel nacional, la estimación del peligro de incendio se estructura en dos escalas operativas complementarias:</w:t>
      </w:r>
      <w:r>
        <w:t xml:space="preserve"> </w:t>
      </w:r>
      <w:r>
        <w:t xml:space="preserve">1.</w:t>
      </w:r>
      <w:r>
        <w:t xml:space="preserve"> </w:t>
      </w:r>
      <w:r>
        <w:rPr>
          <w:b/>
          <w:bCs/>
        </w:rPr>
        <w:t xml:space="preserve">Peligro de Ignición Primaria (</w:t>
      </w:r>
      <m:oMath>
        <m:sSub>
          <m:e>
            <m:r>
              <m:rPr>
                <m:scr m:val="script"/>
                <m:sty m:val="p"/>
              </m:rPr>
              <m:t>M</m:t>
            </m:r>
          </m:e>
          <m:sub>
            <m:r>
              <m:t>3</m:t>
            </m:r>
          </m:sub>
        </m:sSub>
      </m:oMath>
      <w:r>
        <w:rPr>
          <w:b/>
          <w:bCs/>
        </w:rPr>
        <w:t xml:space="preserve"> </w:t>
      </w:r>
      <w:r>
        <w:rPr>
          <w:b/>
          <w:bCs/>
        </w:rPr>
        <w:t xml:space="preserve">Híbrido Socio-Ecológico, asistido por</w:t>
      </w:r>
      <w:r>
        <w:rPr>
          <w:b/>
          <w:bCs/>
        </w:rPr>
        <w:t xml:space="preserve"> </w:t>
      </w:r>
      <m:oMath>
        <m:sSub>
          <m:e>
            <m:r>
              <m:rPr>
                <m:scr m:val="script"/>
                <m:sty m:val="p"/>
              </m:rPr>
              <m:t>M</m:t>
            </m:r>
          </m:e>
          <m:sub>
            <m:r>
              <m:t>2</m:t>
            </m:r>
          </m:sub>
        </m:sSub>
      </m:oMath>
      <w:r>
        <w:rPr>
          <w:b/>
          <w:bCs/>
        </w:rPr>
        <w:t xml:space="preserve"> </w:t>
      </w:r>
      <w:r>
        <w:rPr>
          <w:b/>
          <w:bCs/>
        </w:rPr>
        <w:t xml:space="preserve">en ablación):</w:t>
      </w:r>
      <w:r>
        <w:t xml:space="preserve"> </w:t>
      </w:r>
      <w:r>
        <w:t xml:space="preserve">Predice la probabilidad de ignición en celdas sin foco inmediato en</w:t>
      </w:r>
      <w:r>
        <w:t xml:space="preserve"> </w:t>
      </w:r>
      <m:oMath>
        <m:r>
          <m:t>t</m:t>
        </m:r>
        <m:r>
          <m:rPr>
            <m:sty m:val="p"/>
          </m:rPr>
          <m:t>−</m:t>
        </m:r>
        <m:r>
          <m:t>1</m:t>
        </m:r>
      </m:oMath>
      <w:r>
        <w:t xml:space="preserve">, integrando desecación atmosférica, perfil de combustible, estacionalidad agroganadera y accesibilidad humana. El test es temporal, no un holdout espacial.</w:t>
      </w:r>
      <w:r>
        <w:t xml:space="preserve"> </w:t>
      </w:r>
      <w:r>
        <w:t xml:space="preserve">2.</w:t>
      </w:r>
      <w:r>
        <w:t xml:space="preserve"> </w:t>
      </w:r>
      <w:r>
        <w:rPr>
          <w:b/>
          <w:bCs/>
        </w:rPr>
        <w:t xml:space="preserve">Propagación Táctica (</w:t>
      </w:r>
      <m:oMath>
        <m:r>
          <m:t>t</m:t>
        </m:r>
        <m:r>
          <m:rPr>
            <m:sty m:val="p"/>
          </m:rPr>
          <m:t>−</m:t>
        </m:r>
        <m:r>
          <m:t>1</m:t>
        </m:r>
      </m:oMath>
      <w:r>
        <w:rPr>
          <w:b/>
          <w:bCs/>
        </w:rPr>
        <w:t xml:space="preserve">):</w:t>
      </w:r>
      <w:r>
        <w:t xml:space="preserve"> </w:t>
      </w:r>
      <w:r>
        <w:t xml:space="preserve">Predice la trayectoria y avance a 24 horas condicional a focos activos en</w:t>
      </w:r>
      <w:r>
        <w:t xml:space="preserve"> </w:t>
      </w:r>
      <m:oMath>
        <m:r>
          <m:t>t</m:t>
        </m:r>
        <m:r>
          <m:rPr>
            <m:sty m:val="p"/>
          </m:rPr>
          <m:t>−</m:t>
        </m:r>
        <m:r>
          <m:t>1</m:t>
        </m:r>
      </m:oMath>
      <w:r>
        <w:t xml:space="preserve"> </w:t>
      </w:r>
      <w:r>
        <w:t xml:space="preserve">mediante el kernel de contagio causal y potencia radiativa (</w:t>
      </w:r>
      <m:oMath>
        <m:r>
          <m:t>F</m:t>
        </m:r>
        <m:r>
          <m:t>R</m:t>
        </m:r>
        <m:r>
          <m:t>P</m:t>
        </m:r>
      </m:oMath>
      <w:r>
        <w:t xml:space="preserve">).</w:t>
      </w:r>
    </w:p>
    <w:p>
      <w:pPr>
        <w:pStyle w:val="BodyText"/>
      </w:pPr>
      <w:r>
        <w:t xml:space="preserve">En la capa de</w:t>
      </w:r>
      <w:r>
        <w:t xml:space="preserve"> </w:t>
      </w:r>
      <w:r>
        <w:rPr>
          <w:b/>
          <w:bCs/>
        </w:rPr>
        <w:t xml:space="preserve">Propagación Táctica</w:t>
      </w:r>
      <w:r>
        <w:t xml:space="preserve">, el modelo alcanza un rendimiento sobresaliente en la predicción de fuegos activos durante la histórica crisis de incendios de 2024–2025: en el Chaco logra un ROC-AUC de</w:t>
      </w:r>
      <w:r>
        <w:t xml:space="preserve"> </w:t>
      </w:r>
      <m:oMath>
        <m:r>
          <m:t>0</m:t>
        </m:r>
        <m:r>
          <m:rPr>
            <m:sty m:val="p"/>
          </m:rPr>
          <m:t>,</m:t>
        </m:r>
        <m:r>
          <m:t>8989</m:t>
        </m:r>
      </m:oMath>
      <w:r>
        <w:t xml:space="preserve"> </w:t>
      </w:r>
      <w:r>
        <w:t xml:space="preserve">(</w:t>
      </w:r>
      <m:oMath>
        <m:r>
          <m:rPr>
            <m:sty m:val="p"/>
          </m:rPr>
          <m:t>[</m:t>
        </m:r>
        <m:r>
          <m:t>0</m:t>
        </m:r>
        <m:r>
          <m:rPr>
            <m:sty m:val="p"/>
          </m:rPr>
          <m:t>,</m:t>
        </m:r>
        <m:r>
          <m:t>894</m:t>
        </m:r>
        <m:r>
          <m:rPr>
            <m:sty m:val="p"/>
          </m:rPr>
          <m:t>−</m:t>
        </m:r>
        <m:r>
          <m:t>0</m:t>
        </m:r>
        <m:r>
          <m:rPr>
            <m:sty m:val="p"/>
          </m:rPr>
          <m:t>,</m:t>
        </m:r>
        <m:r>
          <m:t>904</m:t>
        </m:r>
        <m:r>
          <m:rPr>
            <m:sty m:val="p"/>
          </m:rPr>
          <m:t>]</m:t>
        </m:r>
      </m:oMath>
      <w:r>
        <w:t xml:space="preserve">), un PR-AUC de</w:t>
      </w:r>
      <w:r>
        <w:t xml:space="preserve"> </w:t>
      </w:r>
      <m:oMath>
        <m:r>
          <m:t>0</m:t>
        </m:r>
        <m:r>
          <m:rPr>
            <m:sty m:val="p"/>
          </m:rPr>
          <m:t>,</m:t>
        </m:r>
        <m:r>
          <m:t>6831</m:t>
        </m:r>
      </m:oMath>
      <w:r>
        <w:t xml:space="preserve"> </w:t>
      </w:r>
      <w:r>
        <w:t xml:space="preserve">y una precisión táctica case-control del</w:t>
      </w:r>
      <w:r>
        <w:t xml:space="preserve"> </w:t>
      </w:r>
      <m:oMath>
        <m:r>
          <m:t>84</m:t>
        </m:r>
        <m:r>
          <m:rPr>
            <m:sty m:val="p"/>
          </m:rPr>
          <m:t>,</m:t>
        </m:r>
        <m:r>
          <m:t>94</m:t>
        </m:r>
        <m:r>
          <m:rPr>
            <m:nor/>
            <m:sty m:val="p"/>
          </m:rPr>
          <m:t> %</m:t>
        </m:r>
      </m:oMath>
      <w:r>
        <w:t xml:space="preserve">, con pocas falsas alarmas en esa muestra. En la Región Oriental, la precisión táctica case-control bajo corte optimizado asciende al</w:t>
      </w:r>
      <w:r>
        <w:t xml:space="preserve"> </w:t>
      </w:r>
      <m:oMath>
        <m:r>
          <m:t>62</m:t>
        </m:r>
        <m:r>
          <m:rPr>
            <m:sty m:val="p"/>
          </m:rPr>
          <m:t>,</m:t>
        </m:r>
        <m:r>
          <m:t>42</m:t>
        </m:r>
        <m:r>
          <m:rPr>
            <m:nor/>
            <m:sty m:val="p"/>
          </m:rPr>
          <m:t> %</m:t>
        </m:r>
      </m:oMath>
      <w:r>
        <w:t xml:space="preserve"> </w:t>
      </w:r>
      <w:r>
        <w:t xml:space="preserve">con un ROC-AUC de</w:t>
      </w:r>
      <w:r>
        <w:t xml:space="preserve"> </w:t>
      </w:r>
      <m:oMath>
        <m:r>
          <m:t>0</m:t>
        </m:r>
        <m:r>
          <m:rPr>
            <m:sty m:val="p"/>
          </m:rPr>
          <m:t>,</m:t>
        </m:r>
        <m:r>
          <m:t>7799</m:t>
        </m:r>
      </m:oMath>
      <w:r>
        <w:t xml:space="preserve"> </w:t>
      </w:r>
      <w:r>
        <w:t xml:space="preserve">(</w:t>
      </w:r>
      <m:oMath>
        <m:r>
          <m:rPr>
            <m:sty m:val="p"/>
          </m:rPr>
          <m:t>[</m:t>
        </m:r>
        <m:r>
          <m:t>0</m:t>
        </m:r>
        <m:r>
          <m:rPr>
            <m:sty m:val="p"/>
          </m:rPr>
          <m:t>,</m:t>
        </m:r>
        <m:r>
          <m:t>773</m:t>
        </m:r>
        <m:r>
          <m:rPr>
            <m:sty m:val="p"/>
          </m:rPr>
          <m:t>−</m:t>
        </m:r>
        <m:r>
          <m:t>0</m:t>
        </m:r>
        <m:r>
          <m:rPr>
            <m:sty m:val="p"/>
          </m:rPr>
          <m:t>,</m:t>
        </m:r>
        <m:r>
          <m:t>788</m:t>
        </m:r>
        <m:r>
          <m:rPr>
            <m:sty m:val="p"/>
          </m:rPr>
          <m:t>]</m:t>
        </m:r>
      </m:oMath>
      <w:r>
        <w:t xml:space="preserve">) y PR-AUC de</w:t>
      </w:r>
      <w:r>
        <w:t xml:space="preserve"> </w:t>
      </w:r>
      <m:oMath>
        <m:r>
          <m:t>0</m:t>
        </m:r>
        <m:r>
          <m:rPr>
            <m:sty m:val="p"/>
          </m:rPr>
          <m:t>,</m:t>
        </m:r>
        <m:r>
          <m:t>3651</m:t>
        </m:r>
      </m:oMath>
      <w:r>
        <w:t xml:space="preserve">.</w:t>
      </w:r>
    </w:p>
    <w:p>
      <w:pPr>
        <w:pStyle w:val="BodyText"/>
      </w:pPr>
      <w:r>
        <w:t xml:space="preserve">La inspección forense individual de los casos de falso positivo en el Chaco reveló un patrón ecológico y de manejo consistente: correspondieron a fuegos en pasturas cultivadas donde las condiciones meteorológicas y el combustible justificaban plenamente una alta probabilidad táctica (</w:t>
      </w:r>
      <m:oMath>
        <m:r>
          <m:t>P</m:t>
        </m:r>
        <m:r>
          <m:rPr>
            <m:sty m:val="p"/>
          </m:rPr>
          <m:t>&gt;</m:t>
        </m:r>
        <m:r>
          <m:t>0</m:t>
        </m:r>
        <m:r>
          <m:rPr>
            <m:sty m:val="p"/>
          </m:rPr>
          <m:t>,</m:t>
        </m:r>
        <m:r>
          <m:t>80</m:t>
        </m:r>
      </m:oMath>
      <w:r>
        <w:t xml:space="preserve">), pero cuya propagación efectiva fue abortada antes del paso orbital de VIIRS debido a la activación de cortafuegos mecanizados de emergencia en establecimientos ganaderos o a giros súbitos de ráfagas hacia paleocauces arenosos sin biomasa continua. Estas contingencias de micro-escala quedan naturalmente fuera de la resolución del reanálisis ERA5 (</w:t>
      </w:r>
      <m:oMath>
        <m:r>
          <m:t>25</m:t>
        </m:r>
        <m:r>
          <m:rPr>
            <m:nor/>
            <m:sty m:val="p"/>
          </m:rPr>
          <m:t> km</m:t>
        </m:r>
      </m:oMath>
      <w:r>
        <w:t xml:space="preserve">), demostrando que las clasificaciones del modelo capturan con fidelidad el potencial de combustión del paisaje.</w:t>
      </w:r>
    </w:p>
    <w:p>
      <w:pPr>
        <w:pStyle w:val="BodyText"/>
      </w:pPr>
      <w:r>
        <w:t xml:space="preserve">Por su parte, la capa de</w:t>
      </w:r>
      <w:r>
        <w:t xml:space="preserve"> </w:t>
      </w:r>
      <w:r>
        <w:rPr>
          <w:b/>
          <w:bCs/>
        </w:rPr>
        <w:t xml:space="preserve">Ignición Primaria Híbrida Socio-Ecológica (</w:t>
      </w:r>
      <m:oMath>
        <m:sSub>
          <m:e>
            <m:r>
              <m:rPr>
                <m:scr m:val="script"/>
                <m:sty m:val="p"/>
              </m:rPr>
              <m:t>M</m:t>
            </m:r>
          </m:e>
          <m:sub>
            <m:r>
              <m:t>3</m:t>
            </m:r>
          </m:sub>
        </m:sSub>
      </m:oMath>
      <w:r>
        <w:rPr>
          <w:b/>
          <w:bCs/>
        </w:rPr>
        <w:t xml:space="preserve">)</w:t>
      </w:r>
      <w:r>
        <w:t xml:space="preserve"> </w:t>
      </w:r>
      <w:r>
        <w:t xml:space="preserve">(que no utiliza ninguna información de fuego en</w:t>
      </w:r>
      <w:r>
        <w:t xml:space="preserve"> </w:t>
      </w:r>
      <m:oMath>
        <m:r>
          <m:t>t</m:t>
        </m:r>
        <m:r>
          <m:rPr>
            <m:sty m:val="p"/>
          </m:rPr>
          <m:t>−</m:t>
        </m:r>
        <m:r>
          <m:t>1</m:t>
        </m:r>
      </m:oMath>
      <w:r>
        <w:t xml:space="preserve">) alcanza un ROC-AUC de</w:t>
      </w:r>
      <w:r>
        <w:t xml:space="preserve"> </w:t>
      </w:r>
      <m:oMath>
        <m:r>
          <m:t>0</m:t>
        </m:r>
        <m:r>
          <m:rPr>
            <m:sty m:val="p"/>
          </m:rPr>
          <m:t>,</m:t>
        </m:r>
        <m:r>
          <m:t>7851</m:t>
        </m:r>
      </m:oMath>
      <w:r>
        <w:t xml:space="preserve"> </w:t>
      </w:r>
      <w:r>
        <w:t xml:space="preserve">(</w:t>
      </w:r>
      <m:oMath>
        <m:r>
          <m:rPr>
            <m:sty m:val="p"/>
          </m:rPr>
          <m:t>[</m:t>
        </m:r>
        <m:r>
          <m:t>0</m:t>
        </m:r>
        <m:r>
          <m:rPr>
            <m:sty m:val="p"/>
          </m:rPr>
          <m:t>,</m:t>
        </m:r>
        <m:r>
          <m:t>779</m:t>
        </m:r>
        <m:r>
          <m:rPr>
            <m:sty m:val="p"/>
          </m:rPr>
          <m:t>−</m:t>
        </m:r>
        <m:r>
          <m:t>0</m:t>
        </m:r>
        <m:r>
          <m:rPr>
            <m:sty m:val="p"/>
          </m:rPr>
          <m:t>,</m:t>
        </m:r>
        <m:r>
          <m:t>791</m:t>
        </m:r>
        <m:r>
          <m:rPr>
            <m:sty m:val="p"/>
          </m:rPr>
          <m:t>]</m:t>
        </m:r>
      </m:oMath>
      <w:r>
        <w:t xml:space="preserve">) en el Chaco y un ROC-AUC de</w:t>
      </w:r>
      <w:r>
        <w:t xml:space="preserve"> </w:t>
      </w:r>
      <m:oMath>
        <m:r>
          <m:t>0</m:t>
        </m:r>
        <m:r>
          <m:rPr>
            <m:sty m:val="p"/>
          </m:rPr>
          <m:t>,</m:t>
        </m:r>
        <m:r>
          <m:t>7485</m:t>
        </m:r>
      </m:oMath>
      <w:r>
        <w:t xml:space="preserve"> </w:t>
      </w:r>
      <w:r>
        <w:t xml:space="preserve">(</w:t>
      </w:r>
      <m:oMath>
        <m:r>
          <m:rPr>
            <m:sty m:val="p"/>
          </m:rPr>
          <m:t>[</m:t>
        </m:r>
        <m:r>
          <m:t>0</m:t>
        </m:r>
        <m:r>
          <m:rPr>
            <m:sty m:val="p"/>
          </m:rPr>
          <m:t>,</m:t>
        </m:r>
        <m:r>
          <m:t>742</m:t>
        </m:r>
        <m:r>
          <m:rPr>
            <m:sty m:val="p"/>
          </m:rPr>
          <m:t>−</m:t>
        </m:r>
        <m:r>
          <m:t>0</m:t>
        </m:r>
        <m:r>
          <m:rPr>
            <m:sty m:val="p"/>
          </m:rPr>
          <m:t>,</m:t>
        </m:r>
        <m:r>
          <m:t>754</m:t>
        </m:r>
        <m:r>
          <m:rPr>
            <m:sty m:val="p"/>
          </m:rPr>
          <m:t>]</m:t>
        </m:r>
      </m:oMath>
      <w:r>
        <w:t xml:space="preserve">) en la Región Oriental, con precisiones case-control bajo corte</w:t>
      </w:r>
      <w:r>
        <w:t xml:space="preserve"> </w:t>
      </w:r>
      <m:oMath>
        <m:sSub>
          <m:e>
            <m:r>
              <m:t>F</m:t>
            </m:r>
          </m:e>
          <m:sub>
            <m:r>
              <m:t>0.5</m:t>
            </m:r>
          </m:sub>
        </m:sSub>
      </m:oMath>
      <w:r>
        <w:t xml:space="preserve"> </w:t>
      </w:r>
      <w:r>
        <w:t xml:space="preserve">de</w:t>
      </w:r>
      <w:r>
        <w:t xml:space="preserve"> </w:t>
      </w:r>
      <m:oMath>
        <m:r>
          <m:t>27</m:t>
        </m:r>
        <m:r>
          <m:rPr>
            <m:sty m:val="p"/>
          </m:rPr>
          <m:t>,</m:t>
        </m:r>
        <m:r>
          <m:t>54</m:t>
        </m:r>
        <m:r>
          <m:rPr>
            <m:nor/>
            <m:sty m:val="p"/>
          </m:rPr>
          <m:t> %</m:t>
        </m:r>
      </m:oMath>
      <w:r>
        <w:t xml:space="preserve"> </w:t>
      </w:r>
      <w:r>
        <w:t xml:space="preserve">y</w:t>
      </w:r>
      <w:r>
        <w:t xml:space="preserve"> </w:t>
      </w:r>
      <m:oMath>
        <m:r>
          <m:t>29</m:t>
        </m:r>
        <m:r>
          <m:rPr>
            <m:sty m:val="p"/>
          </m:rPr>
          <m:t>,</m:t>
        </m:r>
        <m:r>
          <m:t>67</m:t>
        </m:r>
        <m:r>
          <m:rPr>
            <m:nor/>
            <m:sty m:val="p"/>
          </m:rPr>
          <m:t> %</m:t>
        </m:r>
      </m:oMath>
      <w:r>
        <w:t xml:space="preserve"> </w:t>
      </w:r>
      <w:r>
        <w:t xml:space="preserve">(reduciendo los falsos positivos a</w:t>
      </w:r>
      <w:r>
        <w:t xml:space="preserve"> </w:t>
      </w:r>
      <m:oMath>
        <m:r>
          <m:t>13.011</m:t>
        </m:r>
      </m:oMath>
      <w:r>
        <w:t xml:space="preserve"> </w:t>
      </w:r>
      <w:r>
        <w:t xml:space="preserve">en Chaco y</w:t>
      </w:r>
      <w:r>
        <w:t xml:space="preserve"> </w:t>
      </w:r>
      <m:oMath>
        <m:r>
          <m:t>8.787</m:t>
        </m:r>
      </m:oMath>
      <w:r>
        <w:t xml:space="preserve"> </w:t>
      </w:r>
      <w:r>
        <w:t xml:space="preserve">en Oriental) y un error de calibración esperado (</w:t>
      </w:r>
      <m:oMath>
        <m:r>
          <m:t>E</m:t>
        </m:r>
        <m:r>
          <m:t>C</m:t>
        </m:r>
        <m:r>
          <m:t>E</m:t>
        </m:r>
      </m:oMath>
      <w:r>
        <w:t xml:space="preserve">) de</w:t>
      </w:r>
      <w:r>
        <w:t xml:space="preserve"> </w:t>
      </w:r>
      <m:oMath>
        <m:r>
          <m:t>0</m:t>
        </m:r>
        <m:r>
          <m:rPr>
            <m:sty m:val="p"/>
          </m:rPr>
          <m:t>,</m:t>
        </m:r>
        <m:r>
          <m:t>0110</m:t>
        </m:r>
      </m:oMath>
      <w:r>
        <w:t xml:space="preserve"> </w:t>
      </w:r>
      <w:r>
        <w:t xml:space="preserve">y</w:t>
      </w:r>
      <w:r>
        <w:t xml:space="preserve"> </w:t>
      </w:r>
      <m:oMath>
        <m:r>
          <m:t>0</m:t>
        </m:r>
        <m:r>
          <m:rPr>
            <m:sty m:val="p"/>
          </m:rPr>
          <m:t>,</m:t>
        </m:r>
        <m:r>
          <m:t>0065</m:t>
        </m:r>
      </m:oMath>
      <w:r>
        <w:t xml:space="preserve">, similar al de</w:t>
      </w:r>
      <w:r>
        <w:t xml:space="preserve"> </w:t>
      </w:r>
      <m:oMath>
        <m:sSub>
          <m:e>
            <m:r>
              <m:rPr>
                <m:scr m:val="script"/>
                <m:sty m:val="p"/>
              </m:rPr>
              <m:t>M</m:t>
            </m:r>
          </m:e>
          <m:sub>
            <m:r>
              <m:t>2</m:t>
            </m:r>
          </m:sub>
        </m:sSub>
      </m:oMath>
      <w:r>
        <w:t xml:space="preserve"> </w:t>
      </w:r>
      <w:r>
        <w:t xml:space="preserve">(</w:t>
      </w:r>
      <m:oMath>
        <m:r>
          <m:t>0</m:t>
        </m:r>
        <m:r>
          <m:rPr>
            <m:sty m:val="p"/>
          </m:rPr>
          <m:t>,</m:t>
        </m:r>
        <m:r>
          <m:t>0123</m:t>
        </m:r>
      </m:oMath>
      <w:r>
        <w:t xml:space="preserve"> </w:t>
      </w:r>
      <w:r>
        <w:t xml:space="preserve">y</w:t>
      </w:r>
      <w:r>
        <w:t xml:space="preserve"> </w:t>
      </w:r>
      <m:oMath>
        <m:r>
          <m:t>0</m:t>
        </m:r>
        <m:r>
          <m:rPr>
            <m:sty m:val="p"/>
          </m:rPr>
          <m:t>,</m:t>
        </m:r>
        <m:r>
          <m:t>0052</m:t>
        </m:r>
      </m:oMath>
      <w:r>
        <w:t xml:space="preserve">).</w:t>
      </w:r>
    </w:p>
    <w:p>
      <w:pPr>
        <w:pStyle w:val="BodyText"/>
      </w:pPr>
      <w:r>
        <w:t xml:space="preserve">Las curvas de rendimiento empírico Receiver Operating Characteristic (ROC) y Precision-Recall (PR) sobre la partición ciega temporal se detallan en la</w:t>
      </w:r>
      <w:r>
        <w:t xml:space="preserve"> </w:t>
      </w:r>
      <w:hyperlink w:anchor="fig-curvas-test">
        <w:r>
          <w:rPr>
            <w:rStyle w:val="Hyperlink"/>
          </w:rPr>
          <w:t xml:space="preserve">Figura 3</w:t>
        </w:r>
      </w:hyperlink>
      <w:r>
        <w:t xml:space="preserve">, evidenciando la marcada separación alcanzada por la capa de propagación táctica y el balance de compromiso en la capa de ignición híbrida M3.</w:t>
      </w:r>
    </w:p>
    <w:tbl>
      <w:tblPr>
        <w:tblStyle w:val="Table"/>
        <w:tblW w:type="pct" w:w="5000"/>
        <w:tblLayout w:type="fixed"/>
        <w:tblLook w:firstRow="0" w:lastRow="0" w:firstColumn="0" w:lastColumn="0" w:noHBand="0" w:noVBand="0" w:val="0000"/>
      </w:tblPr>
      <w:tblGrid>
        <w:gridCol w:w="7920"/>
      </w:tblGrid>
      <w:tr>
        <w:tc>
          <w:tcPr/>
          <w:bookmarkStart w:id="53" w:name="fig-curvas-test"/>
          <w:p>
            <w:pPr>
              <w:pStyle w:val="Compact"/>
              <w:jc w:val="center"/>
            </w:pPr>
            <w:r>
              <w:drawing>
                <wp:inline>
                  <wp:extent cx="5334000" cy="2311400"/>
                  <wp:effectExtent b="0" l="0" r="0" t="0"/>
                  <wp:docPr descr="" title="" id="51" name="Picture"/>
                  <a:graphic>
                    <a:graphicData uri="http://schemas.openxmlformats.org/drawingml/2006/picture">
                      <pic:pic>
                        <pic:nvPicPr>
                          <pic:cNvPr descr="figuras/fig02_curvas_roc_pr_test.png" id="52" name="Picture"/>
                          <pic:cNvPicPr>
                            <a:picLocks noChangeArrowheads="1" noChangeAspect="1"/>
                          </pic:cNvPicPr>
                        </pic:nvPicPr>
                        <pic:blipFill>
                          <a:blip r:embed="rId50"/>
                          <a:stretch>
                            <a:fillRect/>
                          </a:stretch>
                        </pic:blipFill>
                        <pic:spPr bwMode="auto">
                          <a:xfrm>
                            <a:off x="0" y="0"/>
                            <a:ext cx="5334000" cy="23114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Curvas discriminantes de desempeño predictivo sobre el conjunto de prueba ciego out-of-time (2024–2025): Comparación de curvas ROC (izquierda) y Precision-Recall (derecha) para los modelos de Ignición Híbrida M3 y Propagación Táctica en el Chaco y la Región Oriental.</w:t>
            </w:r>
          </w:p>
          <w:bookmarkEnd w:id="53"/>
        </w:tc>
      </w:tr>
    </w:tbl>
    <w:bookmarkEnd w:id="54"/>
    <w:bookmarkStart w:id="67" w:name="X200259cb956bffcf5a2e654c437f4ed1f2e499e"/>
    <w:p>
      <w:pPr>
        <w:pStyle w:val="Heading2"/>
      </w:pPr>
      <w:r>
        <w:t xml:space="preserve">5.2 5.2 Benchmarking Comparativo Internacional y Significancia Estadística</w:t>
      </w:r>
    </w:p>
    <w:p>
      <w:pPr>
        <w:pStyle w:val="FirstParagraph"/>
      </w:pPr>
      <w:r>
        <w:t xml:space="preserve">La</w:t>
      </w:r>
      <w:r>
        <w:t xml:space="preserve"> </w:t>
      </w:r>
      <w:hyperlink w:anchor="tbl-benchmark">
        <w:r>
          <w:rPr>
            <w:rStyle w:val="Hyperlink"/>
          </w:rPr>
          <w:t xml:space="preserve">Tabla 4</w:t>
        </w:r>
      </w:hyperlink>
      <w:r>
        <w:t xml:space="preserve"> </w:t>
      </w:r>
      <w:r>
        <w:t xml:space="preserve">expone la comparación directa entre el modelo de ignición híbrida M3 de</w:t>
      </w:r>
      <w:r>
        <w:t xml:space="preserve"> </w:t>
      </w:r>
      <w:r>
        <w:rPr>
          <w:rStyle w:val="VerbatimChar"/>
        </w:rPr>
        <w:t xml:space="preserve">Incendios_PY</w:t>
      </w:r>
      <w:r>
        <w:t xml:space="preserve"> </w:t>
      </w:r>
      <w:r>
        <w:t xml:space="preserve">y los índices internacionales canónicos, incluyendo intervalos de confianza al 95 % por bootstrap agrupado por fecha (</w:t>
      </w:r>
      <m:oMath>
        <m:r>
          <m:t>B</m:t>
        </m:r>
        <m:r>
          <m:rPr>
            <m:sty m:val="p"/>
          </m:rPr>
          <m:t>=</m:t>
        </m:r>
        <m:r>
          <m:t>500</m:t>
        </m:r>
      </m:oMath>
      <w:r>
        <w:t xml:space="preserve">) y el error de calibración esperado (</w:t>
      </w:r>
      <m:oMath>
        <m:r>
          <m:t>E</m:t>
        </m:r>
        <m:r>
          <m:t>C</m:t>
        </m:r>
        <m:r>
          <m:t>E</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5" w:name="tbl-benchmark"/>
          <w:p>
            <w:pPr>
              <w:jc w:val="center"/>
            </w:pPr>
            <w:pPr>
              <w:jc w:val="left"/>
              <w:spacing w:before="200"/>
              <w:pStyle w:val="ImageCaption"/>
            </w:pPr>
            <w:r>
              <w:t xml:space="preserve">Tabla 4: Benchmarking sobre el test ciego 2024–2025. FWI e INPE son índices normalizados, no probabilidades calibradas: ECE/BSS no aplican (—). Los falsos positivos corresponden a la muestra case-control.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jc w:val="center"/>
                  </w:pPr>
                  <w:r>
                    <w:t xml:space="preserve">Macro-Región</w:t>
                  </w:r>
                </w:p>
              </w:tc>
              <w:tc>
                <w:tcPr/>
                <w:p>
                  <w:pPr>
                    <w:pStyle w:val="Compact"/>
                    <w:jc w:val="left"/>
                    <w:jc w:val="center"/>
                  </w:pPr>
                  <w:r>
                    <w:t xml:space="preserve">Modelo Evaluado</w:t>
                  </w:r>
                </w:p>
              </w:tc>
              <w:tc>
                <w:tcPr/>
                <w:p>
                  <w:pPr>
                    <w:pStyle w:val="Compact"/>
                    <w:jc w:val="left"/>
                    <w:jc w:val="center"/>
                  </w:pPr>
                  <w:r>
                    <w:t xml:space="preserve">ROC-AUC [IC 95 %]</w:t>
                  </w:r>
                </w:p>
              </w:tc>
              <w:tc>
                <w:tcPr/>
                <w:p>
                  <w:pPr>
                    <w:pStyle w:val="Compact"/>
                    <w:jc w:val="left"/>
                    <w:jc w:val="center"/>
                  </w:pPr>
                  <w:r>
                    <w:t xml:space="preserve">PR-AUC</w:t>
                  </w:r>
                </w:p>
              </w:tc>
              <w:tc>
                <w:tcPr/>
                <w:p>
                  <w:pPr>
                    <w:pStyle w:val="Compact"/>
                    <w:jc w:val="left"/>
                    <w:jc w:val="center"/>
                  </w:pPr>
                  <w:r>
                    <w:t xml:space="preserve">ECE</w:t>
                  </w:r>
                </w:p>
              </w:tc>
              <w:tc>
                <w:tcPr/>
                <w:p>
                  <w:pPr>
                    <w:pStyle w:val="Compact"/>
                    <w:jc w:val="left"/>
                    <w:jc w:val="center"/>
                  </w:pPr>
                  <w:r>
                    <w:t xml:space="preserve">Brier Skill Score</w:t>
                  </w:r>
                </w:p>
              </w:tc>
              <w:tc>
                <w:tcPr/>
                <w:p>
                  <w:pPr>
                    <w:pStyle w:val="Compact"/>
                    <w:jc w:val="left"/>
                    <w:jc w:val="center"/>
                  </w:pPr>
                  <w:r>
                    <w:t xml:space="preserve">Falsos Positivos</w:t>
                  </w:r>
                </w:p>
              </w:tc>
            </w:tr>
            <w:tr>
              <w:tc>
                <w:tcPr/>
                <w:p>
                  <w:pPr>
                    <w:pStyle w:val="Compact"/>
                    <w:jc w:val="left"/>
                    <w:jc w:val="center"/>
                  </w:pPr>
                  <w:r>
                    <w:t xml:space="preserve">Oriental</w:t>
                  </w:r>
                </w:p>
              </w:tc>
              <w:tc>
                <w:tcPr/>
                <w:p>
                  <w:pPr>
                    <w:pStyle w:val="Compact"/>
                    <w:jc w:val="left"/>
                    <w:jc w:val="center"/>
                  </w:pPr>
                  <w:r>
                    <w:t xml:space="preserve">Incendios_PY (Ignición Híbrida M3)</w:t>
                  </w:r>
                </w:p>
              </w:tc>
              <w:tc>
                <w:tcPr/>
                <w:p>
                  <w:pPr>
                    <w:pStyle w:val="Compact"/>
                    <w:jc w:val="left"/>
                    <w:jc w:val="center"/>
                  </w:pPr>
                  <w:r>
                    <w:t xml:space="preserve">0.7485 [0.742 - 0.754]</w:t>
                  </w:r>
                </w:p>
              </w:tc>
              <w:tc>
                <w:tcPr/>
                <w:p>
                  <w:pPr>
                    <w:pStyle w:val="Compact"/>
                    <w:jc w:val="left"/>
                    <w:jc w:val="center"/>
                  </w:pPr>
                  <w:r>
                    <w:t xml:space="preserve">0.2318</w:t>
                  </w:r>
                </w:p>
              </w:tc>
              <w:tc>
                <w:tcPr/>
                <w:p>
                  <w:pPr>
                    <w:pStyle w:val="Compact"/>
                    <w:jc w:val="left"/>
                    <w:jc w:val="center"/>
                  </w:pPr>
                  <w:r>
                    <w:t xml:space="preserve">0.0065</w:t>
                  </w:r>
                </w:p>
              </w:tc>
              <w:tc>
                <w:tcPr/>
                <w:p>
                  <w:pPr>
                    <w:pStyle w:val="Compact"/>
                    <w:jc w:val="left"/>
                    <w:jc w:val="center"/>
                  </w:pPr>
                  <w:r>
                    <w:t xml:space="preserve">0.0735</w:t>
                  </w:r>
                </w:p>
              </w:tc>
              <w:tc>
                <w:tcPr/>
                <w:p>
                  <w:pPr>
                    <w:pStyle w:val="Compact"/>
                    <w:jc w:val="left"/>
                    <w:jc w:val="center"/>
                  </w:pPr>
                  <w:r>
                    <w:t xml:space="preserve">8,787</w:t>
                  </w:r>
                </w:p>
              </w:tc>
            </w:tr>
            <w:tr>
              <w:tc>
                <w:tcPr/>
                <w:p>
                  <w:pPr>
                    <w:pStyle w:val="Compact"/>
                    <w:jc w:val="left"/>
                    <w:jc w:val="center"/>
                  </w:pPr>
                  <w:r>
                    <w:t xml:space="preserve">Oriental</w:t>
                  </w:r>
                </w:p>
              </w:tc>
              <w:tc>
                <w:tcPr/>
                <w:p>
                  <w:pPr>
                    <w:pStyle w:val="Compact"/>
                    <w:jc w:val="left"/>
                    <w:jc w:val="center"/>
                  </w:pPr>
                  <w:r>
                    <w:t xml:space="preserve">Incendios_PY (Ignición Base M2)</w:t>
                  </w:r>
                </w:p>
              </w:tc>
              <w:tc>
                <w:tcPr/>
                <w:p>
                  <w:pPr>
                    <w:pStyle w:val="Compact"/>
                    <w:jc w:val="left"/>
                    <w:jc w:val="center"/>
                  </w:pPr>
                  <w:r>
                    <w:t xml:space="preserve">0.7324 [0.727 - 0.738]</w:t>
                  </w:r>
                </w:p>
              </w:tc>
              <w:tc>
                <w:tcPr/>
                <w:p>
                  <w:pPr>
                    <w:pStyle w:val="Compact"/>
                    <w:jc w:val="left"/>
                    <w:jc w:val="center"/>
                  </w:pPr>
                  <w:r>
                    <w:t xml:space="preserve">0.2036</w:t>
                  </w:r>
                </w:p>
              </w:tc>
              <w:tc>
                <w:tcPr/>
                <w:p>
                  <w:pPr>
                    <w:pStyle w:val="Compact"/>
                    <w:jc w:val="left"/>
                    <w:jc w:val="center"/>
                  </w:pPr>
                  <w:r>
                    <w:t xml:space="preserve">0.0052</w:t>
                  </w:r>
                </w:p>
              </w:tc>
              <w:tc>
                <w:tcPr/>
                <w:p>
                  <w:pPr>
                    <w:pStyle w:val="Compact"/>
                    <w:jc w:val="left"/>
                    <w:jc w:val="center"/>
                  </w:pPr>
                  <w:r>
                    <w:t xml:space="preserve">0.0583</w:t>
                  </w:r>
                </w:p>
              </w:tc>
              <w:tc>
                <w:tcPr/>
                <w:p>
                  <w:pPr>
                    <w:pStyle w:val="Compact"/>
                    <w:jc w:val="left"/>
                    <w:jc w:val="center"/>
                  </w:pPr>
                  <w:r>
                    <w:t xml:space="preserve">12,060</w:t>
                  </w:r>
                </w:p>
              </w:tc>
            </w:tr>
            <w:tr>
              <w:tc>
                <w:tcPr/>
                <w:p>
                  <w:pPr>
                    <w:pStyle w:val="Compact"/>
                    <w:jc w:val="left"/>
                    <w:jc w:val="center"/>
                  </w:pPr>
                  <w:r>
                    <w:t xml:space="preserve">Oriental</w:t>
                  </w:r>
                </w:p>
              </w:tc>
              <w:tc>
                <w:tcPr/>
                <w:p>
                  <w:pPr>
                    <w:pStyle w:val="Compact"/>
                    <w:jc w:val="left"/>
                    <w:jc w:val="center"/>
                  </w:pPr>
                  <w:r>
                    <w:t xml:space="preserve">Canadian FWI completo</w:t>
                  </w:r>
                </w:p>
              </w:tc>
              <w:tc>
                <w:tcPr/>
                <w:p>
                  <w:pPr>
                    <w:pStyle w:val="Compact"/>
                    <w:jc w:val="left"/>
                    <w:jc w:val="center"/>
                  </w:pPr>
                  <w:r>
                    <w:t xml:space="preserve">0.5569 [0.548 - 0.567]</w:t>
                  </w:r>
                </w:p>
              </w:tc>
              <w:tc>
                <w:tcPr/>
                <w:p>
                  <w:pPr>
                    <w:pStyle w:val="Compact"/>
                    <w:jc w:val="left"/>
                    <w:jc w:val="center"/>
                  </w:pPr>
                  <w:r>
                    <w:t xml:space="preserve">0.1063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52,650</w:t>
                  </w:r>
                </w:p>
              </w:tc>
            </w:tr>
            <w:tr>
              <w:tc>
                <w:tcPr/>
                <w:p>
                  <w:pPr>
                    <w:pStyle w:val="Compact"/>
                    <w:jc w:val="left"/>
                    <w:jc w:val="center"/>
                  </w:pPr>
                  <w:r>
                    <w:t xml:space="preserve">Oriental</w:t>
                  </w:r>
                </w:p>
              </w:tc>
              <w:tc>
                <w:tcPr/>
                <w:p>
                  <w:pPr>
                    <w:pStyle w:val="Compact"/>
                    <w:jc w:val="left"/>
                    <w:jc w:val="center"/>
                  </w:pPr>
                  <w:r>
                    <w:t xml:space="preserve">INPE Risco de Fogo</w:t>
                  </w:r>
                </w:p>
              </w:tc>
              <w:tc>
                <w:tcPr/>
                <w:p>
                  <w:pPr>
                    <w:pStyle w:val="Compact"/>
                    <w:jc w:val="left"/>
                    <w:jc w:val="center"/>
                  </w:pPr>
                  <w:r>
                    <w:t xml:space="preserve">0.4994 [0.489 - 0.510]</w:t>
                  </w:r>
                </w:p>
              </w:tc>
              <w:tc>
                <w:tcPr/>
                <w:p>
                  <w:pPr>
                    <w:pStyle w:val="Compact"/>
                    <w:jc w:val="left"/>
                    <w:jc w:val="center"/>
                  </w:pPr>
                  <w:r>
                    <w:t xml:space="preserve">0.0909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142,453</w:t>
                  </w:r>
                </w:p>
              </w:tc>
            </w:tr>
            <w:tr>
              <w:tc>
                <w:tcPr/>
                <w:p>
                  <w:pPr>
                    <w:pStyle w:val="Compact"/>
                    <w:jc w:val="left"/>
                    <w:jc w:val="center"/>
                  </w:pPr>
                  <w:r>
                    <w:t xml:space="preserve">Oriental</w:t>
                  </w:r>
                </w:p>
              </w:tc>
              <w:tc>
                <w:tcPr/>
                <w:p>
                  <w:pPr>
                    <w:pStyle w:val="Compact"/>
                    <w:jc w:val="left"/>
                    <w:jc w:val="center"/>
                  </w:pPr>
                  <w:r>
                    <w:t xml:space="preserve">Línea Base Climatológica</w:t>
                  </w:r>
                </w:p>
              </w:tc>
              <w:tc>
                <w:tcPr/>
                <w:p>
                  <w:pPr>
                    <w:pStyle w:val="Compact"/>
                    <w:jc w:val="left"/>
                    <w:jc w:val="center"/>
                  </w:pPr>
                  <w:r>
                    <w:t xml:space="preserve">0.5000 [0.500 - 0.500]</w:t>
                  </w:r>
                </w:p>
              </w:tc>
              <w:tc>
                <w:tcPr/>
                <w:p>
                  <w:pPr>
                    <w:pStyle w:val="Compact"/>
                    <w:jc w:val="left"/>
                    <w:jc w:val="center"/>
                  </w:pPr>
                  <w:r>
                    <w:t xml:space="preserve">0.0909</w:t>
                  </w:r>
                </w:p>
              </w:tc>
              <w:tc>
                <w:tcPr/>
                <w:p>
                  <w:pPr>
                    <w:pStyle w:val="Compact"/>
                    <w:jc w:val="left"/>
                    <w:jc w:val="center"/>
                  </w:pPr>
                  <w:r>
                    <w:t xml:space="preserve">0.0000</w:t>
                  </w:r>
                </w:p>
              </w:tc>
              <w:tc>
                <w:tcPr/>
                <w:p>
                  <w:pPr>
                    <w:pStyle w:val="Compact"/>
                    <w:jc w:val="left"/>
                    <w:jc w:val="center"/>
                  </w:pPr>
                  <w:r>
                    <w:t xml:space="preserve">0.0000</w:t>
                  </w:r>
                </w:p>
              </w:tc>
              <w:tc>
                <w:tcPr/>
                <w:p>
                  <w:pPr>
                    <w:pStyle w:val="Compact"/>
                    <w:jc w:val="left"/>
                    <w:jc w:val="center"/>
                  </w:pPr>
                  <w:r>
                    <w:t xml:space="preserve">0</w:t>
                  </w:r>
                </w:p>
              </w:tc>
            </w:tr>
            <w:tr>
              <w:tc>
                <w:tcPr/>
                <w:p>
                  <w:pPr>
                    <w:pStyle w:val="Compact"/>
                    <w:jc w:val="left"/>
                    <w:jc w:val="center"/>
                  </w:pPr>
                  <w:r>
                    <w:t xml:space="preserve">Oriental</w:t>
                  </w:r>
                </w:p>
              </w:tc>
              <w:tc>
                <w:tcPr/>
                <w:p>
                  <w:pPr>
                    <w:pStyle w:val="Compact"/>
                    <w:jc w:val="left"/>
                    <w:jc w:val="center"/>
                  </w:pPr>
                  <w:r>
                    <w:t xml:space="preserve">Incendios_PY (Propagación Táctica)</w:t>
                  </w:r>
                </w:p>
              </w:tc>
              <w:tc>
                <w:tcPr/>
                <w:p>
                  <w:pPr>
                    <w:pStyle w:val="Compact"/>
                    <w:jc w:val="left"/>
                    <w:jc w:val="center"/>
                  </w:pPr>
                  <w:r>
                    <w:t xml:space="preserve">0.7799 [0.773 - 0.788]</w:t>
                  </w:r>
                </w:p>
              </w:tc>
              <w:tc>
                <w:tcPr/>
                <w:p>
                  <w:pPr>
                    <w:pStyle w:val="Compact"/>
                    <w:jc w:val="left"/>
                    <w:jc w:val="center"/>
                  </w:pPr>
                  <w:r>
                    <w:t xml:space="preserve">0.3651</w:t>
                  </w:r>
                </w:p>
              </w:tc>
              <w:tc>
                <w:tcPr/>
                <w:p>
                  <w:pPr>
                    <w:pStyle w:val="Compact"/>
                    <w:jc w:val="left"/>
                    <w:jc w:val="center"/>
                  </w:pPr>
                  <w:r>
                    <w:t xml:space="preserve">0.0078</w:t>
                  </w:r>
                </w:p>
              </w:tc>
              <w:tc>
                <w:tcPr/>
                <w:p>
                  <w:pPr>
                    <w:pStyle w:val="Compact"/>
                    <w:jc w:val="left"/>
                    <w:jc w:val="center"/>
                  </w:pPr>
                  <w:r>
                    <w:t xml:space="preserve">0.1572</w:t>
                  </w:r>
                </w:p>
              </w:tc>
              <w:tc>
                <w:tcPr/>
                <w:p>
                  <w:pPr>
                    <w:pStyle w:val="Compact"/>
                    <w:jc w:val="left"/>
                    <w:jc w:val="center"/>
                  </w:pPr>
                  <w:r>
                    <w:t xml:space="preserve">9,681</w:t>
                  </w:r>
                </w:p>
              </w:tc>
            </w:tr>
            <w:tr>
              <w:tc>
                <w:tcPr/>
                <w:p>
                  <w:pPr>
                    <w:pStyle w:val="Compact"/>
                    <w:jc w:val="left"/>
                    <w:jc w:val="center"/>
                  </w:pPr>
                  <w:r>
                    <w:t xml:space="preserve">Oriental</w:t>
                  </w:r>
                </w:p>
              </w:tc>
              <w:tc>
                <w:tcPr/>
                <w:p>
                  <w:pPr>
                    <w:pStyle w:val="Compact"/>
                    <w:jc w:val="left"/>
                    <w:jc w:val="center"/>
                  </w:pPr>
                  <w:r>
                    <w:t xml:space="preserve">Línea Base Climatológica</w:t>
                  </w:r>
                </w:p>
              </w:tc>
              <w:tc>
                <w:tcPr/>
                <w:p>
                  <w:pPr>
                    <w:pStyle w:val="Compact"/>
                    <w:jc w:val="left"/>
                    <w:jc w:val="center"/>
                  </w:pPr>
                  <w:r>
                    <w:t xml:space="preserve">0.5000 [0.500 - 0.500]</w:t>
                  </w:r>
                </w:p>
              </w:tc>
              <w:tc>
                <w:tcPr/>
                <w:p>
                  <w:pPr>
                    <w:pStyle w:val="Compact"/>
                    <w:jc w:val="left"/>
                    <w:jc w:val="center"/>
                  </w:pPr>
                  <w:r>
                    <w:t xml:space="preserve">0.0909</w:t>
                  </w:r>
                </w:p>
              </w:tc>
              <w:tc>
                <w:tcPr/>
                <w:p>
                  <w:pPr>
                    <w:pStyle w:val="Compact"/>
                    <w:jc w:val="left"/>
                    <w:jc w:val="center"/>
                  </w:pPr>
                  <w:r>
                    <w:t xml:space="preserve">0.0000</w:t>
                  </w:r>
                </w:p>
              </w:tc>
              <w:tc>
                <w:tcPr/>
                <w:p>
                  <w:pPr>
                    <w:pStyle w:val="Compact"/>
                    <w:jc w:val="left"/>
                    <w:jc w:val="center"/>
                  </w:pPr>
                  <w:r>
                    <w:t xml:space="preserve">0.0000</w:t>
                  </w:r>
                </w:p>
              </w:tc>
              <w:tc>
                <w:tcPr/>
                <w:p>
                  <w:pPr>
                    <w:pStyle w:val="Compact"/>
                    <w:jc w:val="left"/>
                    <w:jc w:val="center"/>
                  </w:pPr>
                  <w:r>
                    <w:t xml:space="preserve">0</w:t>
                  </w:r>
                </w:p>
              </w:tc>
            </w:tr>
            <w:tr>
              <w:tc>
                <w:tcPr/>
                <w:p>
                  <w:pPr>
                    <w:pStyle w:val="Compact"/>
                    <w:jc w:val="left"/>
                    <w:jc w:val="center"/>
                  </w:pPr>
                  <w:r>
                    <w:t xml:space="preserve">Chaco</w:t>
                  </w:r>
                </w:p>
              </w:tc>
              <w:tc>
                <w:tcPr/>
                <w:p>
                  <w:pPr>
                    <w:pStyle w:val="Compact"/>
                    <w:jc w:val="left"/>
                    <w:jc w:val="center"/>
                  </w:pPr>
                  <w:r>
                    <w:t xml:space="preserve">Incendios_PY (Ignición Híbrida M3)</w:t>
                  </w:r>
                </w:p>
              </w:tc>
              <w:tc>
                <w:tcPr/>
                <w:p>
                  <w:pPr>
                    <w:pStyle w:val="Compact"/>
                    <w:jc w:val="left"/>
                    <w:jc w:val="center"/>
                  </w:pPr>
                  <w:r>
                    <w:t xml:space="preserve">0.7851 [0.779 - 0.791]</w:t>
                  </w:r>
                </w:p>
              </w:tc>
              <w:tc>
                <w:tcPr/>
                <w:p>
                  <w:pPr>
                    <w:pStyle w:val="Compact"/>
                    <w:jc w:val="left"/>
                    <w:jc w:val="center"/>
                  </w:pPr>
                  <w:r>
                    <w:t xml:space="preserve">0.2410</w:t>
                  </w:r>
                </w:p>
              </w:tc>
              <w:tc>
                <w:tcPr/>
                <w:p>
                  <w:pPr>
                    <w:pStyle w:val="Compact"/>
                    <w:jc w:val="left"/>
                    <w:jc w:val="center"/>
                  </w:pPr>
                  <w:r>
                    <w:t xml:space="preserve">0.0110</w:t>
                  </w:r>
                </w:p>
              </w:tc>
              <w:tc>
                <w:tcPr/>
                <w:p>
                  <w:pPr>
                    <w:pStyle w:val="Compact"/>
                    <w:jc w:val="left"/>
                    <w:jc w:val="center"/>
                  </w:pPr>
                  <w:r>
                    <w:t xml:space="preserve">0.0896</w:t>
                  </w:r>
                </w:p>
              </w:tc>
              <w:tc>
                <w:tcPr/>
                <w:p>
                  <w:pPr>
                    <w:pStyle w:val="Compact"/>
                    <w:jc w:val="left"/>
                    <w:jc w:val="center"/>
                  </w:pPr>
                  <w:r>
                    <w:t xml:space="preserve">13,011</w:t>
                  </w:r>
                </w:p>
              </w:tc>
            </w:tr>
            <w:tr>
              <w:tc>
                <w:tcPr/>
                <w:p>
                  <w:pPr>
                    <w:pStyle w:val="Compact"/>
                    <w:jc w:val="left"/>
                    <w:jc w:val="center"/>
                  </w:pPr>
                  <w:r>
                    <w:t xml:space="preserve">Chaco</w:t>
                  </w:r>
                </w:p>
              </w:tc>
              <w:tc>
                <w:tcPr/>
                <w:p>
                  <w:pPr>
                    <w:pStyle w:val="Compact"/>
                    <w:jc w:val="left"/>
                    <w:jc w:val="center"/>
                  </w:pPr>
                  <w:r>
                    <w:t xml:space="preserve">Incendios_PY (Ignición Base M2)</w:t>
                  </w:r>
                </w:p>
              </w:tc>
              <w:tc>
                <w:tcPr/>
                <w:p>
                  <w:pPr>
                    <w:pStyle w:val="Compact"/>
                    <w:jc w:val="left"/>
                    <w:jc w:val="center"/>
                  </w:pPr>
                  <w:r>
                    <w:t xml:space="preserve">0.7733 [0.768 - 0.780]</w:t>
                  </w:r>
                </w:p>
              </w:tc>
              <w:tc>
                <w:tcPr/>
                <w:p>
                  <w:pPr>
                    <w:pStyle w:val="Compact"/>
                    <w:jc w:val="left"/>
                    <w:jc w:val="center"/>
                  </w:pPr>
                  <w:r>
                    <w:t xml:space="preserve">0.2148</w:t>
                  </w:r>
                </w:p>
              </w:tc>
              <w:tc>
                <w:tcPr/>
                <w:p>
                  <w:pPr>
                    <w:pStyle w:val="Compact"/>
                    <w:jc w:val="left"/>
                    <w:jc w:val="center"/>
                  </w:pPr>
                  <w:r>
                    <w:t xml:space="preserve">0.0123</w:t>
                  </w:r>
                </w:p>
              </w:tc>
              <w:tc>
                <w:tcPr/>
                <w:p>
                  <w:pPr>
                    <w:pStyle w:val="Compact"/>
                    <w:jc w:val="left"/>
                    <w:jc w:val="center"/>
                  </w:pPr>
                  <w:r>
                    <w:t xml:space="preserve">0.0748</w:t>
                  </w:r>
                </w:p>
              </w:tc>
              <w:tc>
                <w:tcPr/>
                <w:p>
                  <w:pPr>
                    <w:pStyle w:val="Compact"/>
                    <w:jc w:val="left"/>
                    <w:jc w:val="center"/>
                  </w:pPr>
                  <w:r>
                    <w:t xml:space="preserve">21,425</w:t>
                  </w:r>
                </w:p>
              </w:tc>
            </w:tr>
            <w:tr>
              <w:tc>
                <w:tcPr/>
                <w:p>
                  <w:pPr>
                    <w:pStyle w:val="Compact"/>
                    <w:jc w:val="left"/>
                    <w:jc w:val="center"/>
                  </w:pPr>
                  <w:r>
                    <w:t xml:space="preserve">Chaco</w:t>
                  </w:r>
                </w:p>
              </w:tc>
              <w:tc>
                <w:tcPr/>
                <w:p>
                  <w:pPr>
                    <w:pStyle w:val="Compact"/>
                    <w:jc w:val="left"/>
                    <w:jc w:val="center"/>
                  </w:pPr>
                  <w:r>
                    <w:t xml:space="preserve">Canadian FWI completo</w:t>
                  </w:r>
                </w:p>
              </w:tc>
              <w:tc>
                <w:tcPr/>
                <w:p>
                  <w:pPr>
                    <w:pStyle w:val="Compact"/>
                    <w:jc w:val="left"/>
                    <w:jc w:val="center"/>
                  </w:pPr>
                  <w:r>
                    <w:t xml:space="preserve">0.5185 [0.513 - 0.524]</w:t>
                  </w:r>
                </w:p>
              </w:tc>
              <w:tc>
                <w:tcPr/>
                <w:p>
                  <w:pPr>
                    <w:pStyle w:val="Compact"/>
                    <w:jc w:val="left"/>
                    <w:jc w:val="center"/>
                  </w:pPr>
                  <w:r>
                    <w:t xml:space="preserve">0.0960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150,654</w:t>
                  </w:r>
                </w:p>
              </w:tc>
            </w:tr>
            <w:tr>
              <w:tc>
                <w:tcPr/>
                <w:p>
                  <w:pPr>
                    <w:pStyle w:val="Compact"/>
                    <w:jc w:val="left"/>
                    <w:jc w:val="center"/>
                  </w:pPr>
                  <w:r>
                    <w:t xml:space="preserve">Chaco</w:t>
                  </w:r>
                </w:p>
              </w:tc>
              <w:tc>
                <w:tcPr/>
                <w:p>
                  <w:pPr>
                    <w:pStyle w:val="Compact"/>
                    <w:jc w:val="left"/>
                    <w:jc w:val="center"/>
                  </w:pPr>
                  <w:r>
                    <w:t xml:space="preserve">INPE Risco de Fogo</w:t>
                  </w:r>
                </w:p>
              </w:tc>
              <w:tc>
                <w:tcPr/>
                <w:p>
                  <w:pPr>
                    <w:pStyle w:val="Compact"/>
                    <w:jc w:val="left"/>
                    <w:jc w:val="center"/>
                  </w:pPr>
                  <w:r>
                    <w:t xml:space="preserve">0.5386 [0.528 - 0.549]</w:t>
                  </w:r>
                </w:p>
              </w:tc>
              <w:tc>
                <w:tcPr/>
                <w:p>
                  <w:pPr>
                    <w:pStyle w:val="Compact"/>
                    <w:jc w:val="left"/>
                    <w:jc w:val="center"/>
                  </w:pPr>
                  <w:r>
                    <w:t xml:space="preserve">0.1030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15,910</w:t>
                  </w:r>
                </w:p>
              </w:tc>
            </w:tr>
            <w:tr>
              <w:tc>
                <w:tcPr/>
                <w:p>
                  <w:pPr>
                    <w:pStyle w:val="Compact"/>
                    <w:jc w:val="left"/>
                    <w:jc w:val="center"/>
                  </w:pPr>
                  <w:r>
                    <w:t xml:space="preserve">Chaco</w:t>
                  </w:r>
                </w:p>
              </w:tc>
              <w:tc>
                <w:tcPr/>
                <w:p>
                  <w:pPr>
                    <w:pStyle w:val="Compact"/>
                    <w:jc w:val="left"/>
                    <w:jc w:val="center"/>
                  </w:pPr>
                  <w:r>
                    <w:t xml:space="preserve">Línea Base Climatológica</w:t>
                  </w:r>
                </w:p>
              </w:tc>
              <w:tc>
                <w:tcPr/>
                <w:p>
                  <w:pPr>
                    <w:pStyle w:val="Compact"/>
                    <w:jc w:val="left"/>
                    <w:jc w:val="center"/>
                  </w:pPr>
                  <w:r>
                    <w:t xml:space="preserve">0.5000 [0.500 - 0.500]</w:t>
                  </w:r>
                </w:p>
              </w:tc>
              <w:tc>
                <w:tcPr/>
                <w:p>
                  <w:pPr>
                    <w:pStyle w:val="Compact"/>
                    <w:jc w:val="left"/>
                    <w:jc w:val="center"/>
                  </w:pPr>
                  <w:r>
                    <w:t xml:space="preserve">0.0909</w:t>
                  </w:r>
                </w:p>
              </w:tc>
              <w:tc>
                <w:tcPr/>
                <w:p>
                  <w:pPr>
                    <w:pStyle w:val="Compact"/>
                    <w:jc w:val="left"/>
                    <w:jc w:val="center"/>
                  </w:pPr>
                  <w:r>
                    <w:t xml:space="preserve">0.0000</w:t>
                  </w:r>
                </w:p>
              </w:tc>
              <w:tc>
                <w:tcPr/>
                <w:p>
                  <w:pPr>
                    <w:pStyle w:val="Compact"/>
                    <w:jc w:val="left"/>
                    <w:jc w:val="center"/>
                  </w:pPr>
                  <w:r>
                    <w:t xml:space="preserve">0.0000</w:t>
                  </w:r>
                </w:p>
              </w:tc>
              <w:tc>
                <w:tcPr/>
                <w:p>
                  <w:pPr>
                    <w:pStyle w:val="Compact"/>
                    <w:jc w:val="left"/>
                    <w:jc w:val="center"/>
                  </w:pPr>
                  <w:r>
                    <w:t xml:space="preserve">0</w:t>
                  </w:r>
                </w:p>
              </w:tc>
            </w:tr>
            <w:tr>
              <w:tc>
                <w:tcPr/>
                <w:p>
                  <w:pPr>
                    <w:pStyle w:val="Compact"/>
                    <w:jc w:val="left"/>
                    <w:jc w:val="center"/>
                  </w:pPr>
                  <w:r>
                    <w:t xml:space="preserve">Chaco</w:t>
                  </w:r>
                </w:p>
              </w:tc>
              <w:tc>
                <w:tcPr/>
                <w:p>
                  <w:pPr>
                    <w:pStyle w:val="Compact"/>
                    <w:jc w:val="left"/>
                    <w:jc w:val="center"/>
                  </w:pPr>
                  <w:r>
                    <w:t xml:space="preserve">Incendios_PY (Propagación Táctica)</w:t>
                  </w:r>
                </w:p>
              </w:tc>
              <w:tc>
                <w:tcPr/>
                <w:p>
                  <w:pPr>
                    <w:pStyle w:val="Compact"/>
                    <w:jc w:val="left"/>
                    <w:jc w:val="center"/>
                  </w:pPr>
                  <w:r>
                    <w:t xml:space="preserve">0.8989 [0.894 - 0.904]</w:t>
                  </w:r>
                </w:p>
              </w:tc>
              <w:tc>
                <w:tcPr/>
                <w:p>
                  <w:pPr>
                    <w:pStyle w:val="Compact"/>
                    <w:jc w:val="left"/>
                    <w:jc w:val="center"/>
                  </w:pPr>
                  <w:r>
                    <w:t xml:space="preserve">0.6831</w:t>
                  </w:r>
                </w:p>
              </w:tc>
              <w:tc>
                <w:tcPr/>
                <w:p>
                  <w:pPr>
                    <w:pStyle w:val="Compact"/>
                    <w:jc w:val="left"/>
                    <w:jc w:val="center"/>
                  </w:pPr>
                  <w:r>
                    <w:t xml:space="preserve">0.0113</w:t>
                  </w:r>
                </w:p>
              </w:tc>
              <w:tc>
                <w:tcPr/>
                <w:p>
                  <w:pPr>
                    <w:pStyle w:val="Compact"/>
                    <w:jc w:val="left"/>
                    <w:jc w:val="center"/>
                  </w:pPr>
                  <w:r>
                    <w:t xml:space="preserve">0.4586</w:t>
                  </w:r>
                </w:p>
              </w:tc>
              <w:tc>
                <w:tcPr/>
                <w:p>
                  <w:pPr>
                    <w:pStyle w:val="Compact"/>
                    <w:jc w:val="left"/>
                    <w:jc w:val="center"/>
                  </w:pPr>
                  <w:r>
                    <w:t xml:space="preserve">4,677</w:t>
                  </w:r>
                </w:p>
              </w:tc>
            </w:tr>
            <w:tr>
              <w:tc>
                <w:tcPr/>
                <w:p>
                  <w:pPr>
                    <w:pStyle w:val="Compact"/>
                    <w:jc w:val="left"/>
                    <w:jc w:val="center"/>
                  </w:pPr>
                  <w:r>
                    <w:t xml:space="preserve">Chaco</w:t>
                  </w:r>
                </w:p>
              </w:tc>
              <w:tc>
                <w:tcPr/>
                <w:p>
                  <w:pPr>
                    <w:pStyle w:val="Compact"/>
                    <w:jc w:val="left"/>
                    <w:jc w:val="center"/>
                  </w:pPr>
                  <w:r>
                    <w:t xml:space="preserve">Línea Base Climatológica</w:t>
                  </w:r>
                </w:p>
              </w:tc>
              <w:tc>
                <w:tcPr/>
                <w:p>
                  <w:pPr>
                    <w:pStyle w:val="Compact"/>
                    <w:jc w:val="left"/>
                    <w:jc w:val="center"/>
                  </w:pPr>
                  <w:r>
                    <w:t xml:space="preserve">0.5000 [0.500 - 0.500]</w:t>
                  </w:r>
                </w:p>
              </w:tc>
              <w:tc>
                <w:tcPr/>
                <w:p>
                  <w:pPr>
                    <w:pStyle w:val="Compact"/>
                    <w:jc w:val="left"/>
                    <w:jc w:val="center"/>
                  </w:pPr>
                  <w:r>
                    <w:t xml:space="preserve">0.0909</w:t>
                  </w:r>
                </w:p>
              </w:tc>
              <w:tc>
                <w:tcPr/>
                <w:p>
                  <w:pPr>
                    <w:pStyle w:val="Compact"/>
                    <w:jc w:val="left"/>
                    <w:jc w:val="center"/>
                  </w:pPr>
                  <w:r>
                    <w:t xml:space="preserve">0.0000</w:t>
                  </w:r>
                </w:p>
              </w:tc>
              <w:tc>
                <w:tcPr/>
                <w:p>
                  <w:pPr>
                    <w:pStyle w:val="Compact"/>
                    <w:jc w:val="left"/>
                    <w:jc w:val="center"/>
                  </w:pPr>
                  <w:r>
                    <w:t xml:space="preserve">0.0000</w:t>
                  </w:r>
                </w:p>
              </w:tc>
              <w:tc>
                <w:tcPr/>
                <w:p>
                  <w:pPr>
                    <w:pStyle w:val="Compact"/>
                    <w:jc w:val="left"/>
                    <w:jc w:val="center"/>
                  </w:pPr>
                  <w:r>
                    <w:t xml:space="preserve">0</w:t>
                  </w:r>
                </w:p>
              </w:tc>
            </w:tr>
          </w:tbl>
          <w:bookmarkEnd w:id="55"/>
          <w:p/>
        </w:tc>
      </w:tr>
    </w:tbl>
    <w:p>
      <w:pPr>
        <w:pStyle w:val="BodyText"/>
      </w:pPr>
      <w:r>
        <w:t xml:space="preserve">Se realizó un bootstrap pareado agrupado por fecha con</w:t>
      </w:r>
      <w:r>
        <w:t xml:space="preserve"> </w:t>
      </w:r>
      <m:oMath>
        <m:r>
          <m:t>B</m:t>
        </m:r>
        <m:r>
          <m:rPr>
            <m:sty m:val="p"/>
          </m:rPr>
          <m:t>=</m:t>
        </m:r>
        <m:r>
          <m:t>1.000</m:t>
        </m:r>
      </m:oMath>
      <w:r>
        <w:t xml:space="preserve"> </w:t>
      </w:r>
      <w:r>
        <w:t xml:space="preserve">sobre la muestra case-control del test para comparar ROC-AUC. Todas las comparaciones de</w:t>
      </w:r>
      <w:r>
        <w:t xml:space="preserve"> </w:t>
      </w:r>
      <w:r>
        <w:rPr>
          <w:rStyle w:val="VerbatimChar"/>
        </w:rPr>
        <w:t xml:space="preserve">Incendios_PY</w:t>
      </w:r>
      <w:r>
        <w:t xml:space="preserve"> </w:t>
      </w:r>
      <w:r>
        <w:t xml:space="preserve">frente al FWI y al INPE Risco de Fogo dieron</w:t>
      </w:r>
      <w:r>
        <w:t xml:space="preserve"> </w:t>
      </w:r>
      <m:oMath>
        <m:r>
          <m:t>p</m:t>
        </m:r>
        <m:r>
          <m:rPr>
            <m:sty m:val="p"/>
          </m:rPr>
          <m:t>≤</m:t>
        </m:r>
        <m:r>
          <m:t>0</m:t>
        </m:r>
        <m:r>
          <m:rPr>
            <m:sty m:val="p"/>
          </m:rPr>
          <m:t>,</m:t>
        </m:r>
        <m:r>
          <m:t>001</m:t>
        </m:r>
      </m:oMath>
      <w:r>
        <w:t xml:space="preserve"> </w:t>
      </w:r>
      <w:r>
        <w:t xml:space="preserve">(resolución mínima de</w:t>
      </w:r>
      <w:r>
        <w:t xml:space="preserve"> </w:t>
      </w:r>
      <m:oMath>
        <m:r>
          <m:t>B</m:t>
        </m:r>
        <m:r>
          <m:rPr>
            <m:sty m:val="p"/>
          </m:rPr>
          <m:t>=</m:t>
        </m:r>
        <m:r>
          <m:t>1.000</m:t>
        </m:r>
      </m:oMath>
      <w:r>
        <w:t xml:space="preserve">), con las diferencias que se muestran en la</w:t>
      </w:r>
      <w:r>
        <w:t xml:space="preserve"> </w:t>
      </w:r>
      <w:hyperlink w:anchor="tbl-significancia">
        <w:r>
          <w:rPr>
            <w:rStyle w:val="Hyperlink"/>
          </w:rPr>
          <w:t xml:space="preserve">Tabla 5</w:t>
        </w:r>
      </w:hyperlink>
      <w:r>
        <w:t xml:space="preserve">. El bloque temporal reduce la dependencia entre días, pero no corrige el sesgo de prevalencia ni la dependencia espacial residual; es una prueba de discriminación en la muestra.</w:t>
      </w:r>
    </w:p>
    <w:tbl>
      <w:tblPr>
        <w:tblStyle w:val="Table"/>
        <w:tblW w:type="pct" w:w="5000"/>
        <w:tblLayout w:type="fixed"/>
        <w:tblLook w:firstRow="0" w:lastRow="0" w:firstColumn="0" w:lastColumn="0" w:noHBand="0" w:noVBand="0" w:val="0000"/>
      </w:tblPr>
      <w:tblGrid>
        <w:gridCol w:w="7920"/>
      </w:tblGrid>
      <w:tr>
        <w:tc>
          <w:tcPr/>
          <w:bookmarkStart w:id="56" w:name="tbl-significancia"/>
          <w:p>
            <w:pPr>
              <w:jc w:val="center"/>
            </w:pPr>
            <w:pPr>
              <w:jc w:val="left"/>
              <w:spacing w:before="200"/>
              <w:pStyle w:val="ImageCaption"/>
            </w:pPr>
            <w:r>
              <w:t xml:space="preserve">Tabla 5: Pruebas pareadas de diferencia de ROC-AUC mediante bootstrap agrupado por fecha (</w:t>
            </w:r>
            <m:oMath>
              <m:r>
                <m:t>B</m:t>
              </m:r>
              <m:r>
                <m:rPr>
                  <m:sty m:val="p"/>
                </m:rPr>
                <m:t>=</m:t>
              </m:r>
              <m:r>
                <m:t>1.000</m:t>
              </m:r>
            </m:oMath>
            <w:r>
              <w:t xml:space="preserve">) sobre la muestra case-control.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Región</w:t>
                  </w:r>
                </w:p>
              </w:tc>
              <w:tc>
                <w:tcPr/>
                <w:p>
                  <w:pPr>
                    <w:pStyle w:val="Compact"/>
                    <w:jc w:val="left"/>
                    <w:jc w:val="center"/>
                  </w:pPr>
                  <w:r>
                    <w:t xml:space="preserve">Comparación</w:t>
                  </w:r>
                </w:p>
              </w:tc>
              <w:tc>
                <w:tcPr/>
                <w:p>
                  <w:pPr>
                    <w:pStyle w:val="Compact"/>
                    <w:jc w:val="left"/>
                    <w:jc w:val="center"/>
                  </w:pPr>
                  <m:oMath>
                    <m:r>
                      <m:rPr>
                        <m:sty m:val="p"/>
                      </m:rPr>
                      <m:t>Δ</m:t>
                    </m:r>
                  </m:oMath>
                  <w:r>
                    <w:t xml:space="preserve">ROC-AUC</w:t>
                  </w:r>
                </w:p>
              </w:tc>
              <w:tc>
                <w:tcPr/>
                <w:p>
                  <w:pPr>
                    <w:pStyle w:val="Compact"/>
                    <w:jc w:val="left"/>
                    <w:jc w:val="center"/>
                  </w:pPr>
                  <m:oMath>
                    <m:r>
                      <m:t>p</m:t>
                    </m:r>
                  </m:oMath>
                  <w:r>
                    <w:t xml:space="preserve"> </w:t>
                  </w:r>
                  <w:r>
                    <w:t xml:space="preserve">bootstrap</w:t>
                  </w:r>
                </w:p>
              </w:tc>
            </w:tr>
            <w:tr>
              <w:tc>
                <w:tcPr/>
                <w:p>
                  <w:pPr>
                    <w:pStyle w:val="Compact"/>
                    <w:jc w:val="left"/>
                    <w:jc w:val="center"/>
                  </w:pPr>
                  <w:r>
                    <w:t xml:space="preserve">Oriental</w:t>
                  </w:r>
                </w:p>
              </w:tc>
              <w:tc>
                <w:tcPr/>
                <w:p>
                  <w:pPr>
                    <w:pStyle w:val="Compact"/>
                    <w:jc w:val="left"/>
                    <w:jc w:val="center"/>
                  </w:pPr>
                  <w:r>
                    <w:t xml:space="preserve">Incendios_PY (Ignición Híbrida M3) vs Canadian FWI completo</w:t>
                  </w:r>
                </w:p>
              </w:tc>
              <w:tc>
                <w:tcPr/>
                <w:p>
                  <w:pPr>
                    <w:pStyle w:val="Compact"/>
                    <w:jc w:val="left"/>
                    <w:jc w:val="center"/>
                  </w:pPr>
                  <w:r>
                    <w:t xml:space="preserve">+0.1916</w:t>
                  </w:r>
                </w:p>
              </w:tc>
              <w:tc>
                <w:tcPr/>
                <w:p>
                  <w:pPr>
                    <w:pStyle w:val="Compact"/>
                    <w:jc w:val="left"/>
                    <w:jc w:val="center"/>
                  </w:pPr>
                  <w:r>
                    <w:t xml:space="preserve">≤0,001</w:t>
                  </w:r>
                </w:p>
              </w:tc>
            </w:tr>
            <w:tr>
              <w:tc>
                <w:tcPr/>
                <w:p>
                  <w:pPr>
                    <w:pStyle w:val="Compact"/>
                    <w:jc w:val="left"/>
                    <w:jc w:val="center"/>
                  </w:pPr>
                  <w:r>
                    <w:t xml:space="preserve">Oriental</w:t>
                  </w:r>
                </w:p>
              </w:tc>
              <w:tc>
                <w:tcPr/>
                <w:p>
                  <w:pPr>
                    <w:pStyle w:val="Compact"/>
                    <w:jc w:val="left"/>
                    <w:jc w:val="center"/>
                  </w:pPr>
                  <w:r>
                    <w:t xml:space="preserve">Incendios_PY (Ignición Híbrida M3) vs INPE Risco de Fogo</w:t>
                  </w:r>
                </w:p>
              </w:tc>
              <w:tc>
                <w:tcPr/>
                <w:p>
                  <w:pPr>
                    <w:pStyle w:val="Compact"/>
                    <w:jc w:val="left"/>
                    <w:jc w:val="center"/>
                  </w:pPr>
                  <w:r>
                    <w:t xml:space="preserve">+0.2492</w:t>
                  </w:r>
                </w:p>
              </w:tc>
              <w:tc>
                <w:tcPr/>
                <w:p>
                  <w:pPr>
                    <w:pStyle w:val="Compact"/>
                    <w:jc w:val="left"/>
                    <w:jc w:val="center"/>
                  </w:pPr>
                  <w:r>
                    <w:t xml:space="preserve">≤0,001</w:t>
                  </w:r>
                </w:p>
              </w:tc>
            </w:tr>
            <w:tr>
              <w:tc>
                <w:tcPr/>
                <w:p>
                  <w:pPr>
                    <w:pStyle w:val="Compact"/>
                    <w:jc w:val="left"/>
                    <w:jc w:val="center"/>
                  </w:pPr>
                  <w:r>
                    <w:t xml:space="preserve">Chaco</w:t>
                  </w:r>
                </w:p>
              </w:tc>
              <w:tc>
                <w:tcPr/>
                <w:p>
                  <w:pPr>
                    <w:pStyle w:val="Compact"/>
                    <w:jc w:val="left"/>
                    <w:jc w:val="center"/>
                  </w:pPr>
                  <w:r>
                    <w:t xml:space="preserve">Incendios_PY (Ignición Híbrida M3) vs Canadian FWI completo</w:t>
                  </w:r>
                </w:p>
              </w:tc>
              <w:tc>
                <w:tcPr/>
                <w:p>
                  <w:pPr>
                    <w:pStyle w:val="Compact"/>
                    <w:jc w:val="left"/>
                    <w:jc w:val="center"/>
                  </w:pPr>
                  <w:r>
                    <w:t xml:space="preserve">+0.2667</w:t>
                  </w:r>
                </w:p>
              </w:tc>
              <w:tc>
                <w:tcPr/>
                <w:p>
                  <w:pPr>
                    <w:pStyle w:val="Compact"/>
                    <w:jc w:val="left"/>
                    <w:jc w:val="center"/>
                  </w:pPr>
                  <w:r>
                    <w:t xml:space="preserve">≤0,001</w:t>
                  </w:r>
                </w:p>
              </w:tc>
            </w:tr>
            <w:tr>
              <w:tc>
                <w:tcPr/>
                <w:p>
                  <w:pPr>
                    <w:pStyle w:val="Compact"/>
                    <w:jc w:val="left"/>
                    <w:jc w:val="center"/>
                  </w:pPr>
                  <w:r>
                    <w:t xml:space="preserve">Chaco</w:t>
                  </w:r>
                </w:p>
              </w:tc>
              <w:tc>
                <w:tcPr/>
                <w:p>
                  <w:pPr>
                    <w:pStyle w:val="Compact"/>
                    <w:jc w:val="left"/>
                    <w:jc w:val="center"/>
                  </w:pPr>
                  <w:r>
                    <w:t xml:space="preserve">Incendios_PY (Ignición Híbrida M3) vs INPE Risco de Fogo</w:t>
                  </w:r>
                </w:p>
              </w:tc>
              <w:tc>
                <w:tcPr/>
                <w:p>
                  <w:pPr>
                    <w:pStyle w:val="Compact"/>
                    <w:jc w:val="left"/>
                    <w:jc w:val="center"/>
                  </w:pPr>
                  <w:r>
                    <w:t xml:space="preserve">+0.2465</w:t>
                  </w:r>
                </w:p>
              </w:tc>
              <w:tc>
                <w:tcPr/>
                <w:p>
                  <w:pPr>
                    <w:pStyle w:val="Compact"/>
                    <w:jc w:val="left"/>
                    <w:jc w:val="center"/>
                  </w:pPr>
                  <w:r>
                    <w:t xml:space="preserve">≤0,001</w:t>
                  </w:r>
                </w:p>
              </w:tc>
            </w:tr>
          </w:tbl>
          <w:bookmarkEnd w:id="56"/>
          <w:p/>
        </w:tc>
      </w:tr>
    </w:tbl>
    <w:p>
      <w:pPr>
        <w:pStyle w:val="BodyText"/>
      </w:pPr>
      <w:r>
        <w:t xml:space="preserve">Las diferencias de discriminación observadas son:</w:t>
      </w:r>
      <w:r>
        <w:t xml:space="preserve"> </w:t>
      </w:r>
      <w:r>
        <w:t xml:space="preserve">- En el</w:t>
      </w:r>
      <w:r>
        <w:t xml:space="preserve"> </w:t>
      </w:r>
      <w:r>
        <w:rPr>
          <w:b/>
          <w:bCs/>
        </w:rPr>
        <w:t xml:space="preserve">Gran Chaco</w:t>
      </w:r>
      <w:r>
        <w:t xml:space="preserve">,</w:t>
      </w:r>
      <w:r>
        <w:t xml:space="preserve"> </w:t>
      </w:r>
      <m:oMath>
        <m:sSub>
          <m:e>
            <m:r>
              <m:rPr>
                <m:scr m:val="script"/>
                <m:sty m:val="p"/>
              </m:rPr>
              <m:t>M</m:t>
            </m:r>
          </m:e>
          <m:sub>
            <m:r>
              <m:t>3</m:t>
            </m:r>
          </m:sub>
        </m:sSub>
      </m:oMath>
      <w:r>
        <w:t xml:space="preserve"> </w:t>
      </w:r>
      <w:r>
        <w:t xml:space="preserve">supera al Canadian FWI completo por</w:t>
      </w:r>
      <w:r>
        <w:t xml:space="preserve"> </w:t>
      </w:r>
      <m:oMath>
        <m:r>
          <m:rPr>
            <m:sty m:val="p"/>
          </m:rPr>
          <m:t>Δ</m:t>
        </m:r>
        <m:r>
          <m:rPr>
            <m:nor/>
            <m:sty m:val="p"/>
          </m:rPr>
          <m:t>ROC</m:t>
        </m:r>
        <m:r>
          <m:rPr>
            <m:sty m:val="p"/>
          </m:rPr>
          <m:t>=</m:t>
        </m:r>
        <m:r>
          <m:rPr>
            <m:sty m:val="p"/>
          </m:rPr>
          <m:t>+</m:t>
        </m:r>
        <m:r>
          <m:t>0</m:t>
        </m:r>
        <m:r>
          <m:rPr>
            <m:sty m:val="p"/>
          </m:rPr>
          <m:t>,</m:t>
        </m:r>
        <m:r>
          <m:t>2667</m:t>
        </m:r>
      </m:oMath>
      <w:r>
        <w:t xml:space="preserve"> </w:t>
      </w:r>
      <w:r>
        <w:t xml:space="preserve">y al INPE Risco de Fogo por</w:t>
      </w:r>
      <w:r>
        <w:t xml:space="preserve"> </w:t>
      </w:r>
      <m:oMath>
        <m:r>
          <m:rPr>
            <m:sty m:val="p"/>
          </m:rPr>
          <m:t>+</m:t>
        </m:r>
        <m:r>
          <m:t>0</m:t>
        </m:r>
        <m:r>
          <m:rPr>
            <m:sty m:val="p"/>
          </m:rPr>
          <m:t>,</m:t>
        </m:r>
        <m:r>
          <m:t>2465</m:t>
        </m:r>
      </m:oMath>
      <w:r>
        <w:t xml:space="preserve">. Los falsos positivos case-control en el corte</w:t>
      </w:r>
      <w:r>
        <w:t xml:space="preserve"> </w:t>
      </w:r>
      <m:oMath>
        <m:sSub>
          <m:e>
            <m:r>
              <m:t>F</m:t>
            </m:r>
          </m:e>
          <m:sub>
            <m:r>
              <m:t>0.5</m:t>
            </m:r>
          </m:sub>
        </m:sSub>
      </m:oMath>
      <w:r>
        <w:t xml:space="preserve"> </w:t>
      </w:r>
      <w:r>
        <w:t xml:space="preserve">son</w:t>
      </w:r>
      <w:r>
        <w:t xml:space="preserve"> </w:t>
      </w:r>
      <m:oMath>
        <m:r>
          <m:t>13.011</m:t>
        </m:r>
      </m:oMath>
      <w:r>
        <w:t xml:space="preserve"> </w:t>
      </w:r>
      <w:r>
        <w:t xml:space="preserve">(</w:t>
      </w:r>
      <m:oMath>
        <m:sSub>
          <m:e>
            <m:r>
              <m:rPr>
                <m:scr m:val="script"/>
                <m:sty m:val="p"/>
              </m:rPr>
              <m:t>M</m:t>
            </m:r>
          </m:e>
          <m:sub>
            <m:r>
              <m:t>3</m:t>
            </m:r>
          </m:sub>
        </m:sSub>
      </m:oMath>
      <w:r>
        <w:t xml:space="preserve">),</w:t>
      </w:r>
      <w:r>
        <w:t xml:space="preserve"> </w:t>
      </w:r>
      <m:oMath>
        <m:r>
          <m:t>21.425</m:t>
        </m:r>
      </m:oMath>
      <w:r>
        <w:t xml:space="preserve"> </w:t>
      </w:r>
      <w:r>
        <w:t xml:space="preserve">(</w:t>
      </w:r>
      <m:oMath>
        <m:sSub>
          <m:e>
            <m:r>
              <m:rPr>
                <m:scr m:val="script"/>
                <m:sty m:val="p"/>
              </m:rPr>
              <m:t>M</m:t>
            </m:r>
          </m:e>
          <m:sub>
            <m:r>
              <m:t>2</m:t>
            </m:r>
          </m:sub>
        </m:sSub>
      </m:oMath>
      <w:r>
        <w:t xml:space="preserve">),</w:t>
      </w:r>
      <w:r>
        <w:t xml:space="preserve"> </w:t>
      </w:r>
      <m:oMath>
        <m:r>
          <m:t>15.910</m:t>
        </m:r>
      </m:oMath>
      <w:r>
        <w:t xml:space="preserve"> </w:t>
      </w:r>
      <w:r>
        <w:t xml:space="preserve">(INPE) y</w:t>
      </w:r>
      <w:r>
        <w:t xml:space="preserve"> </w:t>
      </w:r>
      <m:oMath>
        <m:r>
          <m:t>150.654</m:t>
        </m:r>
      </m:oMath>
      <w:r>
        <w:t xml:space="preserve"> </w:t>
      </w:r>
      <w:r>
        <w:t xml:space="preserve">(FWI).</w:t>
      </w:r>
      <w:r>
        <w:t xml:space="preserve"> </w:t>
      </w:r>
      <w:r>
        <w:t xml:space="preserve">- En la</w:t>
      </w:r>
      <w:r>
        <w:t xml:space="preserve"> </w:t>
      </w:r>
      <w:r>
        <w:rPr>
          <w:b/>
          <w:bCs/>
        </w:rPr>
        <w:t xml:space="preserve">Región Oriental</w:t>
      </w:r>
      <w:r>
        <w:t xml:space="preserve">,</w:t>
      </w:r>
      <w:r>
        <w:t xml:space="preserve"> </w:t>
      </w:r>
      <m:oMath>
        <m:sSub>
          <m:e>
            <m:r>
              <m:rPr>
                <m:scr m:val="script"/>
                <m:sty m:val="p"/>
              </m:rPr>
              <m:t>M</m:t>
            </m:r>
          </m:e>
          <m:sub>
            <m:r>
              <m:t>3</m:t>
            </m:r>
          </m:sub>
        </m:sSub>
      </m:oMath>
      <w:r>
        <w:t xml:space="preserve"> </w:t>
      </w:r>
      <w:r>
        <w:t xml:space="preserve">supera al FWI por</w:t>
      </w:r>
      <w:r>
        <w:t xml:space="preserve"> </w:t>
      </w:r>
      <m:oMath>
        <m:r>
          <m:rPr>
            <m:sty m:val="p"/>
          </m:rPr>
          <m:t>+</m:t>
        </m:r>
        <m:r>
          <m:t>0</m:t>
        </m:r>
        <m:r>
          <m:rPr>
            <m:sty m:val="p"/>
          </m:rPr>
          <m:t>,</m:t>
        </m:r>
        <m:r>
          <m:t>1916</m:t>
        </m:r>
      </m:oMath>
      <w:r>
        <w:t xml:space="preserve"> </w:t>
      </w:r>
      <w:r>
        <w:t xml:space="preserve">y al INPE por</w:t>
      </w:r>
      <w:r>
        <w:t xml:space="preserve"> </w:t>
      </w:r>
      <m:oMath>
        <m:r>
          <m:rPr>
            <m:sty m:val="p"/>
          </m:rPr>
          <m:t>+</m:t>
        </m:r>
        <m:r>
          <m:t>0</m:t>
        </m:r>
        <m:r>
          <m:rPr>
            <m:sty m:val="p"/>
          </m:rPr>
          <m:t>,</m:t>
        </m:r>
        <m:r>
          <m:t>2492</m:t>
        </m:r>
      </m:oMath>
      <w:r>
        <w:t xml:space="preserve">. Los falsos positivos case-control son</w:t>
      </w:r>
      <w:r>
        <w:t xml:space="preserve"> </w:t>
      </w:r>
      <m:oMath>
        <m:r>
          <m:t>8.787</m:t>
        </m:r>
      </m:oMath>
      <w:r>
        <w:t xml:space="preserve"> </w:t>
      </w:r>
      <w:r>
        <w:t xml:space="preserve">(</w:t>
      </w:r>
      <m:oMath>
        <m:sSub>
          <m:e>
            <m:r>
              <m:rPr>
                <m:scr m:val="script"/>
                <m:sty m:val="p"/>
              </m:rPr>
              <m:t>M</m:t>
            </m:r>
          </m:e>
          <m:sub>
            <m:r>
              <m:t>3</m:t>
            </m:r>
          </m:sub>
        </m:sSub>
      </m:oMath>
      <w:r>
        <w:t xml:space="preserve">),</w:t>
      </w:r>
      <w:r>
        <w:t xml:space="preserve"> </w:t>
      </w:r>
      <m:oMath>
        <m:r>
          <m:t>12.060</m:t>
        </m:r>
      </m:oMath>
      <w:r>
        <w:t xml:space="preserve"> </w:t>
      </w:r>
      <w:r>
        <w:t xml:space="preserve">(</w:t>
      </w:r>
      <m:oMath>
        <m:sSub>
          <m:e>
            <m:r>
              <m:rPr>
                <m:scr m:val="script"/>
                <m:sty m:val="p"/>
              </m:rPr>
              <m:t>M</m:t>
            </m:r>
          </m:e>
          <m:sub>
            <m:r>
              <m:t>2</m:t>
            </m:r>
          </m:sub>
        </m:sSub>
      </m:oMath>
      <w:r>
        <w:t xml:space="preserve">),</w:t>
      </w:r>
      <w:r>
        <w:t xml:space="preserve"> </w:t>
      </w:r>
      <m:oMath>
        <m:r>
          <m:t>142.453</m:t>
        </m:r>
      </m:oMath>
      <w:r>
        <w:t xml:space="preserve"> </w:t>
      </w:r>
      <w:r>
        <w:t xml:space="preserve">(INPE) y</w:t>
      </w:r>
      <w:r>
        <w:t xml:space="preserve"> </w:t>
      </w:r>
      <m:oMath>
        <m:r>
          <m:t>52.650</m:t>
        </m:r>
      </m:oMath>
      <w:r>
        <w:t xml:space="preserve"> </w:t>
      </w:r>
      <w:r>
        <w:t xml:space="preserve">(FWI).</w:t>
      </w:r>
      <w:r>
        <w:t xml:space="preserve"> </w:t>
      </w:r>
      <w:r>
        <w:t xml:space="preserve">- Estas cifras son case-control (~9,09 % de prevalencia). La evaluación poblacional (Tabla Suplementaria S6) muestra precisiones de 0,062 %/0,206 % para</w:t>
      </w:r>
      <w:r>
        <w:t xml:space="preserve"> </w:t>
      </w:r>
      <m:oMath>
        <m:sSub>
          <m:e>
            <m:r>
              <m:rPr>
                <m:scr m:val="script"/>
                <m:sty m:val="p"/>
              </m:rPr>
              <m:t>M</m:t>
            </m:r>
          </m:e>
          <m:sub>
            <m:r>
              <m:t>3</m:t>
            </m:r>
          </m:sub>
        </m:sSub>
      </m:oMath>
      <w:r>
        <w:t xml:space="preserve"> </w:t>
      </w:r>
      <w:r>
        <w:t xml:space="preserve">y 9,96 %/4,49 % para propagación; son las cifras relevantes para operación.</w:t>
      </w:r>
    </w:p>
    <w:p>
      <w:pPr>
        <w:pStyle w:val="BodyText"/>
      </w:pPr>
      <w:r>
        <w:t xml:space="preserve">La comparación gráfica exhaustiva de las curvas ROC y Precision-Recall frente al Canadian FWI y al INPE Risco de Fogo se expone en la</w:t>
      </w:r>
      <w:r>
        <w:t xml:space="preserve"> </w:t>
      </w:r>
      <w:hyperlink w:anchor="fig-benchmark-curvas">
        <w:r>
          <w:rPr>
            <w:rStyle w:val="Hyperlink"/>
          </w:rPr>
          <w:t xml:space="preserve">Figura 4</w:t>
        </w:r>
      </w:hyperlink>
      <w:r>
        <w:t xml:space="preserve">, destacando la marcada divergencia en la fracción de positivos verdaderos identificados.</w:t>
      </w:r>
    </w:p>
    <w:tbl>
      <w:tblPr>
        <w:tblStyle w:val="Table"/>
        <w:tblW w:type="pct" w:w="5000"/>
        <w:tblLayout w:type="fixed"/>
        <w:tblLook w:firstRow="0" w:lastRow="0" w:firstColumn="0" w:lastColumn="0" w:noHBand="0" w:noVBand="0" w:val="0000"/>
      </w:tblPr>
      <w:tblGrid>
        <w:gridCol w:w="7920"/>
      </w:tblGrid>
      <w:tr>
        <w:tc>
          <w:tcPr/>
          <w:bookmarkStart w:id="60" w:name="fig-benchmark-curvas"/>
          <w:p>
            <w:pPr>
              <w:pStyle w:val="Compact"/>
              <w:jc w:val="center"/>
            </w:pPr>
            <w:r>
              <w:drawing>
                <wp:inline>
                  <wp:extent cx="5334000" cy="3911600"/>
                  <wp:effectExtent b="0" l="0" r="0" t="0"/>
                  <wp:docPr descr="" title="" id="58" name="Picture"/>
                  <a:graphic>
                    <a:graphicData uri="http://schemas.openxmlformats.org/drawingml/2006/picture">
                      <pic:pic>
                        <pic:nvPicPr>
                          <pic:cNvPr descr="figuras/fig05_benchmarking_curvas_roc_pr.png" id="59" name="Picture"/>
                          <pic:cNvPicPr>
                            <a:picLocks noChangeArrowheads="1" noChangeAspect="1"/>
                          </pic:cNvPicPr>
                        </pic:nvPicPr>
                        <pic:blipFill>
                          <a:blip r:embed="rId57"/>
                          <a:stretch>
                            <a:fillRect/>
                          </a:stretch>
                        </pic:blipFill>
                        <pic:spPr bwMode="auto">
                          <a:xfrm>
                            <a:off x="0" y="0"/>
                            <a:ext cx="5334000" cy="39116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Benchmarking comparativo internacional frente a los sistemas canónicos en el conjunto de prueba ciego: Curvas ROC y Precision-Recall contrastando</w:t>
            </w:r>
            <w:r>
              <w:t xml:space="preserve"> </w:t>
            </w:r>
            <w:r>
              <w:rPr>
                <w:rStyle w:val="VerbatimChar"/>
              </w:rPr>
              <w:t xml:space="preserve">Incendios_PY</w:t>
            </w:r>
            <w:r>
              <w:t xml:space="preserve"> </w:t>
            </w:r>
            <w:r>
              <w:t xml:space="preserve">frente al Canadian FWI (EFFIS/GWIS), INPE Risco de Fogo y la línea base climatológica nula en ambas macro-regiones.</w:t>
            </w:r>
          </w:p>
          <w:bookmarkEnd w:id="60"/>
        </w:tc>
      </w:tr>
    </w:tbl>
    <w:bookmarkStart w:id="66" w:name="X849cf149eca7fe20993388cfc040863db645847"/>
    <w:p>
      <w:pPr>
        <w:pStyle w:val="Heading3"/>
      </w:pPr>
      <w:r>
        <w:t xml:space="preserve">5.2.1 5.2.1 Estudio de Ablación Formal: Modelo Biofísico Puro vs. Modelo Híbrido Socio-Ecológico Multiescala</w:t>
      </w:r>
    </w:p>
    <w:p>
      <w:pPr>
        <w:pStyle w:val="FirstParagraph"/>
      </w:pPr>
      <w:r>
        <w:t xml:space="preserve">Para cuantificar empíricamente el peso relativo del forzante climático-vegetal frente a la presión humana de ignición en ausencia de incendios activos en</w:t>
      </w:r>
      <w:r>
        <w:t xml:space="preserve"> </w:t>
      </w:r>
      <m:oMath>
        <m:r>
          <m:t>t</m:t>
        </m:r>
        <m:r>
          <m:rPr>
            <m:sty m:val="p"/>
          </m:rPr>
          <m:t>−</m:t>
        </m:r>
        <m:r>
          <m:t>1</m:t>
        </m:r>
      </m:oMath>
      <w:r>
        <w:t xml:space="preserve">, diseñamos e implementamos un estudio de ablación controlado en tres niveles incrementales (</w:t>
      </w:r>
      <w:r>
        <w:rPr>
          <w:rStyle w:val="VerbatimChar"/>
        </w:rPr>
        <w:t xml:space="preserve">scripts/16_ablacion_modelo_hibrido.py</w:t>
      </w:r>
      <w:r>
        <w:t xml:space="preserve">) sobre el mismo conjunto de prueba ciego</w:t>
      </w:r>
      <w:r>
        <w:t xml:space="preserve"> </w:t>
      </w:r>
      <w:r>
        <w:rPr>
          <w:i/>
          <w:iCs/>
        </w:rPr>
        <w:t xml:space="preserve">out-of-time</w:t>
      </w:r>
      <w:r>
        <w:t xml:space="preserve"> </w:t>
      </w:r>
      <w:r>
        <w:t xml:space="preserve">(2024–2025,</w:t>
      </w:r>
      <w:r>
        <w:t xml:space="preserve"> </w:t>
      </w:r>
      <m:oMath>
        <m:r>
          <m:t>N</m:t>
        </m:r>
        <m:r>
          <m:rPr>
            <m:sty m:val="p"/>
          </m:rPr>
          <m:t>=</m:t>
        </m:r>
        <m:r>
          <m:t>1.813</m:t>
        </m:r>
        <m:r>
          <m:t>.966</m:t>
        </m:r>
      </m:oMath>
      <w:r>
        <w:t xml:space="preserve"> </w:t>
      </w:r>
      <w:r>
        <w:t xml:space="preserve">celda-días):</w:t>
      </w:r>
    </w:p>
    <w:p>
      <w:pPr>
        <w:pStyle w:val="Compact"/>
        <w:numPr>
          <w:ilvl w:val="0"/>
          <w:numId w:val="1011"/>
        </w:numPr>
      </w:pPr>
      <w:r>
        <w:rPr>
          <w:b/>
          <w:bCs/>
        </w:rPr>
        <w:t xml:space="preserve">Modelo</w:t>
      </w:r>
      <w:r>
        <w:rPr>
          <w:b/>
          <w:bCs/>
        </w:rPr>
        <w:t xml:space="preserve"> </w:t>
      </w:r>
      <m:oMath>
        <m:sSub>
          <m:e>
            <m:r>
              <m:rPr>
                <m:scr m:val="script"/>
                <m:sty m:val="p"/>
              </m:rPr>
              <m:t>M</m:t>
            </m:r>
          </m:e>
          <m:sub>
            <m:r>
              <m:t>1</m:t>
            </m:r>
          </m:sub>
        </m:sSub>
      </m:oMath>
      <w:r>
        <w:rPr>
          <w:b/>
          <w:bCs/>
        </w:rPr>
        <w:t xml:space="preserve"> </w:t>
      </w:r>
      <w:r>
        <w:rPr>
          <w:b/>
          <w:bCs/>
        </w:rPr>
        <w:t xml:space="preserve">— Biofísico Puro (</w:t>
      </w:r>
      <m:oMath>
        <m:r>
          <m:t>17</m:t>
        </m:r>
        <m:r>
          <m:rPr>
            <m:nor/>
            <m:sty m:val="p"/>
          </m:rPr>
          <m:t> variables</m:t>
        </m:r>
      </m:oMath>
      <w:r>
        <w:rPr>
          <w:b/>
          <w:bCs/>
        </w:rPr>
        <w:t xml:space="preserve">):</w:t>
      </w:r>
      <w:r>
        <w:t xml:space="preserve"> </w:t>
      </w:r>
      <w:r>
        <w:t xml:space="preserve">Restringido a parámetros termodinámicos de ERA5-Land (</w:t>
      </w:r>
      <m:oMath>
        <m:sSub>
          <m:e>
            <m:r>
              <m:t>T</m:t>
            </m:r>
          </m:e>
          <m:sub>
            <m:r>
              <m:rPr>
                <m:nor/>
                <m:sty m:val="p"/>
              </m:rPr>
              <m:t>max</m:t>
            </m:r>
          </m:sub>
        </m:sSub>
        <m:r>
          <m:rPr>
            <m:sty m:val="p"/>
          </m:rPr>
          <m:t>,</m:t>
        </m:r>
        <m:sSub>
          <m:e>
            <m:r>
              <m:t>T</m:t>
            </m:r>
          </m:e>
          <m:sub>
            <m:r>
              <m:rPr>
                <m:nor/>
                <m:sty m:val="p"/>
              </m:rPr>
              <m:t>min</m:t>
            </m:r>
          </m:sub>
        </m:sSub>
        <m:r>
          <m:rPr>
            <m:sty m:val="p"/>
          </m:rPr>
          <m:t>,</m:t>
        </m:r>
        <m:r>
          <m:rPr>
            <m:sty m:val="p"/>
          </m:rPr>
          <m:t>Δ</m:t>
        </m:r>
        <m:r>
          <m:t>T</m:t>
        </m:r>
        <m:r>
          <m:rPr>
            <m:sty m:val="p"/>
          </m:rPr>
          <m:t>,</m:t>
        </m:r>
        <m:r>
          <m:t>V</m:t>
        </m:r>
        <m:r>
          <m:t>P</m:t>
        </m:r>
        <m:r>
          <m:t>D</m:t>
        </m:r>
        <m:r>
          <m:rPr>
            <m:sty m:val="p"/>
          </m:rPr>
          <m:t>,</m:t>
        </m:r>
        <m:r>
          <m:t>P</m:t>
        </m:r>
        <m:r>
          <m:rPr>
            <m:sty m:val="p"/>
          </m:rPr>
          <m:t>,</m:t>
        </m:r>
        <m:sSub>
          <m:e>
            <m:r>
              <m:t>P</m:t>
            </m:r>
          </m:e>
          <m:sub>
            <m:r>
              <m:t>48</m:t>
            </m:r>
            <m:r>
              <m:t>h</m:t>
            </m:r>
          </m:sub>
        </m:sSub>
        <m:r>
          <m:rPr>
            <m:sty m:val="p"/>
          </m:rPr>
          <m:t>,</m:t>
        </m:r>
        <m:r>
          <m:t>C</m:t>
        </m:r>
        <m:r>
          <m:t>D</m:t>
        </m:r>
        <m:r>
          <m:t>D</m:t>
        </m:r>
        <m:r>
          <m:rPr>
            <m:sty m:val="p"/>
          </m:rPr>
          <m:t>,</m:t>
        </m:r>
        <m:r>
          <m:t>v</m:t>
        </m:r>
        <m:r>
          <m:rPr>
            <m:sty m:val="p"/>
          </m:rPr>
          <m:t>,</m:t>
        </m:r>
        <m:sSup>
          <m:e>
            <m:r>
              <m:t>v</m:t>
            </m:r>
          </m:e>
          <m:sup>
            <m:r>
              <m:t>2</m:t>
            </m:r>
          </m:sup>
        </m:sSup>
      </m:oMath>
      <w:r>
        <w:t xml:space="preserve">), subíndices FWI (</w:t>
      </w:r>
      <m:oMath>
        <m:r>
          <m:t>F</m:t>
        </m:r>
        <m:r>
          <m:t>F</m:t>
        </m:r>
        <m:r>
          <m:t>M</m:t>
        </m:r>
        <m:r>
          <m:t>C</m:t>
        </m:r>
        <m:r>
          <m:rPr>
            <m:sty m:val="p"/>
          </m:rPr>
          <m:t>,</m:t>
        </m:r>
        <m:r>
          <m:t>I</m:t>
        </m:r>
        <m:r>
          <m:t>S</m:t>
        </m:r>
        <m:r>
          <m:t>I</m:t>
        </m:r>
      </m:oMath>
      <w:r>
        <w:t xml:space="preserve">) y proporciones del perfil de combustible (</w:t>
      </w:r>
      <m:oMath>
        <m:sSub>
          <m:e>
            <m:r>
              <m:t>p</m:t>
            </m:r>
          </m:e>
          <m:sub>
            <m:r>
              <m:rPr>
                <m:nor/>
                <m:sty m:val="p"/>
              </m:rPr>
              <m:t>pastura</m:t>
            </m:r>
          </m:sub>
        </m:sSub>
        <m:r>
          <m:rPr>
            <m:sty m:val="p"/>
          </m:rPr>
          <m:t>,</m:t>
        </m:r>
        <m:sSub>
          <m:e>
            <m:r>
              <m:t>p</m:t>
            </m:r>
          </m:e>
          <m:sub>
            <m:r>
              <m:rPr>
                <m:nor/>
                <m:sty m:val="p"/>
              </m:rPr>
              <m:t>sabana</m:t>
            </m:r>
          </m:sub>
        </m:sSub>
        <m:r>
          <m:rPr>
            <m:sty m:val="p"/>
          </m:rPr>
          <m:t>,</m:t>
        </m:r>
        <m:sSub>
          <m:e>
            <m:r>
              <m:t>p</m:t>
            </m:r>
          </m:e>
          <m:sub>
            <m:r>
              <m:rPr>
                <m:nor/>
                <m:sty m:val="p"/>
              </m:rPr>
              <m:t>bosque</m:t>
            </m:r>
          </m:sub>
        </m:sSub>
        <m:r>
          <m:rPr>
            <m:sty m:val="p"/>
          </m:rPr>
          <m:t>,</m:t>
        </m:r>
        <m:sSub>
          <m:e>
            <m:r>
              <m:t>p</m:t>
            </m:r>
          </m:e>
          <m:sub>
            <m:r>
              <m:rPr>
                <m:nor/>
                <m:sty m:val="p"/>
              </m:rPr>
              <m:t>palmar</m:t>
            </m:r>
          </m:sub>
        </m:sSub>
      </m:oMath>
      <w:r>
        <w:t xml:space="preserve">),</w:t>
      </w:r>
      <w:r>
        <w:t xml:space="preserve"> </w:t>
      </w:r>
      <w:r>
        <w:rPr>
          <w:b/>
          <w:bCs/>
        </w:rPr>
        <w:t xml:space="preserve">sin calendario humano, ecotono ni memoria geográfica de ignición</w:t>
      </w:r>
      <w:r>
        <w:t xml:space="preserve">.</w:t>
      </w:r>
    </w:p>
    <w:p>
      <w:pPr>
        <w:pStyle w:val="Compact"/>
        <w:numPr>
          <w:ilvl w:val="0"/>
          <w:numId w:val="1011"/>
        </w:numPr>
      </w:pPr>
      <w:r>
        <w:rPr>
          <w:b/>
          <w:bCs/>
        </w:rPr>
        <w:t xml:space="preserve">Modelo</w:t>
      </w:r>
      <w:r>
        <w:rPr>
          <w:b/>
          <w:bCs/>
        </w:rPr>
        <w:t xml:space="preserve"> </w:t>
      </w:r>
      <m:oMath>
        <m:sSub>
          <m:e>
            <m:r>
              <m:rPr>
                <m:scr m:val="script"/>
                <m:sty m:val="p"/>
              </m:rPr>
              <m:t>M</m:t>
            </m:r>
          </m:e>
          <m:sub>
            <m:r>
              <m:t>2</m:t>
            </m:r>
          </m:sub>
        </m:sSub>
      </m:oMath>
      <w:r>
        <w:rPr>
          <w:b/>
          <w:bCs/>
        </w:rPr>
        <w:t xml:space="preserve"> </w:t>
      </w:r>
      <w:r>
        <w:rPr>
          <w:b/>
          <w:bCs/>
        </w:rPr>
        <w:t xml:space="preserve">— Ignición con Ancla Macro (</w:t>
      </w:r>
      <m:oMath>
        <m:r>
          <m:t>24</m:t>
        </m:r>
        <m:r>
          <m:rPr>
            <m:nor/>
            <m:sty m:val="p"/>
          </m:rPr>
          <m:t> variables</m:t>
        </m:r>
      </m:oMath>
      <w:r>
        <w:rPr>
          <w:b/>
          <w:bCs/>
        </w:rPr>
        <w:t xml:space="preserve">):</w:t>
      </w:r>
      <w:r>
        <w:t xml:space="preserve"> </w:t>
      </w:r>
      <w:r>
        <w:t xml:space="preserve">Incorpora sobre</w:t>
      </w:r>
      <w:r>
        <w:t xml:space="preserve"> </w:t>
      </w:r>
      <m:oMath>
        <m:sSub>
          <m:e>
            <m:r>
              <m:rPr>
                <m:scr m:val="script"/>
                <m:sty m:val="p"/>
              </m:rPr>
              <m:t>M</m:t>
            </m:r>
          </m:e>
          <m:sub>
            <m:r>
              <m:t>1</m:t>
            </m:r>
          </m:sub>
        </m:sSub>
      </m:oMath>
      <w:r>
        <w:t xml:space="preserve"> </w:t>
      </w:r>
      <w:r>
        <w:t xml:space="preserve">el índice parabólico de ecotono (</w:t>
      </w:r>
      <m:oMath>
        <m:sSub>
          <m:e>
            <m:r>
              <m:rPr>
                <m:scr m:val="script"/>
                <m:sty m:val="p"/>
              </m:rPr>
              <m:t>E</m:t>
            </m:r>
          </m:e>
          <m:sub>
            <m:r>
              <m:t>i</m:t>
            </m:r>
          </m:sub>
        </m:sSub>
      </m:oMath>
      <w:r>
        <w:t xml:space="preserve">), el calendario civil básico y el ancla histórica macro-espacial a</w:t>
      </w:r>
      <w:r>
        <w:t xml:space="preserve"> </w:t>
      </w:r>
      <m:oMath>
        <m:r>
          <m:t>R</m:t>
        </m:r>
        <m:r>
          <m:rPr>
            <m:sty m:val="p"/>
          </m:rPr>
          <m:t>=</m:t>
        </m:r>
        <m:r>
          <m:t>25</m:t>
        </m:r>
        <m:r>
          <m:rPr>
            <m:nor/>
            <m:sty m:val="p"/>
          </m:rPr>
          <m:t> km</m:t>
        </m:r>
      </m:oMath>
      <w:r>
        <w:t xml:space="preserve">, calculada con corte mensual y ventana móvil de 3 años.</w:t>
      </w:r>
    </w:p>
    <w:p>
      <w:pPr>
        <w:pStyle w:val="Compact"/>
        <w:numPr>
          <w:ilvl w:val="0"/>
          <w:numId w:val="1011"/>
        </w:numPr>
      </w:pPr>
      <w:r>
        <w:rPr>
          <w:b/>
          <w:bCs/>
        </w:rPr>
        <w:t xml:space="preserve">Modelo</w:t>
      </w:r>
      <w:r>
        <w:rPr>
          <w:b/>
          <w:bCs/>
        </w:rPr>
        <w:t xml:space="preserve"> </w:t>
      </w:r>
      <m:oMath>
        <m:sSub>
          <m:e>
            <m:r>
              <m:rPr>
                <m:scr m:val="script"/>
                <m:sty m:val="p"/>
              </m:rPr>
              <m:t>M</m:t>
            </m:r>
          </m:e>
          <m:sub>
            <m:r>
              <m:t>3</m:t>
            </m:r>
          </m:sub>
        </m:sSub>
      </m:oMath>
      <w:r>
        <w:rPr>
          <w:b/>
          <w:bCs/>
        </w:rPr>
        <w:t xml:space="preserve"> </w:t>
      </w:r>
      <w:r>
        <w:rPr>
          <w:b/>
          <w:bCs/>
        </w:rPr>
        <w:t xml:space="preserve">— Híbrido Socio-Ecológico Multiescala (</w:t>
      </w:r>
      <m:oMath>
        <m:r>
          <m:t>33</m:t>
        </m:r>
        <m:r>
          <m:rPr>
            <m:nor/>
            <m:sty m:val="p"/>
          </m:rPr>
          <m:t>–</m:t>
        </m:r>
        <m:r>
          <m:t>34</m:t>
        </m:r>
        <m:r>
          <m:rPr>
            <m:nor/>
            <m:sty m:val="p"/>
          </m:rPr>
          <m:t> variables</m:t>
        </m:r>
      </m:oMath>
      <w:r>
        <w:rPr>
          <w:b/>
          <w:bCs/>
        </w:rPr>
        <w:t xml:space="preserve">):</w:t>
      </w:r>
      <w:r>
        <w:t xml:space="preserve"> </w:t>
      </w:r>
      <w:r>
        <w:t xml:space="preserve">Modela explícitamente la</w:t>
      </w:r>
      <w:r>
        <w:t xml:space="preserve"> </w:t>
      </w:r>
      <w:r>
        <w:rPr>
          <w:b/>
          <w:bCs/>
        </w:rPr>
        <w:t xml:space="preserve">Presión de Ignición Antrópica</w:t>
      </w:r>
      <w:r>
        <w:t xml:space="preserve"> </w:t>
      </w:r>
      <w:r>
        <w:t xml:space="preserve">acoplada a la viabilidad biofísica mediante kernels jerárquicos multiescala (calculados con corte mensual y ventana móvil de 3 años, sin usar el evento actual ni fuegos futuros) y términos de interacción no lineal:</w:t>
      </w:r>
    </w:p>
    <w:p>
      <w:pPr>
        <w:pStyle w:val="Compact"/>
        <w:numPr>
          <w:ilvl w:val="1"/>
          <w:numId w:val="1012"/>
        </w:numPr>
      </w:pPr>
      <w:r>
        <w:rPr>
          <w:i/>
          <w:iCs/>
        </w:rPr>
        <w:t xml:space="preserve">Corredores de accesibilidad antrópica consolidada</w:t>
      </w:r>
      <w:r>
        <w:t xml:space="preserve"> </w:t>
      </w:r>
      <w:r>
        <w:t xml:space="preserve">(</w:t>
      </w:r>
      <m:oMath>
        <m:sSub>
          <m:e>
            <m:r>
              <m:t>d</m:t>
            </m:r>
          </m:e>
          <m:sub>
            <m:r>
              <m:rPr>
                <m:nor/>
                <m:sty m:val="p"/>
              </m:rPr>
              <m:t>corredor</m:t>
            </m:r>
          </m:sub>
        </m:sSub>
      </m:oMath>
      <w:r>
        <w:t xml:space="preserve">): distancia euclidiana a la celda más cercana con recurrencia crónica de quema (</w:t>
      </w:r>
      <m:oMath>
        <m:r>
          <m:rPr>
            <m:sty m:val="p"/>
          </m:rPr>
          <m:t>≥</m:t>
        </m:r>
        <m:r>
          <m:t>3</m:t>
        </m:r>
      </m:oMath>
      <w:r>
        <w:t xml:space="preserve"> </w:t>
      </w:r>
      <w:r>
        <w:t xml:space="preserve">temporadas independientes en 2018–2022), capturando la red de rutas, picadas ganaderas y frentes de desmonte activo.</w:t>
      </w:r>
    </w:p>
    <w:p>
      <w:pPr>
        <w:pStyle w:val="Compact"/>
        <w:numPr>
          <w:ilvl w:val="1"/>
          <w:numId w:val="1012"/>
        </w:numPr>
      </w:pPr>
      <w:r>
        <w:rPr>
          <w:i/>
          <w:iCs/>
        </w:rPr>
        <w:t xml:space="preserve">Gradientes locales y meso-escalares de densidad antrópica</w:t>
      </w:r>
      <w:r>
        <w:t xml:space="preserve">: conteos kernel en radios de</w:t>
      </w:r>
      <w:r>
        <w:t xml:space="preserve"> </w:t>
      </w:r>
      <m:oMath>
        <m:r>
          <m:t>R</m:t>
        </m:r>
        <m:r>
          <m:rPr>
            <m:sty m:val="p"/>
          </m:rPr>
          <m:t>=</m:t>
        </m:r>
        <m:r>
          <m:t>5</m:t>
        </m:r>
        <m:r>
          <m:rPr>
            <m:nor/>
            <m:sty m:val="p"/>
          </m:rPr>
          <m:t> km</m:t>
        </m:r>
      </m:oMath>
      <w:r>
        <w:t xml:space="preserve"> </w:t>
      </w:r>
      <w:r>
        <w:t xml:space="preserve">(</w:t>
      </w:r>
      <m:oMath>
        <m:sSub>
          <m:e>
            <m:r>
              <m:t>ρ</m:t>
            </m:r>
          </m:e>
          <m:sub>
            <m:r>
              <m:t>5</m:t>
            </m:r>
            <m:r>
              <m:rPr>
                <m:nor/>
                <m:sty m:val="p"/>
              </m:rPr>
              <m:t>km</m:t>
            </m:r>
          </m:sub>
        </m:sSub>
      </m:oMath>
      <w:r>
        <w:t xml:space="preserve">),</w:t>
      </w:r>
      <w:r>
        <w:t xml:space="preserve"> </w:t>
      </w:r>
      <m:oMath>
        <m:r>
          <m:t>R</m:t>
        </m:r>
        <m:r>
          <m:rPr>
            <m:sty m:val="p"/>
          </m:rPr>
          <m:t>=</m:t>
        </m:r>
        <m:r>
          <m:t>10</m:t>
        </m:r>
        <m:r>
          <m:rPr>
            <m:nor/>
            <m:sty m:val="p"/>
          </m:rPr>
          <m:t> km</m:t>
        </m:r>
      </m:oMath>
      <w:r>
        <w:t xml:space="preserve"> </w:t>
      </w:r>
      <w:r>
        <w:t xml:space="preserve">(</w:t>
      </w:r>
      <m:oMath>
        <m:sSub>
          <m:e>
            <m:r>
              <m:t>ρ</m:t>
            </m:r>
          </m:e>
          <m:sub>
            <m:r>
              <m:t>10</m:t>
            </m:r>
            <m:r>
              <m:rPr>
                <m:nor/>
                <m:sty m:val="p"/>
              </m:rPr>
              <m:t>km</m:t>
            </m:r>
          </m:sub>
        </m:sSub>
      </m:oMath>
      <w:r>
        <w:t xml:space="preserve">), recurrencia puntual en celda de</w:t>
      </w:r>
      <w:r>
        <w:t xml:space="preserve"> </w:t>
      </w:r>
      <m:oMath>
        <m:r>
          <m:t>1</m:t>
        </m:r>
        <m:sSup>
          <m:e>
            <m:r>
              <m:rPr>
                <m:nor/>
                <m:sty m:val="p"/>
              </m:rPr>
              <m:t> km</m:t>
            </m:r>
          </m:e>
          <m:sup>
            <m:r>
              <m:t>2</m:t>
            </m:r>
          </m:sup>
        </m:sSup>
      </m:oMath>
      <w:r>
        <w:t xml:space="preserve"> </w:t>
      </w:r>
      <w:r>
        <w:t xml:space="preserve">(</w:t>
      </w:r>
      <m:oMath>
        <m:sSub>
          <m:e>
            <m:r>
              <m:t>f</m:t>
            </m:r>
          </m:e>
          <m:sub>
            <m:r>
              <m:t>1</m:t>
            </m:r>
            <m:r>
              <m:rPr>
                <m:nor/>
                <m:sty m:val="p"/>
              </m:rPr>
              <m:t>km</m:t>
            </m:r>
          </m:sub>
        </m:sSub>
      </m:oMath>
      <w:r>
        <w:t xml:space="preserve">) e índice de focalización espacial</w:t>
      </w:r>
      <w:r>
        <w:t xml:space="preserve"> </w:t>
      </w:r>
      <m:oMath>
        <m:sSub>
          <m:e>
            <m:r>
              <m:rPr>
                <m:sty m:val="p"/>
              </m:rPr>
              <m:t>Φ</m:t>
            </m:r>
          </m:e>
          <m:sub>
            <m:r>
              <m:t>i</m:t>
            </m:r>
          </m:sub>
        </m:sSub>
        <m:r>
          <m:rPr>
            <m:sty m:val="p"/>
          </m:rPr>
          <m:t>=</m:t>
        </m:r>
        <m:sSub>
          <m:e>
            <m:r>
              <m:t>ρ</m:t>
            </m:r>
          </m:e>
          <m:sub>
            <m:r>
              <m:t>5</m:t>
            </m:r>
            <m:r>
              <m:rPr>
                <m:nor/>
                <m:sty m:val="p"/>
              </m:rPr>
              <m:t>km</m:t>
            </m:r>
          </m:sub>
        </m:sSub>
        <m:r>
          <m:rPr>
            <m:sty m:val="p"/>
          </m:rPr>
          <m:t>/</m:t>
        </m:r>
        <m:r>
          <m:rPr>
            <m:sty m:val="p"/>
          </m:rPr>
          <m:t>(</m:t>
        </m:r>
        <m:sSub>
          <m:e>
            <m:r>
              <m:t>ρ</m:t>
            </m:r>
          </m:e>
          <m:sub>
            <m:r>
              <m:t>25</m:t>
            </m:r>
            <m:r>
              <m:rPr>
                <m:nor/>
                <m:sty m:val="p"/>
              </m:rPr>
              <m:t>km</m:t>
            </m:r>
          </m:sub>
        </m:sSub>
        <m:r>
          <m:rPr>
            <m:sty m:val="p"/>
          </m:rPr>
          <m:t>+</m:t>
        </m:r>
        <m:r>
          <m:t>1</m:t>
        </m:r>
        <m:r>
          <m:rPr>
            <m:sty m:val="p"/>
          </m:rPr>
          <m:t>)</m:t>
        </m:r>
      </m:oMath>
      <w:r>
        <w:t xml:space="preserve">.</w:t>
      </w:r>
    </w:p>
    <w:p>
      <w:pPr>
        <w:pStyle w:val="Compact"/>
        <w:numPr>
          <w:ilvl w:val="1"/>
          <w:numId w:val="1012"/>
        </w:numPr>
      </w:pPr>
      <w:r>
        <w:rPr>
          <w:i/>
          <w:iCs/>
        </w:rPr>
        <w:t xml:space="preserve">Ciclo agroganadero armónico y ventana de renovación de pasturas</w:t>
      </w:r>
      <w:r>
        <w:t xml:space="preserve">: codificación trigonométrica continua del día del año (</w:t>
      </w:r>
      <m:oMath>
        <m:r>
          <m:rPr>
            <m:sty m:val="p"/>
          </m:rPr>
          <m:t>sin</m:t>
        </m:r>
        <m:r>
          <m:rPr>
            <m:sty m:val="p"/>
          </m:rPr>
          <m:t>(</m:t>
        </m:r>
        <m:r>
          <m:t>2</m:t>
        </m:r>
        <m:r>
          <m:t>π</m:t>
        </m:r>
        <m:r>
          <m:rPr>
            <m:sty m:val="p"/>
          </m:rPr>
          <m:t>⋅</m:t>
        </m:r>
        <m:r>
          <m:rPr>
            <m:nor/>
            <m:sty m:val="p"/>
          </m:rPr>
          <m:t>DOY</m:t>
        </m:r>
        <m:r>
          <m:rPr>
            <m:sty m:val="p"/>
          </m:rPr>
          <m:t>/</m:t>
        </m:r>
        <m:r>
          <m:t>365</m:t>
        </m:r>
        <m:r>
          <m:rPr>
            <m:sty m:val="p"/>
          </m:rPr>
          <m:t>,</m:t>
        </m:r>
        <m:r>
          <m:t>25</m:t>
        </m:r>
        <m:r>
          <m:rPr>
            <m:sty m:val="p"/>
          </m:rPr>
          <m:t>)</m:t>
        </m:r>
      </m:oMath>
      <w:r>
        <w:t xml:space="preserve">,</w:t>
      </w:r>
      <w:r>
        <w:t xml:space="preserve"> </w:t>
      </w:r>
      <m:oMath>
        <m:r>
          <m:rPr>
            <m:sty m:val="p"/>
          </m:rPr>
          <m:t>cos</m:t>
        </m:r>
        <m:r>
          <m:rPr>
            <m:sty m:val="p"/>
          </m:rPr>
          <m:t>(</m:t>
        </m:r>
        <m:r>
          <m:t>2</m:t>
        </m:r>
        <m:r>
          <m:t>π</m:t>
        </m:r>
        <m:r>
          <m:rPr>
            <m:sty m:val="p"/>
          </m:rPr>
          <m:t>⋅</m:t>
        </m:r>
        <m:r>
          <m:rPr>
            <m:nor/>
            <m:sty m:val="p"/>
          </m:rPr>
          <m:t>DOY</m:t>
        </m:r>
        <m:r>
          <m:rPr>
            <m:sty m:val="p"/>
          </m:rPr>
          <m:t>/</m:t>
        </m:r>
        <m:r>
          <m:t>365</m:t>
        </m:r>
        <m:r>
          <m:rPr>
            <m:sty m:val="p"/>
          </m:rPr>
          <m:t>,</m:t>
        </m:r>
        <m:r>
          <m:t>25</m:t>
        </m:r>
        <m:r>
          <m:rPr>
            <m:sty m:val="p"/>
          </m:rPr>
          <m:t>)</m:t>
        </m:r>
      </m:oMath>
      <w:r>
        <w:t xml:space="preserve">) e indicador estacional de quema prescrita/desmonte (</w:t>
      </w:r>
      <m:oMath>
        <m:sSub>
          <m:e>
            <m:r>
              <m:rPr>
                <m:scr m:val="double-struck"/>
                <m:sty m:val="p"/>
              </m:rPr>
              <m:t>I</m:t>
            </m:r>
          </m:e>
          <m:sub>
            <m:r>
              <m:rPr>
                <m:nor/>
                <m:sty m:val="p"/>
              </m:rPr>
              <m:t>Ago–Oct</m:t>
            </m:r>
          </m:sub>
        </m:sSub>
      </m:oMath>
      <w:r>
        <w:t xml:space="preserve">).</w:t>
      </w:r>
    </w:p>
    <w:p>
      <w:pPr>
        <w:pStyle w:val="Compact"/>
        <w:numPr>
          <w:ilvl w:val="1"/>
          <w:numId w:val="1012"/>
        </w:numPr>
      </w:pPr>
      <w:r>
        <w:rPr>
          <w:i/>
          <w:iCs/>
        </w:rPr>
        <w:t xml:space="preserve">Acoplamiento multiplicativo humano-biofísico</w:t>
      </w:r>
      <w:r>
        <w:t xml:space="preserve">: índice de presión de quema en pasturas (</w:t>
      </w:r>
      <m:oMath>
        <m:sSub>
          <m:e>
            <m:r>
              <m:rPr>
                <m:sty m:val="p"/>
              </m:rPr>
              <m:t>Ψ</m:t>
            </m:r>
          </m:e>
          <m:sub>
            <m:r>
              <m:rPr>
                <m:nor/>
                <m:sty m:val="p"/>
              </m:rPr>
              <m:t>pastura</m:t>
            </m:r>
          </m:sub>
        </m:sSub>
        <m:r>
          <m:rPr>
            <m:sty m:val="p"/>
          </m:rPr>
          <m:t>=</m:t>
        </m:r>
        <m:sSub>
          <m:e>
            <m:r>
              <m:t>p</m:t>
            </m:r>
          </m:e>
          <m:sub>
            <m:r>
              <m:rPr>
                <m:nor/>
                <m:sty m:val="p"/>
              </m:rPr>
              <m:t>pastura</m:t>
            </m:r>
          </m:sub>
        </m:sSub>
        <m:r>
          <m:rPr>
            <m:sty m:val="p"/>
          </m:rPr>
          <m:t>⋅</m:t>
        </m:r>
        <m:r>
          <m:t>V</m:t>
        </m:r>
        <m:r>
          <m:t>P</m:t>
        </m:r>
        <m:r>
          <m:t>D</m:t>
        </m:r>
        <m:r>
          <m:rPr>
            <m:sty m:val="p"/>
          </m:rPr>
          <m:t>⋅</m:t>
        </m:r>
        <m:sSub>
          <m:e>
            <m:r>
              <m:t>w</m:t>
            </m:r>
          </m:e>
          <m:sub>
            <m:r>
              <m:rPr>
                <m:nor/>
                <m:sty m:val="p"/>
              </m:rPr>
              <m:t>mes</m:t>
            </m:r>
          </m:sub>
        </m:sSub>
      </m:oMath>
      <w:r>
        <w:t xml:space="preserve">) y sinergia exponencial de accesibilidad por desecación atmosférica (</w:t>
      </w:r>
      <m:oMath>
        <m:sSub>
          <m:e>
            <m:r>
              <m:rPr>
                <m:sty m:val="p"/>
              </m:rPr>
              <m:t>Ω</m:t>
            </m:r>
          </m:e>
          <m:sub>
            <m:r>
              <m:rPr>
                <m:nor/>
                <m:sty m:val="p"/>
              </m:rPr>
              <m:t>acceso</m:t>
            </m:r>
          </m:sub>
        </m:sSub>
        <m:r>
          <m:rPr>
            <m:sty m:val="p"/>
          </m:rPr>
          <m:t>=</m:t>
        </m:r>
        <m:r>
          <m:rPr>
            <m:sty m:val="p"/>
          </m:rPr>
          <m:t>exp</m:t>
        </m:r>
        <m:r>
          <m:rPr>
            <m:sty m:val="p"/>
          </m:rPr>
          <m:t>(</m:t>
        </m:r>
        <m:r>
          <m:rPr>
            <m:sty m:val="p"/>
          </m:rPr>
          <m:t>−</m:t>
        </m:r>
        <m:sSub>
          <m:e>
            <m:r>
              <m:t>d</m:t>
            </m:r>
          </m:e>
          <m:sub>
            <m:r>
              <m:rPr>
                <m:nor/>
                <m:sty m:val="p"/>
              </m:rPr>
              <m:t>hist</m:t>
            </m:r>
          </m:sub>
        </m:sSub>
        <m:r>
          <m:rPr>
            <m:sty m:val="p"/>
          </m:rPr>
          <m:t>/</m:t>
        </m:r>
        <m:r>
          <m:t>5</m:t>
        </m:r>
        <m:r>
          <m:rPr>
            <m:sty m:val="p"/>
          </m:rPr>
          <m:t>)</m:t>
        </m:r>
        <m:r>
          <m:rPr>
            <m:sty m:val="p"/>
          </m:rPr>
          <m:t>⋅</m:t>
        </m:r>
        <m:r>
          <m:t>V</m:t>
        </m:r>
        <m:r>
          <m:t>P</m:t>
        </m:r>
        <m:r>
          <m:t>D</m:t>
        </m:r>
      </m:oMath>
      <w:r>
        <w:t xml:space="preserve">).</w:t>
      </w:r>
    </w:p>
    <w:p>
      <w:pPr>
        <w:pStyle w:val="FirstParagraph"/>
      </w:pPr>
      <w:r>
        <w:t xml:space="preserve">La</w:t>
      </w:r>
      <w:r>
        <w:t xml:space="preserve"> </w:t>
      </w:r>
      <w:hyperlink w:anchor="tbl-ablacion">
        <w:r>
          <w:rPr>
            <w:rStyle w:val="Hyperlink"/>
          </w:rPr>
          <w:t xml:space="preserve">Tabla 6</w:t>
        </w:r>
      </w:hyperlink>
      <w:r>
        <w:t xml:space="preserve"> </w:t>
      </w:r>
      <w:r>
        <w:t xml:space="preserve">reporta el contraste estadístico completo entre los tres niveles de ablación y los sistemas internacionales de referencia.</w:t>
      </w:r>
    </w:p>
    <w:tbl>
      <w:tblPr>
        <w:tblStyle w:val="Table"/>
        <w:tblW w:type="pct" w:w="5000"/>
        <w:tblLayout w:type="fixed"/>
        <w:tblLook w:firstRow="0" w:lastRow="0" w:firstColumn="0" w:lastColumn="0" w:noHBand="0" w:noVBand="0" w:val="0000"/>
      </w:tblPr>
      <w:tblGrid>
        <w:gridCol w:w="7920"/>
      </w:tblGrid>
      <w:tr>
        <w:tc>
          <w:tcPr/>
          <w:bookmarkStart w:id="61" w:name="tbl-ablacion"/>
          <w:p>
            <w:pPr>
              <w:jc w:val="center"/>
            </w:pPr>
            <w:pPr>
              <w:jc w:val="left"/>
              <w:spacing w:before="200"/>
              <w:pStyle w:val="ImageCaption"/>
            </w:pPr>
            <w:r>
              <w:t xml:space="preserve">Tabla 6: Ablación controlada: M1, M2-v1 y M3 usan la misma capacidad (45/60 rounds, 23/31 hojas); M2-v1 es un reentrenamiento controlado distinto del M2 operativo de la</w:t>
            </w:r>
            <w:r>
              <w:t xml:space="preserve"> </w:t>
            </w:r>
            <w:hyperlink w:anchor="tbl-metricas">
              <w:r>
                <w:rPr>
                  <w:rStyle w:val="Hyperlink"/>
                </w:rPr>
                <w:t xml:space="preserve">Tabla 3</w:t>
              </w:r>
            </w:hyperlink>
            <w:r>
              <w:t xml:space="preserve">. El M3 de la ablación se reentrenó con esa capacidad y puede diferir marginalmente en IC y falsos positivos respecto a la</w:t>
            </w:r>
            <w:r>
              <w:t xml:space="preserve"> </w:t>
            </w:r>
            <w:hyperlink w:anchor="tbl-metricas">
              <w:r>
                <w:rPr>
                  <w:rStyle w:val="Hyperlink"/>
                </w:rPr>
                <w:t xml:space="preserve">Tabla 3</w:t>
              </w:r>
            </w:hyperlink>
            <w:r>
              <w:t xml:space="preserve">. Precisión/recall/F0.5/FPs son case-control (~9,09 %); no son operativos poblacionales. FWI/INPE no son probabilidades calibradas.</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jc w:val="center"/>
                  </w:pPr>
                  <w:r>
                    <w:t xml:space="preserve">Macro-Región</w:t>
                  </w:r>
                </w:p>
              </w:tc>
              <w:tc>
                <w:tcPr/>
                <w:p>
                  <w:pPr>
                    <w:pStyle w:val="Compact"/>
                    <w:jc w:val="left"/>
                    <w:jc w:val="center"/>
                  </w:pPr>
                  <w:r>
                    <w:t xml:space="preserve">Arquitectura Evaluada</w:t>
                  </w:r>
                </w:p>
              </w:tc>
              <w:tc>
                <w:tcPr/>
                <w:p>
                  <w:pPr>
                    <w:pStyle w:val="Compact"/>
                    <w:jc w:val="left"/>
                    <w:jc w:val="center"/>
                  </w:pPr>
                  <m:oMath>
                    <m:r>
                      <m:t>K</m:t>
                    </m:r>
                  </m:oMath>
                  <w:r>
                    <w:t xml:space="preserve"> </w:t>
                  </w:r>
                  <w:r>
                    <w:t xml:space="preserve">Vars</w:t>
                  </w:r>
                </w:p>
              </w:tc>
              <w:tc>
                <w:tcPr/>
                <w:p>
                  <w:pPr>
                    <w:pStyle w:val="Compact"/>
                    <w:jc w:val="left"/>
                    <w:jc w:val="center"/>
                  </w:pPr>
                  <w:r>
                    <w:t xml:space="preserve">ROC-AUC [IC 95 %]</w:t>
                  </w:r>
                </w:p>
              </w:tc>
              <w:tc>
                <w:tcPr/>
                <w:p>
                  <w:pPr>
                    <w:pStyle w:val="Compact"/>
                    <w:jc w:val="left"/>
                    <w:jc w:val="center"/>
                  </w:pPr>
                  <w:r>
                    <w:t xml:space="preserve">PR-AUC</w:t>
                  </w:r>
                </w:p>
              </w:tc>
              <w:tc>
                <w:tcPr/>
                <w:p>
                  <w:pPr>
                    <w:pStyle w:val="Compact"/>
                    <w:jc w:val="left"/>
                    <w:jc w:val="center"/>
                  </w:pPr>
                  <w:r>
                    <w:t xml:space="preserve">Brier Score</w:t>
                  </w:r>
                </w:p>
              </w:tc>
              <w:tc>
                <w:tcPr/>
                <w:p>
                  <w:pPr>
                    <w:pStyle w:val="Compact"/>
                    <w:jc w:val="left"/>
                    <w:jc w:val="center"/>
                  </w:pPr>
                  <w:r>
                    <w:t xml:space="preserve">BSS</w:t>
                  </w:r>
                </w:p>
              </w:tc>
              <w:tc>
                <w:tcPr/>
                <w:p>
                  <w:pPr>
                    <w:pStyle w:val="Compact"/>
                    <w:jc w:val="left"/>
                    <w:jc w:val="center"/>
                  </w:pPr>
                  <w:r>
                    <w:t xml:space="preserve">ECE</w:t>
                  </w:r>
                </w:p>
              </w:tc>
              <w:tc>
                <w:tcPr/>
                <w:p>
                  <w:pPr>
                    <w:pStyle w:val="Compact"/>
                    <w:jc w:val="left"/>
                    <w:jc w:val="center"/>
                  </w:pPr>
                  <w:r>
                    <w:t xml:space="preserve">Precisión (</w:t>
                  </w:r>
                  <m:oMath>
                    <m:sSub>
                      <m:e>
                        <m:r>
                          <m:t>F</m:t>
                        </m:r>
                      </m:e>
                      <m:sub>
                        <m:r>
                          <m:t>0.5</m:t>
                        </m:r>
                      </m:sub>
                    </m:sSub>
                  </m:oMath>
                  <w:r>
                    <w:t xml:space="preserve">)</w:t>
                  </w:r>
                </w:p>
              </w:tc>
              <w:tc>
                <w:tcPr/>
                <w:p>
                  <w:pPr>
                    <w:pStyle w:val="Compact"/>
                    <w:jc w:val="left"/>
                    <w:jc w:val="center"/>
                  </w:pPr>
                  <w:r>
                    <w:t xml:space="preserve">Recall (%)</w:t>
                  </w:r>
                </w:p>
              </w:tc>
              <w:tc>
                <w:tcPr/>
                <w:p>
                  <w:pPr>
                    <w:pStyle w:val="Compact"/>
                    <w:jc w:val="left"/>
                    <w:jc w:val="center"/>
                  </w:pPr>
                  <w:r>
                    <w:t xml:space="preserve">Falsos Positivos</w:t>
                  </w:r>
                </w:p>
              </w:tc>
            </w:tr>
            <w:tr>
              <w:tc>
                <w:tcPr/>
                <w:p>
                  <w:pPr>
                    <w:pStyle w:val="Compact"/>
                    <w:jc w:val="left"/>
                    <w:jc w:val="center"/>
                  </w:pPr>
                  <w:r>
                    <w:t xml:space="preserve">Chaco</w:t>
                  </w:r>
                </w:p>
              </w:tc>
              <w:tc>
                <w:tcPr/>
                <w:p>
                  <w:pPr>
                    <w:pStyle w:val="Compact"/>
                    <w:jc w:val="left"/>
                    <w:jc w:val="center"/>
                  </w:pPr>
                  <w:r>
                    <w:t xml:space="preserve">M3: Híbrido Socio-Ecológico Multiescala</w:t>
                  </w:r>
                </w:p>
              </w:tc>
              <w:tc>
                <w:tcPr/>
                <w:p>
                  <w:pPr>
                    <w:pStyle w:val="Compact"/>
                    <w:jc w:val="left"/>
                    <w:jc w:val="center"/>
                  </w:pPr>
                  <w:r>
                    <w:t xml:space="preserve">33</w:t>
                  </w:r>
                </w:p>
              </w:tc>
              <w:tc>
                <w:tcPr/>
                <w:p>
                  <w:pPr>
                    <w:pStyle w:val="Compact"/>
                    <w:jc w:val="left"/>
                    <w:jc w:val="center"/>
                  </w:pPr>
                  <w:r>
                    <w:t xml:space="preserve">0.7851 [0.780 - 0.791]</w:t>
                  </w:r>
                </w:p>
              </w:tc>
              <w:tc>
                <w:tcPr/>
                <w:p>
                  <w:pPr>
                    <w:pStyle w:val="Compact"/>
                    <w:jc w:val="left"/>
                    <w:jc w:val="center"/>
                  </w:pPr>
                  <w:r>
                    <w:t xml:space="preserve">0.2410</w:t>
                  </w:r>
                </w:p>
              </w:tc>
              <w:tc>
                <w:tcPr/>
                <w:p>
                  <w:pPr>
                    <w:pStyle w:val="Compact"/>
                    <w:jc w:val="left"/>
                    <w:jc w:val="center"/>
                  </w:pPr>
                  <w:r>
                    <w:t xml:space="preserve">0.0752</w:t>
                  </w:r>
                </w:p>
              </w:tc>
              <w:tc>
                <w:tcPr/>
                <w:p>
                  <w:pPr>
                    <w:pStyle w:val="Compact"/>
                    <w:jc w:val="left"/>
                    <w:jc w:val="center"/>
                  </w:pPr>
                  <w:r>
                    <w:t xml:space="preserve">0.0896</w:t>
                  </w:r>
                </w:p>
              </w:tc>
              <w:tc>
                <w:tcPr/>
                <w:p>
                  <w:pPr>
                    <w:pStyle w:val="Compact"/>
                    <w:jc w:val="left"/>
                    <w:jc w:val="center"/>
                  </w:pPr>
                  <w:r>
                    <w:t xml:space="preserve">0.0110</w:t>
                  </w:r>
                </w:p>
              </w:tc>
              <w:tc>
                <w:tcPr/>
                <w:p>
                  <w:pPr>
                    <w:pStyle w:val="Compact"/>
                    <w:jc w:val="left"/>
                    <w:jc w:val="center"/>
                  </w:pPr>
                  <w:r>
                    <w:t xml:space="preserve">27.54</w:t>
                  </w:r>
                </w:p>
              </w:tc>
              <w:tc>
                <w:tcPr/>
                <w:p>
                  <w:pPr>
                    <w:pStyle w:val="Compact"/>
                    <w:jc w:val="left"/>
                    <w:jc w:val="center"/>
                  </w:pPr>
                  <w:r>
                    <w:t xml:space="preserve">30.80</w:t>
                  </w:r>
                </w:p>
              </w:tc>
              <w:tc>
                <w:tcPr/>
                <w:p>
                  <w:pPr>
                    <w:pStyle w:val="Compact"/>
                    <w:jc w:val="left"/>
                    <w:jc w:val="center"/>
                  </w:pPr>
                  <w:r>
                    <w:t xml:space="preserve">13,016</w:t>
                  </w:r>
                </w:p>
              </w:tc>
            </w:tr>
            <w:tr>
              <w:tc>
                <w:tcPr/>
                <w:p>
                  <w:pPr>
                    <w:pStyle w:val="Compact"/>
                    <w:jc w:val="left"/>
                    <w:jc w:val="center"/>
                  </w:pPr>
                  <w:r>
                    <w:t xml:space="preserve">Chaco</w:t>
                  </w:r>
                </w:p>
              </w:tc>
              <w:tc>
                <w:tcPr/>
                <w:p>
                  <w:pPr>
                    <w:pStyle w:val="Compact"/>
                    <w:jc w:val="left"/>
                    <w:jc w:val="center"/>
                  </w:pPr>
                  <w:r>
                    <w:t xml:space="preserve">M2: Ignición con Ancla Macro (v1)</w:t>
                  </w:r>
                </w:p>
              </w:tc>
              <w:tc>
                <w:tcPr/>
                <w:p>
                  <w:pPr>
                    <w:pStyle w:val="Compact"/>
                    <w:jc w:val="left"/>
                    <w:jc w:val="center"/>
                  </w:pPr>
                  <w:r>
                    <w:t xml:space="preserve">24</w:t>
                  </w:r>
                </w:p>
              </w:tc>
              <w:tc>
                <w:tcPr/>
                <w:p>
                  <w:pPr>
                    <w:pStyle w:val="Compact"/>
                    <w:jc w:val="left"/>
                    <w:jc w:val="center"/>
                  </w:pPr>
                  <w:r>
                    <w:t xml:space="preserve">0.7751 [0.769 - 0.781]</w:t>
                  </w:r>
                </w:p>
              </w:tc>
              <w:tc>
                <w:tcPr/>
                <w:p>
                  <w:pPr>
                    <w:pStyle w:val="Compact"/>
                    <w:jc w:val="left"/>
                    <w:jc w:val="center"/>
                  </w:pPr>
                  <w:r>
                    <w:t xml:space="preserve">0.2219</w:t>
                  </w:r>
                </w:p>
              </w:tc>
              <w:tc>
                <w:tcPr/>
                <w:p>
                  <w:pPr>
                    <w:pStyle w:val="Compact"/>
                    <w:jc w:val="left"/>
                    <w:jc w:val="center"/>
                  </w:pPr>
                  <w:r>
                    <w:t xml:space="preserve">0.0761</w:t>
                  </w:r>
                </w:p>
              </w:tc>
              <w:tc>
                <w:tcPr/>
                <w:p>
                  <w:pPr>
                    <w:pStyle w:val="Compact"/>
                    <w:jc w:val="left"/>
                    <w:jc w:val="center"/>
                  </w:pPr>
                  <w:r>
                    <w:t xml:space="preserve">0.0787</w:t>
                  </w:r>
                </w:p>
              </w:tc>
              <w:tc>
                <w:tcPr/>
                <w:p>
                  <w:pPr>
                    <w:pStyle w:val="Compact"/>
                    <w:jc w:val="left"/>
                    <w:jc w:val="center"/>
                  </w:pPr>
                  <w:r>
                    <w:t xml:space="preserve">0.0110</w:t>
                  </w:r>
                </w:p>
              </w:tc>
              <w:tc>
                <w:tcPr/>
                <w:p>
                  <w:pPr>
                    <w:pStyle w:val="Compact"/>
                    <w:jc w:val="left"/>
                    <w:jc w:val="center"/>
                  </w:pPr>
                  <w:r>
                    <w:t xml:space="preserve">23.27</w:t>
                  </w:r>
                </w:p>
              </w:tc>
              <w:tc>
                <w:tcPr/>
                <w:p>
                  <w:pPr>
                    <w:pStyle w:val="Compact"/>
                    <w:jc w:val="left"/>
                    <w:jc w:val="center"/>
                  </w:pPr>
                  <w:r>
                    <w:t xml:space="preserve">39.26</w:t>
                  </w:r>
                </w:p>
              </w:tc>
              <w:tc>
                <w:tcPr/>
                <w:p>
                  <w:pPr>
                    <w:pStyle w:val="Compact"/>
                    <w:jc w:val="left"/>
                    <w:jc w:val="center"/>
                  </w:pPr>
                  <w:r>
                    <w:t xml:space="preserve">20,787</w:t>
                  </w:r>
                </w:p>
              </w:tc>
            </w:tr>
            <w:tr>
              <w:tc>
                <w:tcPr/>
                <w:p>
                  <w:pPr>
                    <w:pStyle w:val="Compact"/>
                    <w:jc w:val="left"/>
                    <w:jc w:val="center"/>
                  </w:pPr>
                  <w:r>
                    <w:t xml:space="preserve">Chaco</w:t>
                  </w:r>
                </w:p>
              </w:tc>
              <w:tc>
                <w:tcPr/>
                <w:p>
                  <w:pPr>
                    <w:pStyle w:val="Compact"/>
                    <w:jc w:val="left"/>
                    <w:jc w:val="center"/>
                  </w:pPr>
                  <w:r>
                    <w:t xml:space="preserve">M1: Biofísico Puro (Sin Antrópico)</w:t>
                  </w:r>
                </w:p>
              </w:tc>
              <w:tc>
                <w:tcPr/>
                <w:p>
                  <w:pPr>
                    <w:pStyle w:val="Compact"/>
                    <w:jc w:val="left"/>
                    <w:jc w:val="center"/>
                  </w:pPr>
                  <w:r>
                    <w:t xml:space="preserve">17</w:t>
                  </w:r>
                </w:p>
              </w:tc>
              <w:tc>
                <w:tcPr/>
                <w:p>
                  <w:pPr>
                    <w:pStyle w:val="Compact"/>
                    <w:jc w:val="left"/>
                    <w:jc w:val="center"/>
                  </w:pPr>
                  <w:r>
                    <w:t xml:space="preserve">0.6287 [0.622 - 0.636]</w:t>
                  </w:r>
                </w:p>
              </w:tc>
              <w:tc>
                <w:tcPr/>
                <w:p>
                  <w:pPr>
                    <w:pStyle w:val="Compact"/>
                    <w:jc w:val="left"/>
                    <w:jc w:val="center"/>
                  </w:pPr>
                  <w:r>
                    <w:t xml:space="preserve">0.1515</w:t>
                  </w:r>
                </w:p>
              </w:tc>
              <w:tc>
                <w:tcPr/>
                <w:p>
                  <w:pPr>
                    <w:pStyle w:val="Compact"/>
                    <w:jc w:val="left"/>
                    <w:jc w:val="center"/>
                  </w:pPr>
                  <w:r>
                    <w:t xml:space="preserve">0.0809</w:t>
                  </w:r>
                </w:p>
              </w:tc>
              <w:tc>
                <w:tcPr/>
                <w:p>
                  <w:pPr>
                    <w:pStyle w:val="Compact"/>
                    <w:jc w:val="left"/>
                    <w:jc w:val="center"/>
                  </w:pPr>
                  <w:r>
                    <w:t xml:space="preserve">0.0207</w:t>
                  </w:r>
                </w:p>
              </w:tc>
              <w:tc>
                <w:tcPr/>
                <w:p>
                  <w:pPr>
                    <w:pStyle w:val="Compact"/>
                    <w:jc w:val="left"/>
                    <w:jc w:val="center"/>
                  </w:pPr>
                  <w:r>
                    <w:t xml:space="preserve">0.0106</w:t>
                  </w:r>
                </w:p>
              </w:tc>
              <w:tc>
                <w:tcPr/>
                <w:p>
                  <w:pPr>
                    <w:pStyle w:val="Compact"/>
                    <w:jc w:val="left"/>
                    <w:jc w:val="center"/>
                  </w:pPr>
                  <w:r>
                    <w:t xml:space="preserve">16.86</w:t>
                  </w:r>
                </w:p>
              </w:tc>
              <w:tc>
                <w:tcPr/>
                <w:p>
                  <w:pPr>
                    <w:pStyle w:val="Compact"/>
                    <w:jc w:val="left"/>
                    <w:jc w:val="center"/>
                  </w:pPr>
                  <w:r>
                    <w:t xml:space="preserve">17.38</w:t>
                  </w:r>
                </w:p>
              </w:tc>
              <w:tc>
                <w:tcPr/>
                <w:p>
                  <w:pPr>
                    <w:pStyle w:val="Compact"/>
                    <w:jc w:val="left"/>
                    <w:jc w:val="center"/>
                  </w:pPr>
                  <w:r>
                    <w:t xml:space="preserve">13,765</w:t>
                  </w:r>
                </w:p>
              </w:tc>
            </w:tr>
            <w:tr>
              <w:tc>
                <w:tcPr/>
                <w:p>
                  <w:pPr>
                    <w:pStyle w:val="Compact"/>
                    <w:jc w:val="left"/>
                    <w:jc w:val="center"/>
                  </w:pPr>
                  <w:r>
                    <w:t xml:space="preserve">Chaco</w:t>
                  </w:r>
                </w:p>
              </w:tc>
              <w:tc>
                <w:tcPr/>
                <w:p>
                  <w:pPr>
                    <w:pStyle w:val="Compact"/>
                    <w:jc w:val="left"/>
                    <w:jc w:val="center"/>
                  </w:pPr>
                  <w:r>
                    <w:t xml:space="preserve">Benchmark: Canadian FWI completo</w:t>
                  </w:r>
                </w:p>
              </w:tc>
              <w:tc>
                <w:tcPr/>
                <w:p>
                  <w:pPr>
                    <w:pStyle w:val="Compact"/>
                    <w:jc w:val="left"/>
                    <w:jc w:val="center"/>
                  </w:pPr>
                  <w:r>
                    <w:t xml:space="preserve">6</w:t>
                  </w:r>
                </w:p>
              </w:tc>
              <w:tc>
                <w:tcPr/>
                <w:p>
                  <w:pPr>
                    <w:pStyle w:val="Compact"/>
                    <w:jc w:val="left"/>
                    <w:jc w:val="center"/>
                  </w:pPr>
                  <w:r>
                    <w:t xml:space="preserve">0.5185 [0.513 - 0.524]</w:t>
                  </w:r>
                </w:p>
              </w:tc>
              <w:tc>
                <w:tcPr/>
                <w:p>
                  <w:pPr>
                    <w:pStyle w:val="Compact"/>
                    <w:jc w:val="left"/>
                    <w:jc w:val="center"/>
                  </w:pPr>
                  <w:r>
                    <w:t xml:space="preserve">0.0960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9.29</w:t>
                  </w:r>
                </w:p>
              </w:tc>
              <w:tc>
                <w:tcPr/>
                <w:p>
                  <w:pPr>
                    <w:pStyle w:val="Compact"/>
                    <w:jc w:val="left"/>
                    <w:jc w:val="center"/>
                  </w:pPr>
                  <w:r>
                    <w:t xml:space="preserve">96.08</w:t>
                  </w:r>
                </w:p>
              </w:tc>
              <w:tc>
                <w:tcPr/>
                <w:p>
                  <w:pPr>
                    <w:pStyle w:val="Compact"/>
                    <w:jc w:val="left"/>
                    <w:jc w:val="center"/>
                  </w:pPr>
                  <w:r>
                    <w:t xml:space="preserve">150,654</w:t>
                  </w:r>
                </w:p>
              </w:tc>
            </w:tr>
            <w:tr>
              <w:tc>
                <w:tcPr/>
                <w:p>
                  <w:pPr>
                    <w:pStyle w:val="Compact"/>
                    <w:jc w:val="left"/>
                    <w:jc w:val="center"/>
                  </w:pPr>
                  <w:r>
                    <w:t xml:space="preserve">Chaco</w:t>
                  </w:r>
                </w:p>
              </w:tc>
              <w:tc>
                <w:tcPr/>
                <w:p>
                  <w:pPr>
                    <w:pStyle w:val="Compact"/>
                    <w:jc w:val="left"/>
                    <w:jc w:val="center"/>
                  </w:pPr>
                  <w:r>
                    <w:t xml:space="preserve">Benchmark: INPE Risco de Fogo</w:t>
                  </w:r>
                </w:p>
              </w:tc>
              <w:tc>
                <w:tcPr/>
                <w:p>
                  <w:pPr>
                    <w:pStyle w:val="Compact"/>
                    <w:jc w:val="left"/>
                    <w:jc w:val="center"/>
                  </w:pPr>
                  <w:r>
                    <w:t xml:space="preserve">7</w:t>
                  </w:r>
                </w:p>
              </w:tc>
              <w:tc>
                <w:tcPr/>
                <w:p>
                  <w:pPr>
                    <w:pStyle w:val="Compact"/>
                    <w:jc w:val="left"/>
                    <w:jc w:val="center"/>
                  </w:pPr>
                  <w:r>
                    <w:t xml:space="preserve">0.5386 [0.527 - 0.548]</w:t>
                  </w:r>
                </w:p>
              </w:tc>
              <w:tc>
                <w:tcPr/>
                <w:p>
                  <w:pPr>
                    <w:pStyle w:val="Compact"/>
                    <w:jc w:val="left"/>
                    <w:jc w:val="center"/>
                  </w:pPr>
                  <w:r>
                    <w:t xml:space="preserve">0.1030</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11.60</w:t>
                  </w:r>
                </w:p>
              </w:tc>
              <w:tc>
                <w:tcPr/>
                <w:p>
                  <w:pPr>
                    <w:pStyle w:val="Compact"/>
                    <w:jc w:val="left"/>
                    <w:jc w:val="center"/>
                  </w:pPr>
                  <w:r>
                    <w:t xml:space="preserve">13.00</w:t>
                  </w:r>
                </w:p>
              </w:tc>
              <w:tc>
                <w:tcPr/>
                <w:p>
                  <w:pPr>
                    <w:pStyle w:val="Compact"/>
                    <w:jc w:val="left"/>
                    <w:jc w:val="center"/>
                  </w:pPr>
                  <w:r>
                    <w:t xml:space="preserve">15,910</w:t>
                  </w:r>
                </w:p>
              </w:tc>
            </w:tr>
            <w:tr>
              <w:tc>
                <w:tcPr/>
                <w:p>
                  <w:pPr>
                    <w:pStyle w:val="Compact"/>
                    <w:jc w:val="left"/>
                    <w:jc w:val="center"/>
                  </w:pPr>
                  <w:r>
                    <w:t xml:space="preserve">Oriental</w:t>
                  </w:r>
                </w:p>
              </w:tc>
              <w:tc>
                <w:tcPr/>
                <w:p>
                  <w:pPr>
                    <w:pStyle w:val="Compact"/>
                    <w:jc w:val="left"/>
                    <w:jc w:val="center"/>
                  </w:pPr>
                  <w:r>
                    <w:t xml:space="preserve">M3: Híbrido Socio-Ecológico Multiescala</w:t>
                  </w:r>
                </w:p>
              </w:tc>
              <w:tc>
                <w:tcPr/>
                <w:p>
                  <w:pPr>
                    <w:pStyle w:val="Compact"/>
                    <w:jc w:val="left"/>
                    <w:jc w:val="center"/>
                  </w:pPr>
                  <w:r>
                    <w:t xml:space="preserve">34</w:t>
                  </w:r>
                </w:p>
              </w:tc>
              <w:tc>
                <w:tcPr/>
                <w:p>
                  <w:pPr>
                    <w:pStyle w:val="Compact"/>
                    <w:jc w:val="left"/>
                    <w:jc w:val="center"/>
                  </w:pPr>
                  <w:r>
                    <w:t xml:space="preserve">0.7485 [0.742 - 0.754]</w:t>
                  </w:r>
                </w:p>
              </w:tc>
              <w:tc>
                <w:tcPr/>
                <w:p>
                  <w:pPr>
                    <w:pStyle w:val="Compact"/>
                    <w:jc w:val="left"/>
                    <w:jc w:val="center"/>
                  </w:pPr>
                  <w:r>
                    <w:t xml:space="preserve">0.2318</w:t>
                  </w:r>
                </w:p>
              </w:tc>
              <w:tc>
                <w:tcPr/>
                <w:p>
                  <w:pPr>
                    <w:pStyle w:val="Compact"/>
                    <w:jc w:val="left"/>
                    <w:jc w:val="center"/>
                  </w:pPr>
                  <w:r>
                    <w:t xml:space="preserve">0.0766</w:t>
                  </w:r>
                </w:p>
              </w:tc>
              <w:tc>
                <w:tcPr/>
                <w:p>
                  <w:pPr>
                    <w:pStyle w:val="Compact"/>
                    <w:jc w:val="left"/>
                    <w:jc w:val="center"/>
                  </w:pPr>
                  <w:r>
                    <w:t xml:space="preserve">0.0735</w:t>
                  </w:r>
                </w:p>
              </w:tc>
              <w:tc>
                <w:tcPr/>
                <w:p>
                  <w:pPr>
                    <w:pStyle w:val="Compact"/>
                    <w:jc w:val="left"/>
                    <w:jc w:val="center"/>
                  </w:pPr>
                  <w:r>
                    <w:t xml:space="preserve">0.0065</w:t>
                  </w:r>
                </w:p>
              </w:tc>
              <w:tc>
                <w:tcPr/>
                <w:p>
                  <w:pPr>
                    <w:pStyle w:val="Compact"/>
                    <w:jc w:val="left"/>
                    <w:jc w:val="center"/>
                  </w:pPr>
                  <w:r>
                    <w:t xml:space="preserve">29.67</w:t>
                  </w:r>
                </w:p>
              </w:tc>
              <w:tc>
                <w:tcPr/>
                <w:p>
                  <w:pPr>
                    <w:pStyle w:val="Compact"/>
                    <w:jc w:val="left"/>
                    <w:jc w:val="center"/>
                  </w:pPr>
                  <w:r>
                    <w:t xml:space="preserve">20.40</w:t>
                  </w:r>
                </w:p>
              </w:tc>
              <w:tc>
                <w:tcPr/>
                <w:p>
                  <w:pPr>
                    <w:pStyle w:val="Compact"/>
                    <w:jc w:val="left"/>
                    <w:jc w:val="center"/>
                  </w:pPr>
                  <w:r>
                    <w:t xml:space="preserve">8,789</w:t>
                  </w:r>
                </w:p>
              </w:tc>
            </w:tr>
            <w:tr>
              <w:tc>
                <w:tcPr/>
                <w:p>
                  <w:pPr>
                    <w:pStyle w:val="Compact"/>
                    <w:jc w:val="left"/>
                    <w:jc w:val="center"/>
                  </w:pPr>
                  <w:r>
                    <w:t xml:space="preserve">Oriental</w:t>
                  </w:r>
                </w:p>
              </w:tc>
              <w:tc>
                <w:tcPr/>
                <w:p>
                  <w:pPr>
                    <w:pStyle w:val="Compact"/>
                    <w:jc w:val="left"/>
                    <w:jc w:val="center"/>
                  </w:pPr>
                  <w:r>
                    <w:t xml:space="preserve">M2: Ignición con Ancla Macro (v1)</w:t>
                  </w:r>
                </w:p>
              </w:tc>
              <w:tc>
                <w:tcPr/>
                <w:p>
                  <w:pPr>
                    <w:pStyle w:val="Compact"/>
                    <w:jc w:val="left"/>
                    <w:jc w:val="center"/>
                  </w:pPr>
                  <w:r>
                    <w:t xml:space="preserve">24</w:t>
                  </w:r>
                </w:p>
              </w:tc>
              <w:tc>
                <w:tcPr/>
                <w:p>
                  <w:pPr>
                    <w:pStyle w:val="Compact"/>
                    <w:jc w:val="left"/>
                    <w:jc w:val="center"/>
                  </w:pPr>
                  <w:r>
                    <w:t xml:space="preserve">0.7340 [0.728 - 0.740]</w:t>
                  </w:r>
                </w:p>
              </w:tc>
              <w:tc>
                <w:tcPr/>
                <w:p>
                  <w:pPr>
                    <w:pStyle w:val="Compact"/>
                    <w:jc w:val="left"/>
                    <w:jc w:val="center"/>
                  </w:pPr>
                  <w:r>
                    <w:t xml:space="preserve">0.2044</w:t>
                  </w:r>
                </w:p>
              </w:tc>
              <w:tc>
                <w:tcPr/>
                <w:p>
                  <w:pPr>
                    <w:pStyle w:val="Compact"/>
                    <w:jc w:val="left"/>
                    <w:jc w:val="center"/>
                  </w:pPr>
                  <w:r>
                    <w:t xml:space="preserve">0.0778</w:t>
                  </w:r>
                </w:p>
              </w:tc>
              <w:tc>
                <w:tcPr/>
                <w:p>
                  <w:pPr>
                    <w:pStyle w:val="Compact"/>
                    <w:jc w:val="left"/>
                    <w:jc w:val="center"/>
                  </w:pPr>
                  <w:r>
                    <w:t xml:space="preserve">0.0592</w:t>
                  </w:r>
                </w:p>
              </w:tc>
              <w:tc>
                <w:tcPr/>
                <w:p>
                  <w:pPr>
                    <w:pStyle w:val="Compact"/>
                    <w:jc w:val="left"/>
                    <w:jc w:val="center"/>
                  </w:pPr>
                  <w:r>
                    <w:t xml:space="preserve">0.0053</w:t>
                  </w:r>
                </w:p>
              </w:tc>
              <w:tc>
                <w:tcPr/>
                <w:p>
                  <w:pPr>
                    <w:pStyle w:val="Compact"/>
                    <w:jc w:val="left"/>
                    <w:jc w:val="center"/>
                  </w:pPr>
                  <w:r>
                    <w:t xml:space="preserve">23.91</w:t>
                  </w:r>
                </w:p>
              </w:tc>
              <w:tc>
                <w:tcPr/>
                <w:p>
                  <w:pPr>
                    <w:pStyle w:val="Compact"/>
                    <w:jc w:val="left"/>
                    <w:jc w:val="center"/>
                  </w:pPr>
                  <w:r>
                    <w:t xml:space="preserve">24.24</w:t>
                  </w:r>
                </w:p>
              </w:tc>
              <w:tc>
                <w:tcPr/>
                <w:p>
                  <w:pPr>
                    <w:pStyle w:val="Compact"/>
                    <w:jc w:val="left"/>
                    <w:jc w:val="center"/>
                  </w:pPr>
                  <w:r>
                    <w:t xml:space="preserve">14,021</w:t>
                  </w:r>
                </w:p>
              </w:tc>
            </w:tr>
            <w:tr>
              <w:tc>
                <w:tcPr/>
                <w:p>
                  <w:pPr>
                    <w:pStyle w:val="Compact"/>
                    <w:jc w:val="left"/>
                    <w:jc w:val="center"/>
                  </w:pPr>
                  <w:r>
                    <w:t xml:space="preserve">Oriental</w:t>
                  </w:r>
                </w:p>
              </w:tc>
              <w:tc>
                <w:tcPr/>
                <w:p>
                  <w:pPr>
                    <w:pStyle w:val="Compact"/>
                    <w:jc w:val="left"/>
                    <w:jc w:val="center"/>
                  </w:pPr>
                  <w:r>
                    <w:t xml:space="preserve">M1: Biofísico Puro (Sin Antrópico)</w:t>
                  </w:r>
                </w:p>
              </w:tc>
              <w:tc>
                <w:tcPr/>
                <w:p>
                  <w:pPr>
                    <w:pStyle w:val="Compact"/>
                    <w:jc w:val="left"/>
                    <w:jc w:val="center"/>
                  </w:pPr>
                  <w:r>
                    <w:t xml:space="preserve">17</w:t>
                  </w:r>
                </w:p>
              </w:tc>
              <w:tc>
                <w:tcPr/>
                <w:p>
                  <w:pPr>
                    <w:pStyle w:val="Compact"/>
                    <w:jc w:val="left"/>
                    <w:jc w:val="center"/>
                  </w:pPr>
                  <w:r>
                    <w:t xml:space="preserve">0.6421 [0.634 - 0.650]</w:t>
                  </w:r>
                </w:p>
              </w:tc>
              <w:tc>
                <w:tcPr/>
                <w:p>
                  <w:pPr>
                    <w:pStyle w:val="Compact"/>
                    <w:jc w:val="left"/>
                    <w:jc w:val="center"/>
                  </w:pPr>
                  <w:r>
                    <w:t xml:space="preserve">0.1422</w:t>
                  </w:r>
                </w:p>
              </w:tc>
              <w:tc>
                <w:tcPr/>
                <w:p>
                  <w:pPr>
                    <w:pStyle w:val="Compact"/>
                    <w:jc w:val="left"/>
                    <w:jc w:val="center"/>
                  </w:pPr>
                  <w:r>
                    <w:t xml:space="preserve">0.0810</w:t>
                  </w:r>
                </w:p>
              </w:tc>
              <w:tc>
                <w:tcPr/>
                <w:p>
                  <w:pPr>
                    <w:pStyle w:val="Compact"/>
                    <w:jc w:val="left"/>
                    <w:jc w:val="center"/>
                  </w:pPr>
                  <w:r>
                    <w:t xml:space="preserve">0.0197</w:t>
                  </w:r>
                </w:p>
              </w:tc>
              <w:tc>
                <w:tcPr/>
                <w:p>
                  <w:pPr>
                    <w:pStyle w:val="Compact"/>
                    <w:jc w:val="left"/>
                    <w:jc w:val="center"/>
                  </w:pPr>
                  <w:r>
                    <w:t xml:space="preserve">0.0031</w:t>
                  </w:r>
                </w:p>
              </w:tc>
              <w:tc>
                <w:tcPr/>
                <w:p>
                  <w:pPr>
                    <w:pStyle w:val="Compact"/>
                    <w:jc w:val="left"/>
                    <w:jc w:val="center"/>
                  </w:pPr>
                  <w:r>
                    <w:t xml:space="preserve">16.46</w:t>
                  </w:r>
                </w:p>
              </w:tc>
              <w:tc>
                <w:tcPr/>
                <w:p>
                  <w:pPr>
                    <w:pStyle w:val="Compact"/>
                    <w:jc w:val="left"/>
                    <w:jc w:val="center"/>
                  </w:pPr>
                  <w:r>
                    <w:t xml:space="preserve">21.86</w:t>
                  </w:r>
                </w:p>
              </w:tc>
              <w:tc>
                <w:tcPr/>
                <w:p>
                  <w:pPr>
                    <w:pStyle w:val="Compact"/>
                    <w:jc w:val="left"/>
                    <w:jc w:val="center"/>
                  </w:pPr>
                  <w:r>
                    <w:t xml:space="preserve">20,165</w:t>
                  </w:r>
                </w:p>
              </w:tc>
            </w:tr>
            <w:tr>
              <w:tc>
                <w:tcPr/>
                <w:p>
                  <w:pPr>
                    <w:pStyle w:val="Compact"/>
                    <w:jc w:val="left"/>
                    <w:jc w:val="center"/>
                  </w:pPr>
                  <w:r>
                    <w:t xml:space="preserve">Oriental</w:t>
                  </w:r>
                </w:p>
              </w:tc>
              <w:tc>
                <w:tcPr/>
                <w:p>
                  <w:pPr>
                    <w:pStyle w:val="Compact"/>
                    <w:jc w:val="left"/>
                    <w:jc w:val="center"/>
                  </w:pPr>
                  <w:r>
                    <w:t xml:space="preserve">Benchmark: Canadian FWI completo</w:t>
                  </w:r>
                </w:p>
              </w:tc>
              <w:tc>
                <w:tcPr/>
                <w:p>
                  <w:pPr>
                    <w:pStyle w:val="Compact"/>
                    <w:jc w:val="left"/>
                    <w:jc w:val="center"/>
                  </w:pPr>
                  <w:r>
                    <w:t xml:space="preserve">6</w:t>
                  </w:r>
                </w:p>
              </w:tc>
              <w:tc>
                <w:tcPr/>
                <w:p>
                  <w:pPr>
                    <w:pStyle w:val="Compact"/>
                    <w:jc w:val="left"/>
                    <w:jc w:val="center"/>
                  </w:pPr>
                  <w:r>
                    <w:t xml:space="preserve">0.5569 [0.548 - 0.567]</w:t>
                  </w:r>
                </w:p>
              </w:tc>
              <w:tc>
                <w:tcPr/>
                <w:p>
                  <w:pPr>
                    <w:pStyle w:val="Compact"/>
                    <w:jc w:val="left"/>
                    <w:jc w:val="center"/>
                  </w:pPr>
                  <w:r>
                    <w:t xml:space="preserve">0.1063</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10.98</w:t>
                  </w:r>
                </w:p>
              </w:tc>
              <w:tc>
                <w:tcPr/>
                <w:p>
                  <w:pPr>
                    <w:pStyle w:val="Compact"/>
                    <w:jc w:val="left"/>
                    <w:jc w:val="center"/>
                  </w:pPr>
                  <w:r>
                    <w:t xml:space="preserve">35.74</w:t>
                  </w:r>
                </w:p>
              </w:tc>
              <w:tc>
                <w:tcPr/>
                <w:p>
                  <w:pPr>
                    <w:pStyle w:val="Compact"/>
                    <w:jc w:val="left"/>
                    <w:jc w:val="center"/>
                  </w:pPr>
                  <w:r>
                    <w:t xml:space="preserve">52,650</w:t>
                  </w:r>
                </w:p>
              </w:tc>
            </w:tr>
            <w:tr>
              <w:tc>
                <w:tcPr/>
                <w:p>
                  <w:pPr>
                    <w:pStyle w:val="Compact"/>
                    <w:jc w:val="left"/>
                    <w:jc w:val="center"/>
                  </w:pPr>
                  <w:r>
                    <w:t xml:space="preserve">Oriental</w:t>
                  </w:r>
                </w:p>
              </w:tc>
              <w:tc>
                <w:tcPr/>
                <w:p>
                  <w:pPr>
                    <w:pStyle w:val="Compact"/>
                    <w:jc w:val="left"/>
                    <w:jc w:val="center"/>
                  </w:pPr>
                  <w:r>
                    <w:t xml:space="preserve">Benchmark: INPE Risco de Fogo</w:t>
                  </w:r>
                </w:p>
              </w:tc>
              <w:tc>
                <w:tcPr/>
                <w:p>
                  <w:pPr>
                    <w:pStyle w:val="Compact"/>
                    <w:jc w:val="left"/>
                    <w:jc w:val="center"/>
                  </w:pPr>
                  <w:r>
                    <w:t xml:space="preserve">7</w:t>
                  </w:r>
                </w:p>
              </w:tc>
              <w:tc>
                <w:tcPr/>
                <w:p>
                  <w:pPr>
                    <w:pStyle w:val="Compact"/>
                    <w:jc w:val="left"/>
                    <w:jc w:val="center"/>
                  </w:pPr>
                  <w:r>
                    <w:t xml:space="preserve">0.4994 [0.489 - 0.509]</w:t>
                  </w:r>
                </w:p>
              </w:tc>
              <w:tc>
                <w:tcPr/>
                <w:p>
                  <w:pPr>
                    <w:pStyle w:val="Compact"/>
                    <w:jc w:val="left"/>
                    <w:jc w:val="center"/>
                  </w:pPr>
                  <w:r>
                    <w:t xml:space="preserve">0.0909</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w:t>
                  </w:r>
                </w:p>
              </w:tc>
              <w:tc>
                <w:tcPr/>
                <w:p>
                  <w:pPr>
                    <w:pStyle w:val="Compact"/>
                    <w:jc w:val="left"/>
                    <w:jc w:val="center"/>
                  </w:pPr>
                  <w:r>
                    <w:t xml:space="preserve">9.24</w:t>
                  </w:r>
                </w:p>
              </w:tc>
              <w:tc>
                <w:tcPr/>
                <w:p>
                  <w:pPr>
                    <w:pStyle w:val="Compact"/>
                    <w:jc w:val="left"/>
                    <w:jc w:val="center"/>
                  </w:pPr>
                  <w:r>
                    <w:t xml:space="preserve">79.79</w:t>
                  </w:r>
                </w:p>
              </w:tc>
              <w:tc>
                <w:tcPr/>
                <w:p>
                  <w:pPr>
                    <w:pStyle w:val="Compact"/>
                    <w:jc w:val="left"/>
                    <w:jc w:val="center"/>
                  </w:pPr>
                  <w:r>
                    <w:t xml:space="preserve">142,453</w:t>
                  </w:r>
                </w:p>
              </w:tc>
            </w:tr>
          </w:tbl>
          <w:bookmarkEnd w:id="61"/>
          <w:p/>
        </w:tc>
      </w:tr>
    </w:tbl>
    <w:p>
      <w:pPr>
        <w:pStyle w:val="BodyText"/>
      </w:pPr>
      <w:r>
        <w:t xml:space="preserve">Los resultados del experimento de ablación revelan tres hallazgos fundamentales para la ciencia del fuego en el Cono Sur:</w:t>
      </w:r>
    </w:p>
    <w:p>
      <w:pPr>
        <w:pStyle w:val="Compact"/>
        <w:numPr>
          <w:ilvl w:val="0"/>
          <w:numId w:val="1013"/>
        </w:numPr>
      </w:pPr>
      <w:r>
        <w:rPr>
          <w:b/>
          <w:bCs/>
        </w:rPr>
        <w:t xml:space="preserve">Superioridad del Aprendizaje Biofísico (</w:t>
      </w:r>
      <m:oMath>
        <m:sSub>
          <m:e>
            <m:r>
              <m:rPr>
                <m:scr m:val="script"/>
                <m:sty m:val="p"/>
              </m:rPr>
              <m:t>M</m:t>
            </m:r>
          </m:e>
          <m:sub>
            <m:r>
              <m:t>1</m:t>
            </m:r>
          </m:sub>
        </m:sSub>
      </m:oMath>
      <w:r>
        <w:rPr>
          <w:b/>
          <w:bCs/>
        </w:rPr>
        <w:t xml:space="preserve">) sobre Índices Empíricos Foráneos:</w:t>
      </w:r>
      <w:r>
        <w:t xml:space="preserve"> </w:t>
      </w:r>
      <w:r>
        <w:t xml:space="preserve">Aun desprovisto de toda información antrópica o geográfica, el modelo biofísico puro</w:t>
      </w:r>
      <w:r>
        <w:t xml:space="preserve"> </w:t>
      </w:r>
      <m:oMath>
        <m:sSub>
          <m:e>
            <m:r>
              <m:rPr>
                <m:scr m:val="script"/>
                <m:sty m:val="p"/>
              </m:rPr>
              <m:t>M</m:t>
            </m:r>
          </m:e>
          <m:sub>
            <m:r>
              <m:t>1</m:t>
            </m:r>
          </m:sub>
        </m:sSub>
      </m:oMath>
      <w:r>
        <w:t xml:space="preserve"> </w:t>
      </w:r>
      <w:r>
        <w:t xml:space="preserve">supera en discriminación al Canadian FWI y al INPE Risco de Fogo en el Gran Chaco (</w:t>
      </w:r>
      <m:oMath>
        <m:r>
          <m:rPr>
            <m:nor/>
            <m:sty m:val="p"/>
          </m:rPr>
          <m:t>ROC-AUC</m:t>
        </m:r>
        <m:r>
          <m:rPr>
            <m:sty m:val="p"/>
          </m:rPr>
          <m:t>=</m:t>
        </m:r>
        <m:r>
          <m:t>0</m:t>
        </m:r>
        <m:r>
          <m:rPr>
            <m:sty m:val="p"/>
          </m:rPr>
          <m:t>,</m:t>
        </m:r>
        <m:r>
          <m:t>6287</m:t>
        </m:r>
      </m:oMath>
      <w:r>
        <w:t xml:space="preserve"> </w:t>
      </w:r>
      <w:r>
        <w:t xml:space="preserve">vs. </w:t>
      </w:r>
      <m:oMath>
        <m:r>
          <m:t>0</m:t>
        </m:r>
        <m:r>
          <m:rPr>
            <m:sty m:val="p"/>
          </m:rPr>
          <m:t>,</m:t>
        </m:r>
        <m:r>
          <m:t>5185</m:t>
        </m:r>
      </m:oMath>
      <w:r>
        <w:t xml:space="preserve"> </w:t>
      </w:r>
      <w:r>
        <w:t xml:space="preserve">y</w:t>
      </w:r>
      <w:r>
        <w:t xml:space="preserve"> </w:t>
      </w:r>
      <m:oMath>
        <m:r>
          <m:t>0</m:t>
        </m:r>
        <m:r>
          <m:rPr>
            <m:sty m:val="p"/>
          </m:rPr>
          <m:t>,</m:t>
        </m:r>
        <m:r>
          <m:t>5386</m:t>
        </m:r>
      </m:oMath>
      <w:r>
        <w:t xml:space="preserve">;</w:t>
      </w:r>
      <w:r>
        <w:t xml:space="preserve"> </w:t>
      </w:r>
      <m:oMath>
        <m:r>
          <m:rPr>
            <m:nor/>
            <m:sty m:val="p"/>
          </m:rPr>
          <m:t>PR-AUC</m:t>
        </m:r>
        <m:r>
          <m:rPr>
            <m:sty m:val="p"/>
          </m:rPr>
          <m:t>=</m:t>
        </m:r>
        <m:r>
          <m:t>0</m:t>
        </m:r>
        <m:r>
          <m:rPr>
            <m:sty m:val="p"/>
          </m:rPr>
          <m:t>,</m:t>
        </m:r>
        <m:r>
          <m:t>1515</m:t>
        </m:r>
      </m:oMath>
      <w:r>
        <w:t xml:space="preserve"> </w:t>
      </w:r>
      <w:r>
        <w:t xml:space="preserve">vs. </w:t>
      </w:r>
      <m:oMath>
        <m:r>
          <m:t>0</m:t>
        </m:r>
        <m:r>
          <m:rPr>
            <m:sty m:val="p"/>
          </m:rPr>
          <m:t>,</m:t>
        </m:r>
        <m:r>
          <m:t>0960</m:t>
        </m:r>
      </m:oMath>
      <w:r>
        <w:t xml:space="preserve"> </w:t>
      </w:r>
      <w:r>
        <w:t xml:space="preserve">y</w:t>
      </w:r>
      <w:r>
        <w:t xml:space="preserve"> </w:t>
      </w:r>
      <m:oMath>
        <m:r>
          <m:t>0</m:t>
        </m:r>
        <m:r>
          <m:rPr>
            <m:sty m:val="p"/>
          </m:rPr>
          <m:t>,</m:t>
        </m:r>
        <m:r>
          <m:t>1030</m:t>
        </m:r>
      </m:oMath>
      <w:r>
        <w:t xml:space="preserve">), reduciendo las falsas alarmas case-control en un</w:t>
      </w:r>
      <w:r>
        <w:t xml:space="preserve"> </w:t>
      </w:r>
      <m:oMath>
        <m:r>
          <m:t>90</m:t>
        </m:r>
        <m:r>
          <m:rPr>
            <m:sty m:val="p"/>
          </m:rPr>
          <m:t>,</m:t>
        </m:r>
        <m:r>
          <m:t>9</m:t>
        </m:r>
        <m:r>
          <m:rPr>
            <m:nor/>
            <m:sty m:val="p"/>
          </m:rPr>
          <m:t> %</m:t>
        </m:r>
      </m:oMath>
      <w:r>
        <w:t xml:space="preserve"> </w:t>
      </w:r>
      <w:r>
        <w:t xml:space="preserve">respecto al FWI (</w:t>
      </w:r>
      <m:oMath>
        <m:r>
          <m:t>13.765</m:t>
        </m:r>
      </m:oMath>
      <w:r>
        <w:t xml:space="preserve"> </w:t>
      </w:r>
      <w:r>
        <w:t xml:space="preserve">vs. </w:t>
      </w:r>
      <m:oMath>
        <m:r>
          <m:t>150.654</m:t>
        </m:r>
      </m:oMath>
      <w:r>
        <w:t xml:space="preserve">). Esto demuestra que la combinación no lineal de</w:t>
      </w:r>
      <w:r>
        <w:t xml:space="preserve"> </w:t>
      </w:r>
      <m:oMath>
        <m:r>
          <m:t>V</m:t>
        </m:r>
        <m:r>
          <m:t>P</m:t>
        </m:r>
        <m:r>
          <m:t>D</m:t>
        </m:r>
      </m:oMath>
      <w:r>
        <w:t xml:space="preserve">, viento cuadrático y cobertura de biomasa corrige la saturación estacional de los índices boreales.</w:t>
      </w:r>
    </w:p>
    <w:p>
      <w:pPr>
        <w:pStyle w:val="Compact"/>
        <w:numPr>
          <w:ilvl w:val="0"/>
          <w:numId w:val="1013"/>
        </w:numPr>
      </w:pPr>
      <w:r>
        <w:rPr>
          <w:b/>
          <w:bCs/>
        </w:rPr>
        <w:t xml:space="preserve">El Techo Epistémico del Clima Puro (</w:t>
      </w:r>
      <m:oMath>
        <m:r>
          <m:rPr>
            <m:nor/>
            <m:sty m:val="p"/>
          </m:rPr>
          <m:t>ROC-AUC</m:t>
        </m:r>
        <m:r>
          <m:rPr>
            <m:sty m:val="p"/>
          </m:rPr>
          <m:t>≈</m:t>
        </m:r>
        <m:r>
          <m:t>0</m:t>
        </m:r>
        <m:r>
          <m:rPr>
            <m:sty m:val="p"/>
          </m:rPr>
          <m:t>,</m:t>
        </m:r>
        <m:r>
          <m:t>63</m:t>
        </m:r>
        <m:r>
          <m:rPr>
            <m:nor/>
            <m:sty m:val="p"/>
          </m:rPr>
          <m:t>–</m:t>
        </m:r>
        <m:r>
          <m:t>0</m:t>
        </m:r>
        <m:r>
          <m:rPr>
            <m:sty m:val="p"/>
          </m:rPr>
          <m:t>,</m:t>
        </m:r>
        <m:r>
          <m:t>64</m:t>
        </m:r>
      </m:oMath>
      <w:r>
        <w:rPr>
          <w:b/>
          <w:bCs/>
        </w:rPr>
        <w:t xml:space="preserve">):</w:t>
      </w:r>
      <w:r>
        <w:t xml:space="preserve"> </w:t>
      </w:r>
      <w:r>
        <w:t xml:space="preserve">En un territorio donde más del</w:t>
      </w:r>
      <w:r>
        <w:t xml:space="preserve"> </w:t>
      </w:r>
      <m:oMath>
        <m:r>
          <m:t>95</m:t>
        </m:r>
        <m:r>
          <m:rPr>
            <m:nor/>
            <m:sty m:val="p"/>
          </m:rPr>
          <m:t> %</m:t>
        </m:r>
      </m:oMath>
      <w:r>
        <w:t xml:space="preserve"> </w:t>
      </w:r>
      <w:r>
        <w:t xml:space="preserve">de las igniciones son de origen humano, las variables puramente meteorológicas y de vegetación alcanzan un límite asintótico de discriminación cercano a</w:t>
      </w:r>
      <w:r>
        <w:t xml:space="preserve"> </w:t>
      </w:r>
      <m:oMath>
        <m:r>
          <m:t>0</m:t>
        </m:r>
        <m:r>
          <m:rPr>
            <m:sty m:val="p"/>
          </m:rPr>
          <m:t>,</m:t>
        </m:r>
        <m:r>
          <m:t>63</m:t>
        </m:r>
        <m:r>
          <m:rPr>
            <m:nor/>
            <m:sty m:val="p"/>
          </m:rPr>
          <m:t>–</m:t>
        </m:r>
        <m:r>
          <m:t>0</m:t>
        </m:r>
        <m:r>
          <m:rPr>
            <m:sty m:val="p"/>
          </m:rPr>
          <m:t>,</m:t>
        </m:r>
        <m:r>
          <m:t>64</m:t>
        </m:r>
      </m:oMath>
      <w:r>
        <w:t xml:space="preserve">: durante una sequía sinóptica, millones de hectáreas presentan condiciones termodinámicas idénticas para arder, pero el fuego solo se inicia allí donde interviene el agente humano.</w:t>
      </w:r>
    </w:p>
    <w:p>
      <w:pPr>
        <w:pStyle w:val="Compact"/>
        <w:numPr>
          <w:ilvl w:val="0"/>
          <w:numId w:val="1013"/>
        </w:numPr>
      </w:pPr>
      <w:r>
        <w:rPr>
          <w:b/>
          <w:bCs/>
        </w:rPr>
        <w:t xml:space="preserve">Ganancia del Modelo Híbrido Socio-Ecológico (</w:t>
      </w:r>
      <m:oMath>
        <m:sSub>
          <m:e>
            <m:r>
              <m:rPr>
                <m:scr m:val="script"/>
                <m:sty m:val="p"/>
              </m:rPr>
              <m:t>M</m:t>
            </m:r>
          </m:e>
          <m:sub>
            <m:r>
              <m:t>3</m:t>
            </m:r>
          </m:sub>
        </m:sSub>
      </m:oMath>
      <w:r>
        <w:rPr>
          <w:b/>
          <w:bCs/>
        </w:rPr>
        <w:t xml:space="preserve">):</w:t>
      </w:r>
      <w:r>
        <w:t xml:space="preserve"> </w:t>
      </w:r>
      <w:r>
        <w:t xml:space="preserve">Al integrar accesibilidad humana y desecación atmosférica, el rendimiento sube de</w:t>
      </w:r>
      <w:r>
        <w:t xml:space="preserve"> </w:t>
      </w:r>
      <m:oMath>
        <m:r>
          <m:t>0</m:t>
        </m:r>
        <m:r>
          <m:rPr>
            <m:sty m:val="p"/>
          </m:rPr>
          <m:t>,</m:t>
        </m:r>
        <m:r>
          <m:t>6287</m:t>
        </m:r>
        <m:r>
          <m:rPr>
            <m:sty m:val="p"/>
          </m:rPr>
          <m:t>→</m:t>
        </m:r>
        <m:r>
          <m:rPr>
            <m:sty m:val="b"/>
          </m:rPr>
          <m:t>0</m:t>
        </m:r>
        <m:r>
          <m:rPr>
            <m:sty m:val="b"/>
          </m:rPr>
          <m:t>,</m:t>
        </m:r>
        <m:r>
          <m:rPr>
            <m:sty m:val="b"/>
          </m:rPr>
          <m:t>7851</m:t>
        </m:r>
      </m:oMath>
      <w:r>
        <w:t xml:space="preserve"> </w:t>
      </w:r>
      <w:r>
        <w:t xml:space="preserve">en el Chaco (</w:t>
      </w:r>
      <m:oMath>
        <m:r>
          <m:rPr>
            <m:sty m:val="p"/>
          </m:rPr>
          <m:t>Δ</m:t>
        </m:r>
        <m:r>
          <m:rPr>
            <m:nor/>
            <m:sty m:val="p"/>
          </m:rPr>
          <m:t>ROC</m:t>
        </m:r>
        <m:r>
          <m:rPr>
            <m:sty m:val="p"/>
          </m:rPr>
          <m:t>=</m:t>
        </m:r>
        <m:r>
          <m:rPr>
            <m:sty m:val="p"/>
          </m:rPr>
          <m:t>+</m:t>
        </m:r>
        <m:r>
          <m:t>0</m:t>
        </m:r>
        <m:r>
          <m:rPr>
            <m:sty m:val="p"/>
          </m:rPr>
          <m:t>,</m:t>
        </m:r>
        <m:r>
          <m:t>1564</m:t>
        </m:r>
      </m:oMath>
      <w:r>
        <w:t xml:space="preserve">; PR-AUC</w:t>
      </w:r>
      <w:r>
        <w:t xml:space="preserve"> </w:t>
      </w:r>
      <m:oMath>
        <m:r>
          <m:t>0</m:t>
        </m:r>
        <m:r>
          <m:rPr>
            <m:sty m:val="p"/>
          </m:rPr>
          <m:t>,</m:t>
        </m:r>
        <m:r>
          <m:t>1515</m:t>
        </m:r>
        <m:r>
          <m:rPr>
            <m:sty m:val="p"/>
          </m:rPr>
          <m:t>→</m:t>
        </m:r>
        <m:r>
          <m:rPr>
            <m:sty m:val="b"/>
          </m:rPr>
          <m:t>0</m:t>
        </m:r>
        <m:r>
          <m:rPr>
            <m:sty m:val="b"/>
          </m:rPr>
          <m:t>,</m:t>
        </m:r>
        <m:r>
          <m:rPr>
            <m:sty m:val="b"/>
          </m:rPr>
          <m:t>2410</m:t>
        </m:r>
      </m:oMath>
      <w:r>
        <w:t xml:space="preserve">) y de</w:t>
      </w:r>
      <w:r>
        <w:t xml:space="preserve"> </w:t>
      </w:r>
      <m:oMath>
        <m:r>
          <m:t>0</m:t>
        </m:r>
        <m:r>
          <m:rPr>
            <m:sty m:val="p"/>
          </m:rPr>
          <m:t>,</m:t>
        </m:r>
        <m:r>
          <m:t>6421</m:t>
        </m:r>
        <m:r>
          <m:rPr>
            <m:sty m:val="p"/>
          </m:rPr>
          <m:t>→</m:t>
        </m:r>
        <m:r>
          <m:rPr>
            <m:sty m:val="b"/>
          </m:rPr>
          <m:t>0</m:t>
        </m:r>
        <m:r>
          <m:rPr>
            <m:sty m:val="b"/>
          </m:rPr>
          <m:t>,</m:t>
        </m:r>
        <m:r>
          <m:rPr>
            <m:sty m:val="b"/>
          </m:rPr>
          <m:t>7485</m:t>
        </m:r>
      </m:oMath>
      <w:r>
        <w:t xml:space="preserve"> </w:t>
      </w:r>
      <w:r>
        <w:t xml:space="preserve">en la Región Oriental (</w:t>
      </w:r>
      <m:oMath>
        <m:r>
          <m:rPr>
            <m:sty m:val="p"/>
          </m:rPr>
          <m:t>Δ</m:t>
        </m:r>
        <m:r>
          <m:rPr>
            <m:nor/>
            <m:sty m:val="p"/>
          </m:rPr>
          <m:t>ROC</m:t>
        </m:r>
        <m:r>
          <m:rPr>
            <m:sty m:val="p"/>
          </m:rPr>
          <m:t>=</m:t>
        </m:r>
        <m:r>
          <m:rPr>
            <m:sty m:val="p"/>
          </m:rPr>
          <m:t>+</m:t>
        </m:r>
        <m:r>
          <m:t>0</m:t>
        </m:r>
        <m:r>
          <m:rPr>
            <m:sty m:val="p"/>
          </m:rPr>
          <m:t>,</m:t>
        </m:r>
        <m:r>
          <m:t>1064</m:t>
        </m:r>
      </m:oMath>
      <w:r>
        <w:t xml:space="preserve">; PR-AUC</w:t>
      </w:r>
      <w:r>
        <w:t xml:space="preserve"> </w:t>
      </w:r>
      <m:oMath>
        <m:r>
          <m:t>0</m:t>
        </m:r>
        <m:r>
          <m:rPr>
            <m:sty m:val="p"/>
          </m:rPr>
          <m:t>,</m:t>
        </m:r>
        <m:r>
          <m:t>1422</m:t>
        </m:r>
        <m:r>
          <m:rPr>
            <m:sty m:val="p"/>
          </m:rPr>
          <m:t>→</m:t>
        </m:r>
        <m:r>
          <m:rPr>
            <m:sty m:val="b"/>
          </m:rPr>
          <m:t>0</m:t>
        </m:r>
        <m:r>
          <m:rPr>
            <m:sty m:val="b"/>
          </m:rPr>
          <m:t>,</m:t>
        </m:r>
        <m:r>
          <m:rPr>
            <m:sty m:val="b"/>
          </m:rPr>
          <m:t>2318</m:t>
        </m:r>
      </m:oMath>
      <w:r>
        <w:t xml:space="preserve">). Respecto a</w:t>
      </w:r>
      <w:r>
        <w:t xml:space="preserve"> </w:t>
      </w:r>
      <m:oMath>
        <m:sSub>
          <m:e>
            <m:r>
              <m:rPr>
                <m:scr m:val="script"/>
                <m:sty m:val="p"/>
              </m:rPr>
              <m:t>M</m:t>
            </m:r>
          </m:e>
          <m:sub>
            <m:r>
              <m:t>2</m:t>
            </m:r>
          </m:sub>
        </m:sSub>
      </m:oMath>
      <w:r>
        <w:t xml:space="preserve">-v1 (misma capacidad en la ablación),</w:t>
      </w:r>
      <w:r>
        <w:t xml:space="preserve"> </w:t>
      </w:r>
      <m:oMath>
        <m:sSub>
          <m:e>
            <m:r>
              <m:rPr>
                <m:scr m:val="script"/>
                <m:sty m:val="p"/>
              </m:rPr>
              <m:t>M</m:t>
            </m:r>
          </m:e>
          <m:sub>
            <m:r>
              <m:t>3</m:t>
            </m:r>
          </m:sub>
        </m:sSub>
      </m:oMath>
      <w:r>
        <w:t xml:space="preserve"> </w:t>
      </w:r>
      <w:r>
        <w:t xml:space="preserve">eleva la precisión case-control en</w:t>
      </w:r>
      <w:r>
        <w:t xml:space="preserve"> </w:t>
      </w:r>
      <m:oMath>
        <m:r>
          <m:rPr>
            <m:sty m:val="p"/>
          </m:rPr>
          <m:t>+</m:t>
        </m:r>
        <m:r>
          <m:t>4</m:t>
        </m:r>
        <m:r>
          <m:rPr>
            <m:sty m:val="p"/>
          </m:rPr>
          <m:t>,</m:t>
        </m:r>
        <m:r>
          <m:t>27</m:t>
        </m:r>
      </m:oMath>
      <w:r>
        <w:t xml:space="preserve"> </w:t>
      </w:r>
      <w:r>
        <w:t xml:space="preserve">puntos en el Chaco (</w:t>
      </w:r>
      <m:oMath>
        <m:r>
          <m:t>23</m:t>
        </m:r>
        <m:r>
          <m:rPr>
            <m:sty m:val="p"/>
          </m:rPr>
          <m:t>,</m:t>
        </m:r>
        <m:r>
          <m:t>27</m:t>
        </m:r>
        <m:r>
          <m:rPr>
            <m:sty m:val="p"/>
          </m:rPr>
          <m:t>→</m:t>
        </m:r>
        <m:r>
          <m:rPr>
            <m:sty m:val="b"/>
          </m:rPr>
          <m:t>27</m:t>
        </m:r>
        <m:r>
          <m:rPr>
            <m:sty m:val="b"/>
          </m:rPr>
          <m:t>,</m:t>
        </m:r>
        <m:r>
          <m:rPr>
            <m:sty m:val="b"/>
          </m:rPr>
          <m:t>54</m:t>
        </m:r>
      </m:oMath>
      <w:r>
        <w:t xml:space="preserve">) y</w:t>
      </w:r>
      <w:r>
        <w:t xml:space="preserve"> </w:t>
      </w:r>
      <m:oMath>
        <m:r>
          <m:rPr>
            <m:sty m:val="p"/>
          </m:rPr>
          <m:t>+</m:t>
        </m:r>
        <m:r>
          <m:t>5</m:t>
        </m:r>
        <m:r>
          <m:rPr>
            <m:sty m:val="p"/>
          </m:rPr>
          <m:t>,</m:t>
        </m:r>
        <m:r>
          <m:t>76</m:t>
        </m:r>
      </m:oMath>
      <w:r>
        <w:t xml:space="preserve"> </w:t>
      </w:r>
      <w:r>
        <w:t xml:space="preserve">puntos en Oriental (</w:t>
      </w:r>
      <m:oMath>
        <m:r>
          <m:t>23</m:t>
        </m:r>
        <m:r>
          <m:rPr>
            <m:sty m:val="p"/>
          </m:rPr>
          <m:t>,</m:t>
        </m:r>
        <m:r>
          <m:t>91</m:t>
        </m:r>
        <m:r>
          <m:rPr>
            <m:sty m:val="p"/>
          </m:rPr>
          <m:t>→</m:t>
        </m:r>
        <m:r>
          <m:rPr>
            <m:sty m:val="b"/>
          </m:rPr>
          <m:t>29</m:t>
        </m:r>
        <m:r>
          <m:rPr>
            <m:sty m:val="b"/>
          </m:rPr>
          <m:t>,</m:t>
        </m:r>
        <m:r>
          <m:rPr>
            <m:sty m:val="b"/>
          </m:rPr>
          <m:t>67</m:t>
        </m:r>
      </m:oMath>
      <w:r>
        <w:t xml:space="preserve">), con</w:t>
      </w:r>
      <w:r>
        <w:t xml:space="preserve"> </w:t>
      </w:r>
      <m:oMath>
        <m:r>
          <m:t>13.003</m:t>
        </m:r>
      </m:oMath>
      <w:r>
        <w:t xml:space="preserve"> </w:t>
      </w:r>
      <w:r>
        <w:t xml:space="preserve">falsos positivos menos en total (</w:t>
      </w:r>
      <m:oMath>
        <m:r>
          <m:t>7.771</m:t>
        </m:r>
      </m:oMath>
      <w:r>
        <w:t xml:space="preserve"> </w:t>
      </w:r>
      <w:r>
        <w:t xml:space="preserve">Chaco y</w:t>
      </w:r>
      <w:r>
        <w:t xml:space="preserve"> </w:t>
      </w:r>
      <m:oMath>
        <m:r>
          <m:t>5.232</m:t>
        </m:r>
      </m:oMath>
      <w:r>
        <w:t xml:space="preserve"> </w:t>
      </w:r>
      <w:r>
        <w:t xml:space="preserve">Oriental). Son métricas case-control; la comparación poblacional está en la Tabla Suplementaria S6.</w:t>
      </w:r>
    </w:p>
    <w:tbl>
      <w:tblPr>
        <w:tblStyle w:val="Table"/>
        <w:tblW w:type="pct" w:w="5000"/>
        <w:tblLayout w:type="fixed"/>
        <w:tblLook w:firstRow="0" w:lastRow="0" w:firstColumn="0" w:lastColumn="0" w:noHBand="0" w:noVBand="0" w:val="0000"/>
      </w:tblPr>
      <w:tblGrid>
        <w:gridCol w:w="7920"/>
      </w:tblGrid>
      <w:tr>
        <w:tc>
          <w:tcPr/>
          <w:bookmarkStart w:id="65" w:name="fig-ablacion-hibrido"/>
          <w:p>
            <w:pPr>
              <w:pStyle w:val="Compact"/>
              <w:jc w:val="center"/>
            </w:pPr>
            <w:r>
              <w:drawing>
                <wp:inline>
                  <wp:extent cx="5334000" cy="4191000"/>
                  <wp:effectExtent b="0" l="0" r="0" t="0"/>
                  <wp:docPr descr="" title="" id="63" name="Picture"/>
                  <a:graphic>
                    <a:graphicData uri="http://schemas.openxmlformats.org/drawingml/2006/picture">
                      <pic:pic>
                        <pic:nvPicPr>
                          <pic:cNvPr descr="figuras/fig07_ablacion_biofisico_vs_hibrido.png" id="64" name="Picture"/>
                          <pic:cNvPicPr>
                            <a:picLocks noChangeArrowheads="1" noChangeAspect="1"/>
                          </pic:cNvPicPr>
                        </pic:nvPicPr>
                        <pic:blipFill>
                          <a:blip r:embed="rId62"/>
                          <a:stretch>
                            <a:fillRect/>
                          </a:stretch>
                        </pic:blipFill>
                        <pic:spPr bwMode="auto">
                          <a:xfrm>
                            <a:off x="0" y="0"/>
                            <a:ext cx="5334000" cy="4191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Estudio de ablación comparativo sobre el conjunto de prueba ciego out-of-time (2024–2025): Curvas ROC y Precision-Recall contrastando el Modelo Biofísico Puro (</w:t>
            </w:r>
            <m:oMath>
              <m:sSub>
                <m:e>
                  <m:r>
                    <m:rPr>
                      <m:scr m:val="script"/>
                      <m:sty m:val="p"/>
                    </m:rPr>
                    <m:t>M</m:t>
                  </m:r>
                </m:e>
                <m:sub>
                  <m:r>
                    <m:t>1</m:t>
                  </m:r>
                </m:sub>
              </m:sSub>
            </m:oMath>
            <w:r>
              <w:t xml:space="preserve">), el Modelo con Ancla Macro (</w:t>
            </w:r>
            <m:oMath>
              <m:sSub>
                <m:e>
                  <m:r>
                    <m:rPr>
                      <m:scr m:val="script"/>
                      <m:sty m:val="p"/>
                    </m:rPr>
                    <m:t>M</m:t>
                  </m:r>
                </m:e>
                <m:sub>
                  <m:r>
                    <m:t>2</m:t>
                  </m:r>
                </m:sub>
              </m:sSub>
            </m:oMath>
            <w:r>
              <w:t xml:space="preserve">), el Modelo Híbrido Socio-Ecológico Multiescala (</w:t>
            </w:r>
            <m:oMath>
              <m:sSub>
                <m:e>
                  <m:r>
                    <m:rPr>
                      <m:scr m:val="script"/>
                      <m:sty m:val="p"/>
                    </m:rPr>
                    <m:t>M</m:t>
                  </m:r>
                </m:e>
                <m:sub>
                  <m:r>
                    <m:t>3</m:t>
                  </m:r>
                </m:sub>
              </m:sSub>
            </m:oMath>
            <w:r>
              <w:t xml:space="preserve">) y los benchmarks internacionales (Canadian FWI completo y INPE Risco de Fogo).</w:t>
            </w:r>
          </w:p>
          <w:bookmarkEnd w:id="65"/>
        </w:tc>
      </w:tr>
    </w:tbl>
    <w:bookmarkEnd w:id="66"/>
    <w:bookmarkEnd w:id="67"/>
    <w:bookmarkStart w:id="73" w:name="explicabilidad-biofísica-con-treeshap"/>
    <w:p>
      <w:pPr>
        <w:pStyle w:val="Heading2"/>
      </w:pPr>
      <w:r>
        <w:t xml:space="preserve">5.3 5.3 Explicabilidad Biofísica con TreeSHAP</w:t>
      </w:r>
    </w:p>
    <w:p>
      <w:pPr>
        <w:pStyle w:val="FirstParagraph"/>
      </w:pPr>
      <w:r>
        <w:t xml:space="preserve">Para abrir la</w:t>
      </w:r>
      <w:r>
        <w:t xml:space="preserve"> </w:t>
      </w:r>
      <w:r>
        <w:t xml:space="preserve">“caja negra”</w:t>
      </w:r>
      <w:r>
        <w:t xml:space="preserve"> </w:t>
      </w:r>
      <w:r>
        <w:t xml:space="preserve">del modelo híbrido de ignición primaria (</w:t>
      </w:r>
      <m:oMath>
        <m:sSub>
          <m:e>
            <m:r>
              <m:rPr>
                <m:scr m:val="script"/>
                <m:sty m:val="p"/>
              </m:rPr>
              <m:t>M</m:t>
            </m:r>
          </m:e>
          <m:sub>
            <m:r>
              <m:t>3</m:t>
            </m:r>
          </m:sub>
        </m:sSub>
      </m:oMath>
      <w:r>
        <w:t xml:space="preserve">) y verificar que el ensamble aprendió relaciones ecológicas genuinas, aplicamos la descomposición analítica de Shapley para árboles (</w:t>
      </w:r>
      <w:r>
        <w:rPr>
          <w:i/>
          <w:iCs/>
        </w:rPr>
        <w:t xml:space="preserve">TreeSHAP</w:t>
      </w:r>
      <w:r>
        <w:t xml:space="preserve">)</w:t>
      </w:r>
      <w:r>
        <w:t xml:space="preserve"> </w:t>
      </w:r>
      <w:r>
        <w:t xml:space="preserve">(Lundberg et al., 2020)</w:t>
      </w:r>
      <w:r>
        <w:t xml:space="preserve">. La</w:t>
      </w:r>
      <w:r>
        <w:t xml:space="preserve"> </w:t>
      </w:r>
      <w:hyperlink w:anchor="tbl-shap">
        <w:r>
          <w:rPr>
            <w:rStyle w:val="Hyperlink"/>
          </w:rPr>
          <w:t xml:space="preserve">Tabla 7</w:t>
        </w:r>
      </w:hyperlink>
      <w:r>
        <w:t xml:space="preserve"> </w:t>
      </w:r>
      <w:r>
        <w:t xml:space="preserve">presenta las variables de mayor impacto en cada región.</w:t>
      </w:r>
    </w:p>
    <w:tbl>
      <w:tblPr>
        <w:tblStyle w:val="Table"/>
        <w:tblW w:type="pct" w:w="5000"/>
        <w:tblLayout w:type="fixed"/>
        <w:tblLook w:firstRow="0" w:lastRow="0" w:firstColumn="0" w:lastColumn="0" w:noHBand="0" w:noVBand="0" w:val="0000"/>
      </w:tblPr>
      <w:tblGrid>
        <w:gridCol w:w="7920"/>
      </w:tblGrid>
      <w:tr>
        <w:tc>
          <w:tcPr/>
          <w:bookmarkStart w:id="68" w:name="tbl-shap"/>
          <w:p>
            <w:pPr>
              <w:jc w:val="center"/>
            </w:pPr>
            <w:pPr>
              <w:jc w:val="left"/>
              <w:spacing w:before="200"/>
              <w:pStyle w:val="ImageCaption"/>
            </w:pPr>
            <w:r>
              <w:t xml:space="preserve">Tabla 7: Ranking TreeSHAP del modelo híbrido M3. Las variables de priors causales dominan el ranking; la comparación con M2 está en</w:t>
            </w:r>
            <w:r>
              <w:t xml:space="preserve"> </w:t>
            </w:r>
            <w:r>
              <w:rPr>
                <w:rStyle w:val="VerbatimChar"/>
              </w:rPr>
              <w:t xml:space="preserve">scripts/08_analisis_shap.py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Ranking</w:t>
                  </w:r>
                </w:p>
              </w:tc>
              <w:tc>
                <w:tcPr/>
                <w:p>
                  <w:pPr>
                    <w:pStyle w:val="Compact"/>
                    <w:jc w:val="left"/>
                    <w:jc w:val="center"/>
                  </w:pPr>
                  <w:r>
                    <w:t xml:space="preserve">Región Occidental (Chaco)</w:t>
                  </w:r>
                </w:p>
              </w:tc>
              <w:tc>
                <w:tcPr/>
                <w:p>
                  <w:pPr>
                    <w:pStyle w:val="Compact"/>
                    <w:jc w:val="left"/>
                    <w:jc w:val="center"/>
                  </w:pPr>
                  <w:r>
                    <w:t xml:space="preserve">Región Oriental</w:t>
                  </w:r>
                </w:p>
              </w:tc>
            </w:tr>
            <w:tr>
              <w:tc>
                <w:tcPr/>
                <w:p>
                  <w:pPr>
                    <w:pStyle w:val="Compact"/>
                    <w:jc w:val="left"/>
                    <w:jc w:val="center"/>
                  </w:pPr>
                  <w:r>
                    <w:rPr>
                      <w:b/>
                      <w:bCs/>
                    </w:rPr>
                    <w:t xml:space="preserve">1</w:t>
                  </w:r>
                </w:p>
              </w:tc>
              <w:tc>
                <w:tcPr/>
                <w:p>
                  <w:pPr>
                    <w:pStyle w:val="Compact"/>
                    <w:jc w:val="left"/>
                    <w:jc w:val="center"/>
                  </w:pPr>
                  <w:r>
                    <w:t xml:space="preserve">dist_foco_hist_km [0.468]</w:t>
                  </w:r>
                </w:p>
              </w:tc>
              <w:tc>
                <w:tcPr/>
                <w:p>
                  <w:pPr>
                    <w:pStyle w:val="Compact"/>
                    <w:jc w:val="left"/>
                    <w:jc w:val="center"/>
                  </w:pPr>
                  <w:r>
                    <w:t xml:space="preserve">dist_foco_hist_km [0.284]</w:t>
                  </w:r>
                </w:p>
              </w:tc>
            </w:tr>
            <w:tr>
              <w:tc>
                <w:tcPr/>
                <w:p>
                  <w:pPr>
                    <w:pStyle w:val="Compact"/>
                    <w:jc w:val="left"/>
                    <w:jc w:val="center"/>
                  </w:pPr>
                  <w:r>
                    <w:rPr>
                      <w:b/>
                      <w:bCs/>
                    </w:rPr>
                    <w:t xml:space="preserve">2</w:t>
                  </w:r>
                </w:p>
              </w:tc>
              <w:tc>
                <w:tcPr/>
                <w:p>
                  <w:pPr>
                    <w:pStyle w:val="Compact"/>
                    <w:jc w:val="left"/>
                    <w:jc w:val="center"/>
                  </w:pPr>
                  <w:r>
                    <w:t xml:space="preserve">pct_bosque_seco [0.188]</w:t>
                  </w:r>
                </w:p>
              </w:tc>
              <w:tc>
                <w:tcPr/>
                <w:p>
                  <w:pPr>
                    <w:pStyle w:val="Compact"/>
                    <w:jc w:val="left"/>
                    <w:jc w:val="center"/>
                  </w:pPr>
                  <w:r>
                    <w:t xml:space="preserve">focalizacion_antropica_local [0.220]</w:t>
                  </w:r>
                </w:p>
              </w:tc>
            </w:tr>
            <w:tr>
              <w:tc>
                <w:tcPr/>
                <w:p>
                  <w:pPr>
                    <w:pStyle w:val="Compact"/>
                    <w:jc w:val="left"/>
                    <w:jc w:val="center"/>
                  </w:pPr>
                  <w:r>
                    <w:rPr>
                      <w:b/>
                      <w:bCs/>
                    </w:rPr>
                    <w:t xml:space="preserve">3</w:t>
                  </w:r>
                </w:p>
              </w:tc>
              <w:tc>
                <w:tcPr/>
                <w:p>
                  <w:pPr>
                    <w:pStyle w:val="Compact"/>
                    <w:jc w:val="left"/>
                    <w:jc w:val="center"/>
                  </w:pPr>
                  <w:r>
                    <w:t xml:space="preserve">dist_corredor_antropico_km [0.080]</w:t>
                  </w:r>
                </w:p>
              </w:tc>
              <w:tc>
                <w:tcPr/>
                <w:p>
                  <w:pPr>
                    <w:pStyle w:val="Compact"/>
                    <w:jc w:val="left"/>
                    <w:jc w:val="center"/>
                  </w:pPr>
                  <w:r>
                    <w:t xml:space="preserve">dist_corredor_antropico_km [0.119]</w:t>
                  </w:r>
                </w:p>
              </w:tc>
            </w:tr>
            <w:tr>
              <w:tc>
                <w:tcPr/>
                <w:p>
                  <w:pPr>
                    <w:pStyle w:val="Compact"/>
                    <w:jc w:val="left"/>
                    <w:jc w:val="center"/>
                  </w:pPr>
                  <w:r>
                    <w:rPr>
                      <w:b/>
                      <w:bCs/>
                    </w:rPr>
                    <w:t xml:space="preserve">4</w:t>
                  </w:r>
                </w:p>
              </w:tc>
              <w:tc>
                <w:tcPr/>
                <w:p>
                  <w:pPr>
                    <w:pStyle w:val="Compact"/>
                    <w:jc w:val="left"/>
                    <w:jc w:val="center"/>
                  </w:pPr>
                  <w:r>
                    <w:t xml:space="preserve">focalizacion_antropica_local [0.078]</w:t>
                  </w:r>
                </w:p>
              </w:tc>
              <w:tc>
                <w:tcPr/>
                <w:p>
                  <w:pPr>
                    <w:pStyle w:val="Compact"/>
                    <w:jc w:val="left"/>
                    <w:jc w:val="center"/>
                  </w:pPr>
                  <w:r>
                    <w:t xml:space="preserve">pct_humedal_palmar [0.090]</w:t>
                  </w:r>
                </w:p>
              </w:tc>
            </w:tr>
            <w:tr>
              <w:tc>
                <w:tcPr/>
                <w:p>
                  <w:pPr>
                    <w:pStyle w:val="Compact"/>
                    <w:jc w:val="left"/>
                    <w:jc w:val="center"/>
                  </w:pPr>
                  <w:r>
                    <w:rPr>
                      <w:b/>
                      <w:bCs/>
                    </w:rPr>
                    <w:t xml:space="preserve">5</w:t>
                  </w:r>
                </w:p>
              </w:tc>
              <w:tc>
                <w:tcPr/>
                <w:p>
                  <w:pPr>
                    <w:pStyle w:val="Compact"/>
                    <w:jc w:val="left"/>
                    <w:jc w:val="center"/>
                  </w:pPr>
                  <w:r>
                    <w:t xml:space="preserve">pct_pastura [0.034]</w:t>
                  </w:r>
                </w:p>
              </w:tc>
              <w:tc>
                <w:tcPr/>
                <w:p>
                  <w:pPr>
                    <w:pStyle w:val="Compact"/>
                    <w:jc w:val="left"/>
                    <w:jc w:val="center"/>
                  </w:pPr>
                  <w:r>
                    <w:t xml:space="preserve">freq_hist_1km [0.064]</w:t>
                  </w:r>
                </w:p>
              </w:tc>
            </w:tr>
            <w:tr>
              <w:tc>
                <w:tcPr/>
                <w:p>
                  <w:pPr>
                    <w:pStyle w:val="Compact"/>
                    <w:jc w:val="left"/>
                    <w:jc w:val="center"/>
                  </w:pPr>
                  <w:r>
                    <w:rPr>
                      <w:b/>
                      <w:bCs/>
                    </w:rPr>
                    <w:t xml:space="preserve">6</w:t>
                  </w:r>
                </w:p>
              </w:tc>
              <w:tc>
                <w:tcPr/>
                <w:p>
                  <w:pPr>
                    <w:pStyle w:val="Compact"/>
                    <w:jc w:val="left"/>
                    <w:jc w:val="center"/>
                  </w:pPr>
                  <w:r>
                    <w:t xml:space="preserve">doy_cos [0.033]</w:t>
                  </w:r>
                </w:p>
              </w:tc>
              <w:tc>
                <w:tcPr/>
                <w:p>
                  <w:pPr>
                    <w:pStyle w:val="Compact"/>
                    <w:jc w:val="left"/>
                    <w:jc w:val="center"/>
                  </w:pPr>
                  <w:r>
                    <w:t xml:space="preserve">pct_sabana_pastizal [0.061]</w:t>
                  </w:r>
                </w:p>
              </w:tc>
            </w:tr>
          </w:tbl>
          <w:bookmarkEnd w:id="68"/>
          <w:p/>
        </w:tc>
      </w:tr>
    </w:tbl>
    <w:p>
      <w:pPr>
        <w:pStyle w:val="BodyText"/>
      </w:pPr>
      <w:r>
        <w:t xml:space="preserve">En ambas macro-regiones, la jerarquía de TreeSHAP revela con nitidez la interacción entre la geografía de accesibilidad humana y el estrés biofísico:</w:t>
      </w:r>
      <w:r>
        <w:t xml:space="preserve"> </w:t>
      </w:r>
      <w:r>
        <w:t xml:space="preserve">- En el</w:t>
      </w:r>
      <w:r>
        <w:t xml:space="preserve"> </w:t>
      </w:r>
      <w:r>
        <w:rPr>
          <w:b/>
          <w:bCs/>
        </w:rPr>
        <w:t xml:space="preserve">Chaco</w:t>
      </w:r>
      <w:r>
        <w:t xml:space="preserve">, la distancia a focos históricos domina (</w:t>
      </w:r>
      <m:oMath>
        <m:r>
          <m:rPr>
            <m:sty m:val="p"/>
          </m:rPr>
          <m:t>|</m:t>
        </m:r>
        <m:r>
          <m:rPr>
            <m:nor/>
            <m:sty m:val="p"/>
          </m:rPr>
          <m:t>SHAP</m:t>
        </m:r>
        <m:r>
          <m:rPr>
            <m:sty m:val="p"/>
          </m:rPr>
          <m:t>|</m:t>
        </m:r>
        <m:r>
          <m:rPr>
            <m:sty m:val="p"/>
          </m:rPr>
          <m:t>=</m:t>
        </m:r>
        <m:r>
          <m:t>0</m:t>
        </m:r>
        <m:r>
          <m:rPr>
            <m:sty m:val="p"/>
          </m:rPr>
          <m:t>,</m:t>
        </m:r>
        <m:r>
          <m:t>471</m:t>
        </m:r>
      </m:oMath>
      <w:r>
        <w:t xml:space="preserve">), seguida por la fracción de bosque seco (</w:t>
      </w:r>
      <m:oMath>
        <m:r>
          <m:t>0</m:t>
        </m:r>
        <m:r>
          <m:rPr>
            <m:sty m:val="p"/>
          </m:rPr>
          <m:t>,</m:t>
        </m:r>
        <m:r>
          <m:t>190</m:t>
        </m:r>
      </m:oMath>
      <w:r>
        <w:t xml:space="preserve">), la distancia a corredores antrópicos (</w:t>
      </w:r>
      <m:oMath>
        <m:r>
          <m:t>0</m:t>
        </m:r>
        <m:r>
          <m:rPr>
            <m:sty m:val="p"/>
          </m:rPr>
          <m:t>,</m:t>
        </m:r>
        <m:r>
          <m:t>081</m:t>
        </m:r>
      </m:oMath>
      <w:r>
        <w:t xml:space="preserve">), la focalización local (</w:t>
      </w:r>
      <m:oMath>
        <m:r>
          <m:t>0</m:t>
        </m:r>
        <m:r>
          <m:rPr>
            <m:sty m:val="p"/>
          </m:rPr>
          <m:t>,</m:t>
        </m:r>
        <m:r>
          <m:t>077</m:t>
        </m:r>
      </m:oMath>
      <w:r>
        <w:t xml:space="preserve">) y el armónico estacional (</w:t>
      </w:r>
      <m:oMath>
        <m:r>
          <m:t>0</m:t>
        </m:r>
        <m:r>
          <m:rPr>
            <m:sty m:val="p"/>
          </m:rPr>
          <m:t>,</m:t>
        </m:r>
        <m:r>
          <m:t>034</m:t>
        </m:r>
      </m:oMath>
      <w:r>
        <w:t xml:space="preserve">). El modelo combina recurrencia histórica con accesibilidad humana y estacionalidad.</w:t>
      </w:r>
      <w:r>
        <w:t xml:space="preserve"> </w:t>
      </w:r>
      <w:r>
        <w:t xml:space="preserve">- En la</w:t>
      </w:r>
      <w:r>
        <w:t xml:space="preserve"> </w:t>
      </w:r>
      <w:r>
        <w:rPr>
          <w:b/>
          <w:bCs/>
        </w:rPr>
        <w:t xml:space="preserve">Región Oriental</w:t>
      </w:r>
      <w:r>
        <w:t xml:space="preserve">, dominan la distancia a focos históricos (</w:t>
      </w:r>
      <m:oMath>
        <m:r>
          <m:t>0</m:t>
        </m:r>
        <m:r>
          <m:rPr>
            <m:sty m:val="p"/>
          </m:rPr>
          <m:t>,</m:t>
        </m:r>
        <m:r>
          <m:t>283</m:t>
        </m:r>
      </m:oMath>
      <w:r>
        <w:t xml:space="preserve">), la focalización local (</w:t>
      </w:r>
      <m:oMath>
        <m:r>
          <m:t>0</m:t>
        </m:r>
        <m:r>
          <m:rPr>
            <m:sty m:val="p"/>
          </m:rPr>
          <m:t>,</m:t>
        </m:r>
        <m:r>
          <m:t>219</m:t>
        </m:r>
      </m:oMath>
      <w:r>
        <w:t xml:space="preserve">), la distancia a corredores (</w:t>
      </w:r>
      <m:oMath>
        <m:r>
          <m:t>0</m:t>
        </m:r>
        <m:r>
          <m:rPr>
            <m:sty m:val="p"/>
          </m:rPr>
          <m:t>,</m:t>
        </m:r>
        <m:r>
          <m:t>118</m:t>
        </m:r>
      </m:oMath>
      <w:r>
        <w:t xml:space="preserve">), el palmar/humedal (</w:t>
      </w:r>
      <m:oMath>
        <m:r>
          <m:t>0</m:t>
        </m:r>
        <m:r>
          <m:rPr>
            <m:sty m:val="p"/>
          </m:rPr>
          <m:t>,</m:t>
        </m:r>
        <m:r>
          <m:t>091</m:t>
        </m:r>
      </m:oMath>
      <w:r>
        <w:t xml:space="preserve">) y la recurrencia puntual (</w:t>
      </w:r>
      <m:oMath>
        <m:r>
          <m:t>0</m:t>
        </m:r>
        <m:r>
          <m:rPr>
            <m:sty m:val="p"/>
          </m:rPr>
          <m:t>,</m:t>
        </m:r>
        <m:r>
          <m:t>067</m:t>
        </m:r>
      </m:oMath>
      <w:r>
        <w:t xml:space="preserve">). La señal es más antrópica y menos dependiente del clima del día.</w:t>
      </w:r>
    </w:p>
    <w:p>
      <w:pPr>
        <w:pStyle w:val="BodyText"/>
      </w:pPr>
      <w:r>
        <w:t xml:space="preserve">Cabe destacar que el déficit de presión de vapor crudo (</w:t>
      </w:r>
      <w:r>
        <w:rPr>
          <w:rStyle w:val="VerbatimChar"/>
        </w:rPr>
        <w:t xml:space="preserve">vpd_max_kpa</w:t>
      </w:r>
      <w:r>
        <w:t xml:space="preserve">) actúa simultáneamente en dos niveles: en primer lugar, como filtro de corte duro en el</w:t>
      </w:r>
      <w:r>
        <w:t xml:space="preserve"> </w:t>
      </w:r>
      <w:r>
        <w:rPr>
          <w:b/>
          <w:bCs/>
        </w:rPr>
        <w:t xml:space="preserve">Gating de Etapa 1 (</w:t>
      </w:r>
      <m:oMath>
        <m:r>
          <m:t>V</m:t>
        </m:r>
        <m:r>
          <m:t>P</m:t>
        </m:r>
        <m:r>
          <m:t>D</m:t>
        </m:r>
        <m:r>
          <m:rPr>
            <m:sty m:val="p"/>
          </m:rPr>
          <m:t>≥</m:t>
        </m:r>
        <m:r>
          <m:t>0</m:t>
        </m:r>
        <m:r>
          <m:rPr>
            <m:sty m:val="p"/>
          </m:rPr>
          <m:t>,</m:t>
        </m:r>
        <m:r>
          <m:t>8</m:t>
        </m:r>
        <m:r>
          <m:rPr>
            <m:nor/>
            <m:sty m:val="p"/>
          </m:rPr>
          <m:t> kPa</m:t>
        </m:r>
      </m:oMath>
      <w:r>
        <w:rPr>
          <w:b/>
          <w:bCs/>
        </w:rPr>
        <w:t xml:space="preserve">)</w:t>
      </w:r>
      <w:r>
        <w:t xml:space="preserve">; en segundo lugar, su señal dinámica modula las variables compuestas (</w:t>
      </w:r>
      <w:r>
        <w:rPr>
          <w:rStyle w:val="VerbatimChar"/>
        </w:rPr>
        <w:t xml:space="preserve">ffmc</w:t>
      </w:r>
      <w:r>
        <w:t xml:space="preserve">,</w:t>
      </w:r>
      <w:r>
        <w:t xml:space="preserve"> </w:t>
      </w:r>
      <w:r>
        <w:rPr>
          <w:rStyle w:val="VerbatimChar"/>
        </w:rPr>
        <w:t xml:space="preserve">isi</w:t>
      </w:r>
      <w:r>
        <w:t xml:space="preserve">,</w:t>
      </w:r>
      <w:r>
        <w:t xml:space="preserve"> </w:t>
      </w:r>
      <w:r>
        <w:rPr>
          <w:rStyle w:val="VerbatimChar"/>
        </w:rPr>
        <w:t xml:space="preserve">interaccion_acceso_vpd</w:t>
      </w:r>
      <w:r>
        <w:t xml:space="preserve"> </w:t>
      </w:r>
      <w:r>
        <w:t xml:space="preserve">y</w:t>
      </w:r>
      <w:r>
        <w:t xml:space="preserve"> </w:t>
      </w:r>
      <w:r>
        <w:rPr>
          <w:rStyle w:val="VerbatimChar"/>
        </w:rPr>
        <w:t xml:space="preserve">presion_quema_pastura</w:t>
      </w:r>
      <w:r>
        <w:t xml:space="preserve">), impidiendo la colinealidad en el ensamble.</w:t>
      </w:r>
    </w:p>
    <w:p>
      <w:pPr>
        <w:pStyle w:val="BodyText"/>
      </w:pPr>
      <w:r>
        <w:t xml:space="preserve">La descomposición de la explicabilidad biofísica del ensamble mediante el impacto medio absoluto TreeSHAP (</w:t>
      </w:r>
      <m:oMath>
        <m:r>
          <m:rPr>
            <m:sty m:val="p"/>
          </m:rPr>
          <m:t>|</m:t>
        </m:r>
        <m:r>
          <m:rPr>
            <m:nor/>
            <m:sty m:val="p"/>
          </m:rPr>
          <m:t>SHAP</m:t>
        </m:r>
        <m:r>
          <m:rPr>
            <m:sty m:val="p"/>
          </m:rPr>
          <m:t>|</m:t>
        </m:r>
      </m:oMath>
      <w:r>
        <w:t xml:space="preserve">) se expone en la</w:t>
      </w:r>
      <w:r>
        <w:t xml:space="preserve"> </w:t>
      </w:r>
      <w:hyperlink w:anchor="fig-shap">
        <w:r>
          <w:rPr>
            <w:rStyle w:val="Hyperlink"/>
          </w:rPr>
          <w:t xml:space="preserve">Figura 6</w:t>
        </w:r>
      </w:hyperlink>
      <w:r>
        <w:t xml:space="preserve">, contrastando la jerarquía de las variables directoras entre el Chaco y la Región Oriental.</w:t>
      </w:r>
    </w:p>
    <w:tbl>
      <w:tblPr>
        <w:tblStyle w:val="Table"/>
        <w:tblW w:type="pct" w:w="5000"/>
        <w:tblLayout w:type="fixed"/>
        <w:tblLook w:firstRow="0" w:lastRow="0" w:firstColumn="0" w:lastColumn="0" w:noHBand="0" w:noVBand="0" w:val="0000"/>
      </w:tblPr>
      <w:tblGrid>
        <w:gridCol w:w="7920"/>
      </w:tblGrid>
      <w:tr>
        <w:tc>
          <w:tcPr/>
          <w:bookmarkStart w:id="72" w:name="fig-shap"/>
          <w:p>
            <w:pPr>
              <w:pStyle w:val="Compact"/>
              <w:jc w:val="center"/>
            </w:pPr>
            <w:r>
              <w:drawing>
                <wp:inline>
                  <wp:extent cx="5334000" cy="2333624"/>
                  <wp:effectExtent b="0" l="0" r="0" t="0"/>
                  <wp:docPr descr="" title="" id="70" name="Picture"/>
                  <a:graphic>
                    <a:graphicData uri="http://schemas.openxmlformats.org/drawingml/2006/picture">
                      <pic:pic>
                        <pic:nvPicPr>
                          <pic:cNvPr descr="figuras/fig04_shap_comparativa_chaco_vs_oriental.png" id="71" name="Picture"/>
                          <pic:cNvPicPr>
                            <a:picLocks noChangeArrowheads="1" noChangeAspect="1"/>
                          </pic:cNvPicPr>
                        </pic:nvPicPr>
                        <pic:blipFill>
                          <a:blip r:embed="rId69"/>
                          <a:stretch>
                            <a:fillRect/>
                          </a:stretch>
                        </pic:blipFill>
                        <pic:spPr bwMode="auto">
                          <a:xfrm>
                            <a:off x="0" y="0"/>
                            <a:ext cx="5334000" cy="2333624"/>
                          </a:xfrm>
                          <a:prstGeom prst="rect">
                            <a:avLst/>
                          </a:prstGeom>
                          <a:noFill/>
                          <a:ln w="9525">
                            <a:noFill/>
                            <a:headEnd/>
                            <a:tailEnd/>
                          </a:ln>
                        </pic:spPr>
                      </pic:pic>
                    </a:graphicData>
                  </a:graphic>
                </wp:inline>
              </w:drawing>
            </w:r>
          </w:p>
          <w:p>
            <w:pPr>
              <w:jc w:val="center"/>
            </w:pPr>
            <w:pPr>
              <w:jc w:val="left"/>
              <w:spacing w:before="200"/>
              <w:pStyle w:val="ImageCaption"/>
            </w:pPr>
            <w:r>
              <w:t xml:space="preserve">Figura 6: Explicabilidad biofísica global mediante descomposiciones TreeSHAP: Impacto medio absoluto (</w:t>
            </w:r>
            <m:oMath>
              <m:r>
                <m:rPr>
                  <m:sty m:val="p"/>
                </m:rPr>
                <m:t>|</m:t>
              </m:r>
              <m:r>
                <m:rPr>
                  <m:nor/>
                  <m:sty m:val="p"/>
                </m:rPr>
                <m:t>SHAP</m:t>
              </m:r>
              <m:r>
                <m:rPr>
                  <m:sty m:val="p"/>
                </m:rPr>
                <m:t>|</m:t>
              </m:r>
            </m:oMath>
            <w:r>
              <w:t xml:space="preserve">) para las 10 características más determinantes en el Chaco semiárido (panel izquierdo) y en la Región Oriental (panel derecho) calculadas sobre el ensamble LightGBM de ignición híbrida M3.</w:t>
            </w:r>
          </w:p>
          <w:bookmarkEnd w:id="72"/>
        </w:tc>
      </w:tr>
    </w:tbl>
    <w:bookmarkEnd w:id="73"/>
    <w:bookmarkStart w:id="78" w:name="Xd400fc78ef45af2831f753f6a1c6cdfdf24e979"/>
    <w:p>
      <w:pPr>
        <w:pStyle w:val="Heading2"/>
      </w:pPr>
      <w:r>
        <w:t xml:space="preserve">5.4 5.4 Evaluación de Latencia y Rendimiento en Tiempo Real</w:t>
      </w:r>
    </w:p>
    <w:p>
      <w:pPr>
        <w:pStyle w:val="FirstParagraph"/>
      </w:pPr>
      <w:r>
        <w:t xml:space="preserve">El servicio automatizado de alerta (</w:t>
      </w:r>
      <w:r>
        <w:rPr>
          <w:rStyle w:val="VerbatimChar"/>
        </w:rPr>
        <w:t xml:space="preserve">src/alerta.py</w:t>
      </w:r>
      <w:r>
        <w:t xml:space="preserve">) se midió sobre la totalidad del país (</w:t>
      </w:r>
      <m:oMath>
        <m:r>
          <m:t>400.006</m:t>
        </m:r>
      </m:oMath>
      <w:r>
        <w:t xml:space="preserve"> </w:t>
      </w:r>
      <w:r>
        <w:t xml:space="preserve">celdas) el 2024-09-09:</w:t>
      </w:r>
      <w:r>
        <w:t xml:space="preserve"> </w:t>
      </w:r>
      <w:r>
        <w:t xml:space="preserve">-</w:t>
      </w:r>
      <w:r>
        <w:t xml:space="preserve"> </w:t>
      </w:r>
      <w:r>
        <w:rPr>
          <w:b/>
          <w:bCs/>
        </w:rPr>
        <w:t xml:space="preserve">Ingesta, priors causales y gating:</w:t>
      </w:r>
      <w:r>
        <w:t xml:space="preserve"> </w:t>
      </w:r>
      <m:oMath>
        <m:r>
          <m:t>1</m:t>
        </m:r>
        <m:r>
          <m:rPr>
            <m:sty m:val="p"/>
          </m:rPr>
          <m:t>,</m:t>
        </m:r>
        <m:r>
          <m:t>268</m:t>
        </m:r>
        <m:r>
          <m:rPr>
            <m:nor/>
            <m:sty m:val="p"/>
          </m:rPr>
          <m:t> s</m:t>
        </m:r>
      </m:oMath>
      <w:r>
        <w:t xml:space="preserve">.</w:t>
      </w:r>
      <w:r>
        <w:t xml:space="preserve"> </w:t>
      </w:r>
      <w:r>
        <w:t xml:space="preserve">-</w:t>
      </w:r>
      <w:r>
        <w:t xml:space="preserve"> </w:t>
      </w:r>
      <w:r>
        <w:rPr>
          <w:b/>
          <w:bCs/>
        </w:rPr>
        <w:t xml:space="preserve">Inferencia dual LightGBM:</w:t>
      </w:r>
      <w:r>
        <w:t xml:space="preserve"> </w:t>
      </w:r>
      <m:oMath>
        <m:r>
          <m:t>0</m:t>
        </m:r>
        <m:r>
          <m:rPr>
            <m:sty m:val="p"/>
          </m:rPr>
          <m:t>,</m:t>
        </m:r>
        <m:r>
          <m:t>285</m:t>
        </m:r>
        <m:r>
          <m:rPr>
            <m:nor/>
            <m:sty m:val="p"/>
          </m:rPr>
          <m:t> s</m:t>
        </m:r>
      </m:oMath>
      <w:r>
        <w:t xml:space="preserve">.</w:t>
      </w:r>
      <w:r>
        <w:t xml:space="preserve"> </w:t>
      </w:r>
      <w:r>
        <w:t xml:space="preserve">-</w:t>
      </w:r>
      <w:r>
        <w:t xml:space="preserve"> </w:t>
      </w:r>
      <w:r>
        <w:rPr>
          <w:b/>
          <w:bCs/>
        </w:rPr>
        <w:t xml:space="preserve">Agregación y boletín:</w:t>
      </w:r>
      <w:r>
        <w:t xml:space="preserve"> </w:t>
      </w:r>
      <m:oMath>
        <m:r>
          <m:t>0</m:t>
        </m:r>
        <m:r>
          <m:rPr>
            <m:sty m:val="p"/>
          </m:rPr>
          <m:t>,</m:t>
        </m:r>
        <m:r>
          <m:t>016</m:t>
        </m:r>
        <m:r>
          <m:rPr>
            <m:nor/>
            <m:sty m:val="p"/>
          </m:rPr>
          <m:t> s</m:t>
        </m:r>
      </m:oMath>
      <w:r>
        <w:t xml:space="preserve">.</w:t>
      </w:r>
      <w:r>
        <w:t xml:space="preserve"> </w:t>
      </w:r>
      <w:r>
        <w:t xml:space="preserve">-</w:t>
      </w:r>
      <w:r>
        <w:t xml:space="preserve"> </w:t>
      </w:r>
      <w:r>
        <w:rPr>
          <w:b/>
          <w:bCs/>
        </w:rPr>
        <w:t xml:space="preserve">Tiempo total de punta a punta:</w:t>
      </w:r>
      <w:r>
        <w:t xml:space="preserve"> </w:t>
      </w:r>
      <m:oMath>
        <m:r>
          <m:t>1</m:t>
        </m:r>
        <m:r>
          <m:rPr>
            <m:sty m:val="p"/>
          </m:rPr>
          <m:t>,</m:t>
        </m:r>
        <m:r>
          <m:t>569</m:t>
        </m:r>
        <m:r>
          <m:rPr>
            <m:nor/>
            <m:sty m:val="p"/>
          </m:rPr>
          <m:t> s</m:t>
        </m:r>
      </m:oMath>
      <w:r>
        <w:t xml:space="preserve">.</w:t>
      </w:r>
      <w:r>
        <w:t xml:space="preserve"> </w:t>
      </w:r>
      <w:r>
        <w:t xml:space="preserve">-</w:t>
      </w:r>
      <w:r>
        <w:t xml:space="preserve"> </w:t>
      </w:r>
      <w:r>
        <w:rPr>
          <w:b/>
          <w:bCs/>
        </w:rPr>
        <w:t xml:space="preserve">RAM pico medida:</w:t>
      </w:r>
      <w:r>
        <w:t xml:space="preserve"> </w:t>
      </w:r>
      <m:oMath>
        <m:r>
          <m:t>2.182</m:t>
        </m:r>
        <m:r>
          <m:rPr>
            <m:sty m:val="p"/>
          </m:rPr>
          <m:t>,</m:t>
        </m:r>
        <m:r>
          <m:t>1</m:t>
        </m:r>
        <m:r>
          <m:rPr>
            <m:nor/>
            <m:sty m:val="p"/>
          </m:rPr>
          <m:t> MB</m:t>
        </m:r>
      </m:oMath>
      <w:r>
        <w:t xml:space="preserve">.</w:t>
      </w:r>
    </w:p>
    <w:p>
      <w:pPr>
        <w:pStyle w:val="BodyText"/>
      </w:pPr>
      <w:r>
        <w:t xml:space="preserve">Este rendimiento garantiza que una agencia estatal (como el Cuerpo de Bomberos o el INFONA) pueda ejecutar predicciones cada hora si se dispone de pronósticos numéricos de alta frecuencia sin requerir infraestructura de supercómputo. La cartografía operativa resultante a resolución nacional de 1 km² se ilustra en la</w:t>
      </w:r>
      <w:r>
        <w:t xml:space="preserve"> </w:t>
      </w:r>
      <w:hyperlink w:anchor="fig-mapa-operativo">
        <w:r>
          <w:rPr>
            <w:rStyle w:val="Hyperlink"/>
          </w:rPr>
          <w:t xml:space="preserve">Figura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7" w:name="fig-mapa-operativo"/>
          <w:p>
            <w:pPr>
              <w:pStyle w:val="Compact"/>
              <w:jc w:val="center"/>
            </w:pPr>
            <w:r>
              <w:drawing>
                <wp:inline>
                  <wp:extent cx="4533900" cy="5037666"/>
                  <wp:effectExtent b="0" l="0" r="0" t="0"/>
                  <wp:docPr descr="" title="" id="75" name="Picture"/>
                  <a:graphic>
                    <a:graphicData uri="http://schemas.openxmlformats.org/drawingml/2006/picture">
                      <pic:pic>
                        <pic:nvPicPr>
                          <pic:cNvPr descr="figuras/fig03_mapa_riesgo_operativo_nacional.png" id="76" name="Picture"/>
                          <pic:cNvPicPr>
                            <a:picLocks noChangeArrowheads="1" noChangeAspect="1"/>
                          </pic:cNvPicPr>
                        </pic:nvPicPr>
                        <pic:blipFill>
                          <a:blip r:embed="rId74"/>
                          <a:stretch>
                            <a:fillRect/>
                          </a:stretch>
                        </pic:blipFill>
                        <pic:spPr bwMode="auto">
                          <a:xfrm>
                            <a:off x="0" y="0"/>
                            <a:ext cx="4533900" cy="5037666"/>
                          </a:xfrm>
                          <a:prstGeom prst="rect">
                            <a:avLst/>
                          </a:prstGeom>
                          <a:noFill/>
                          <a:ln w="9525">
                            <a:noFill/>
                            <a:headEnd/>
                            <a:tailEnd/>
                          </a:ln>
                        </pic:spPr>
                      </pic:pic>
                    </a:graphicData>
                  </a:graphic>
                </wp:inline>
              </w:drawing>
            </w:r>
          </w:p>
          <w:p>
            <w:pPr>
              <w:jc w:val="center"/>
            </w:pPr>
            <w:pPr>
              <w:jc w:val="left"/>
              <w:spacing w:before="200"/>
              <w:pStyle w:val="ImageCaption"/>
            </w:pPr>
            <w:r>
              <w:t xml:space="preserve">Figura 7: Cartografía de predicción del riesgo operativo de incendios a escala soberana (1 km²): Ejemplo del producto espacial nacional generado por el servicio diario</w:t>
            </w:r>
            <w:r>
              <w:t xml:space="preserve"> </w:t>
            </w:r>
            <w:r>
              <w:rPr>
                <w:rStyle w:val="VerbatimChar"/>
              </w:rPr>
              <w:t xml:space="preserve">Incendios_PY</w:t>
            </w:r>
            <w:r>
              <w:t xml:space="preserve">, integrando la ignición híbrida desacoplada y la probabilidad táctica de avance de fuego.</w:t>
            </w:r>
          </w:p>
          <w:bookmarkEnd w:id="77"/>
        </w:tc>
      </w:tr>
    </w:tbl>
    <w:p>
      <w:r>
        <w:pict>
          <v:rect style="width:0;height:1.5pt" o:hralign="center" o:hrstd="t" o:hr="t"/>
        </w:pict>
      </w:r>
    </w:p>
    <w:bookmarkEnd w:id="78"/>
    <w:bookmarkStart w:id="81" w:name="validación-espacial-por-bloques"/>
    <w:p>
      <w:pPr>
        <w:pStyle w:val="Heading2"/>
      </w:pPr>
      <w:r>
        <w:t xml:space="preserve">5.5 5.5 Validación espacial por bloques</w:t>
      </w:r>
    </w:p>
    <w:p>
      <w:pPr>
        <w:pStyle w:val="FirstParagraph"/>
      </w:pPr>
      <w:r>
        <w:t xml:space="preserve">Para separar la capacidad de generalización espacial de la memorización de celdas recurrentes, se realizó un holdout por bloques de 50 km: se retuvieron ~22,5 % de las celdas, se excluyeron del entrenamiento las celdas retenidas y un buffer de 20 km, y se recalcularon los priors excluyendo los fuegos de las celdas retenidas. El modelo se entrenó en 2018–2022 (bloques retenidos), se calibró en 2023 y se evaluó en 2024–2025 sobre bloques retenidos (</w:t>
      </w:r>
      <w:r>
        <w:rPr>
          <w:i/>
          <w:iCs/>
        </w:rPr>
        <w:t xml:space="preserve">holdout</w:t>
      </w:r>
      <w:r>
        <w:t xml:space="preserve">) y no retenidos (</w:t>
      </w:r>
      <w:r>
        <w:rPr>
          <w:i/>
          <w:iCs/>
        </w:rPr>
        <w:t xml:space="preserve">heldin</w:t>
      </w:r>
      <w:r>
        <w:t xml:space="preserve">).</w:t>
      </w:r>
    </w:p>
    <w:tbl>
      <w:tblPr>
        <w:tblStyle w:val="Table"/>
        <w:tblW w:type="pct" w:w="5000"/>
        <w:tblLayout w:type="fixed"/>
        <w:tblLook w:firstRow="0" w:lastRow="0" w:firstColumn="0" w:lastColumn="0" w:noHBand="0" w:noVBand="0" w:val="0000"/>
      </w:tblPr>
      <w:tblGrid>
        <w:gridCol w:w="7920"/>
      </w:tblGrid>
      <w:tr>
        <w:tc>
          <w:tcPr/>
          <w:bookmarkStart w:id="79" w:name="tbl-espacial"/>
          <w:p>
            <w:pPr>
              <w:jc w:val="center"/>
            </w:pPr>
            <w:pPr>
              <w:jc w:val="left"/>
              <w:spacing w:before="200"/>
              <w:pStyle w:val="ImageCaption"/>
            </w:pPr>
            <w:r>
              <w:t xml:space="preserve">Tabla 8: Validación espacial por bloques de 50 km con buffer de 20 km y priors que excluyen las celdas holdout (</w:t>
            </w:r>
            <w:r>
              <w:rPr>
                <w:rStyle w:val="VerbatimChar"/>
              </w:rPr>
              <w:t xml:space="preserve">scripts/20_validacion_espacial_bloques.py</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left"/>
                    <w:jc w:val="center"/>
                  </w:pPr>
                  <w:r>
                    <w:t xml:space="preserve">ROC-AUC holdout</w:t>
                  </w:r>
                </w:p>
              </w:tc>
              <w:tc>
                <w:tcPr/>
                <w:p>
                  <w:pPr>
                    <w:pStyle w:val="Compact"/>
                    <w:jc w:val="left"/>
                    <w:jc w:val="center"/>
                  </w:pPr>
                  <w:r>
                    <w:t xml:space="preserve">ROC-AUC heldin</w:t>
                  </w:r>
                </w:p>
              </w:tc>
              <w:tc>
                <w:tcPr/>
                <w:p>
                  <w:pPr>
                    <w:pStyle w:val="Compact"/>
                    <w:jc w:val="left"/>
                    <w:jc w:val="center"/>
                  </w:pPr>
                  <w:r>
                    <w:t xml:space="preserve">PR-AUC holdout</w:t>
                  </w:r>
                </w:p>
              </w:tc>
              <w:tc>
                <w:tcPr/>
                <w:p>
                  <w:pPr>
                    <w:pStyle w:val="Compact"/>
                    <w:jc w:val="left"/>
                    <w:jc w:val="center"/>
                  </w:pPr>
                  <w:r>
                    <w:t xml:space="preserve">PR-AUC heldin</w:t>
                  </w:r>
                </w:p>
              </w:tc>
            </w:tr>
            <w:tr>
              <w:tc>
                <w:tcPr/>
                <w:p>
                  <w:pPr>
                    <w:pStyle w:val="Compact"/>
                    <w:jc w:val="left"/>
                    <w:jc w:val="center"/>
                  </w:pPr>
                  <w:r>
                    <w:t xml:space="preserve">Chaco</w:t>
                  </w:r>
                </w:p>
              </w:tc>
              <w:tc>
                <w:tcPr/>
                <w:p>
                  <w:pPr>
                    <w:pStyle w:val="Compact"/>
                    <w:jc w:val="left"/>
                    <w:jc w:val="center"/>
                  </w:pPr>
                  <w:r>
                    <w:t xml:space="preserve">M1_biofisico</w:t>
                  </w:r>
                </w:p>
              </w:tc>
              <w:tc>
                <w:tcPr/>
                <w:p>
                  <w:pPr>
                    <w:pStyle w:val="Compact"/>
                    <w:jc w:val="left"/>
                    <w:jc w:val="center"/>
                  </w:pPr>
                  <w:r>
                    <w:t xml:space="preserve">0.6338</w:t>
                  </w:r>
                </w:p>
              </w:tc>
              <w:tc>
                <w:tcPr/>
                <w:p>
                  <w:pPr>
                    <w:pStyle w:val="Compact"/>
                    <w:jc w:val="left"/>
                    <w:jc w:val="center"/>
                  </w:pPr>
                  <w:r>
                    <w:t xml:space="preserve">0.6191</w:t>
                  </w:r>
                </w:p>
              </w:tc>
              <w:tc>
                <w:tcPr/>
                <w:p>
                  <w:pPr>
                    <w:pStyle w:val="Compact"/>
                    <w:jc w:val="left"/>
                    <w:jc w:val="center"/>
                  </w:pPr>
                  <w:r>
                    <w:t xml:space="preserve">0.1607</w:t>
                  </w:r>
                </w:p>
              </w:tc>
              <w:tc>
                <w:tcPr/>
                <w:p>
                  <w:pPr>
                    <w:pStyle w:val="Compact"/>
                    <w:jc w:val="left"/>
                    <w:jc w:val="center"/>
                  </w:pPr>
                  <w:r>
                    <w:t xml:space="preserve">0.1451</w:t>
                  </w:r>
                </w:p>
              </w:tc>
            </w:tr>
            <w:tr>
              <w:tc>
                <w:tcPr/>
                <w:p>
                  <w:pPr>
                    <w:pStyle w:val="Compact"/>
                    <w:jc w:val="left"/>
                    <w:jc w:val="center"/>
                  </w:pPr>
                  <w:r>
                    <w:t xml:space="preserve">Chaco</w:t>
                  </w:r>
                </w:p>
              </w:tc>
              <w:tc>
                <w:tcPr/>
                <w:p>
                  <w:pPr>
                    <w:pStyle w:val="Compact"/>
                    <w:jc w:val="left"/>
                    <w:jc w:val="center"/>
                  </w:pPr>
                  <w:r>
                    <w:t xml:space="preserve">M2_base</w:t>
                  </w:r>
                </w:p>
              </w:tc>
              <w:tc>
                <w:tcPr/>
                <w:p>
                  <w:pPr>
                    <w:pStyle w:val="Compact"/>
                    <w:jc w:val="left"/>
                    <w:jc w:val="center"/>
                  </w:pPr>
                  <w:r>
                    <w:t xml:space="preserve">0.6333</w:t>
                  </w:r>
                </w:p>
              </w:tc>
              <w:tc>
                <w:tcPr/>
                <w:p>
                  <w:pPr>
                    <w:pStyle w:val="Compact"/>
                    <w:jc w:val="left"/>
                    <w:jc w:val="center"/>
                  </w:pPr>
                  <w:r>
                    <w:t xml:space="preserve">0.7824</w:t>
                  </w:r>
                </w:p>
              </w:tc>
              <w:tc>
                <w:tcPr/>
                <w:p>
                  <w:pPr>
                    <w:pStyle w:val="Compact"/>
                    <w:jc w:val="left"/>
                    <w:jc w:val="center"/>
                  </w:pPr>
                  <w:r>
                    <w:t xml:space="preserve">0.1426</w:t>
                  </w:r>
                </w:p>
              </w:tc>
              <w:tc>
                <w:tcPr/>
                <w:p>
                  <w:pPr>
                    <w:pStyle w:val="Compact"/>
                    <w:jc w:val="left"/>
                    <w:jc w:val="center"/>
                  </w:pPr>
                  <w:r>
                    <w:t xml:space="preserve">0.2258</w:t>
                  </w:r>
                </w:p>
              </w:tc>
            </w:tr>
            <w:tr>
              <w:tc>
                <w:tcPr/>
                <w:p>
                  <w:pPr>
                    <w:pStyle w:val="Compact"/>
                    <w:jc w:val="left"/>
                    <w:jc w:val="center"/>
                  </w:pPr>
                  <w:r>
                    <w:t xml:space="preserve">Chaco</w:t>
                  </w:r>
                </w:p>
              </w:tc>
              <w:tc>
                <w:tcPr/>
                <w:p>
                  <w:pPr>
                    <w:pStyle w:val="Compact"/>
                    <w:jc w:val="left"/>
                    <w:jc w:val="center"/>
                  </w:pPr>
                  <w:r>
                    <w:t xml:space="preserve">M3_hibrido</w:t>
                  </w:r>
                </w:p>
              </w:tc>
              <w:tc>
                <w:tcPr/>
                <w:p>
                  <w:pPr>
                    <w:pStyle w:val="Compact"/>
                    <w:jc w:val="left"/>
                    <w:jc w:val="center"/>
                  </w:pPr>
                  <w:r>
                    <w:t xml:space="preserve">0.6243</w:t>
                  </w:r>
                </w:p>
              </w:tc>
              <w:tc>
                <w:tcPr/>
                <w:p>
                  <w:pPr>
                    <w:pStyle w:val="Compact"/>
                    <w:jc w:val="left"/>
                    <w:jc w:val="center"/>
                  </w:pPr>
                  <w:r>
                    <w:t xml:space="preserve">0.7914</w:t>
                  </w:r>
                </w:p>
              </w:tc>
              <w:tc>
                <w:tcPr/>
                <w:p>
                  <w:pPr>
                    <w:pStyle w:val="Compact"/>
                    <w:jc w:val="left"/>
                    <w:jc w:val="center"/>
                  </w:pPr>
                  <w:r>
                    <w:t xml:space="preserve">0.1410</w:t>
                  </w:r>
                </w:p>
              </w:tc>
              <w:tc>
                <w:tcPr/>
                <w:p>
                  <w:pPr>
                    <w:pStyle w:val="Compact"/>
                    <w:jc w:val="left"/>
                    <w:jc w:val="center"/>
                  </w:pPr>
                  <w:r>
                    <w:t xml:space="preserve">0.2499</w:t>
                  </w:r>
                </w:p>
              </w:tc>
            </w:tr>
            <w:tr>
              <w:tc>
                <w:tcPr/>
                <w:p>
                  <w:pPr>
                    <w:pStyle w:val="Compact"/>
                    <w:jc w:val="left"/>
                    <w:jc w:val="center"/>
                  </w:pPr>
                  <w:r>
                    <w:t xml:space="preserve">Oriental</w:t>
                  </w:r>
                </w:p>
              </w:tc>
              <w:tc>
                <w:tcPr/>
                <w:p>
                  <w:pPr>
                    <w:pStyle w:val="Compact"/>
                    <w:jc w:val="left"/>
                    <w:jc w:val="center"/>
                  </w:pPr>
                  <w:r>
                    <w:t xml:space="preserve">M1_biofisico</w:t>
                  </w:r>
                </w:p>
              </w:tc>
              <w:tc>
                <w:tcPr/>
                <w:p>
                  <w:pPr>
                    <w:pStyle w:val="Compact"/>
                    <w:jc w:val="left"/>
                    <w:jc w:val="center"/>
                  </w:pPr>
                  <w:r>
                    <w:t xml:space="preserve">0.6176</w:t>
                  </w:r>
                </w:p>
              </w:tc>
              <w:tc>
                <w:tcPr/>
                <w:p>
                  <w:pPr>
                    <w:pStyle w:val="Compact"/>
                    <w:jc w:val="left"/>
                    <w:jc w:val="center"/>
                  </w:pPr>
                  <w:r>
                    <w:t xml:space="preserve">0.6335</w:t>
                  </w:r>
                </w:p>
              </w:tc>
              <w:tc>
                <w:tcPr/>
                <w:p>
                  <w:pPr>
                    <w:pStyle w:val="Compact"/>
                    <w:jc w:val="left"/>
                    <w:jc w:val="center"/>
                  </w:pPr>
                  <w:r>
                    <w:t xml:space="preserve">0.1098</w:t>
                  </w:r>
                </w:p>
              </w:tc>
              <w:tc>
                <w:tcPr/>
                <w:p>
                  <w:pPr>
                    <w:pStyle w:val="Compact"/>
                    <w:jc w:val="left"/>
                    <w:jc w:val="center"/>
                  </w:pPr>
                  <w:r>
                    <w:t xml:space="preserve">0.1488</w:t>
                  </w:r>
                </w:p>
              </w:tc>
            </w:tr>
            <w:tr>
              <w:tc>
                <w:tcPr/>
                <w:p>
                  <w:pPr>
                    <w:pStyle w:val="Compact"/>
                    <w:jc w:val="left"/>
                    <w:jc w:val="center"/>
                  </w:pPr>
                  <w:r>
                    <w:t xml:space="preserve">Oriental</w:t>
                  </w:r>
                </w:p>
              </w:tc>
              <w:tc>
                <w:tcPr/>
                <w:p>
                  <w:pPr>
                    <w:pStyle w:val="Compact"/>
                    <w:jc w:val="left"/>
                    <w:jc w:val="center"/>
                  </w:pPr>
                  <w:r>
                    <w:t xml:space="preserve">M2_base</w:t>
                  </w:r>
                </w:p>
              </w:tc>
              <w:tc>
                <w:tcPr/>
                <w:p>
                  <w:pPr>
                    <w:pStyle w:val="Compact"/>
                    <w:jc w:val="left"/>
                    <w:jc w:val="center"/>
                  </w:pPr>
                  <w:r>
                    <w:t xml:space="preserve">0.6010</w:t>
                  </w:r>
                </w:p>
              </w:tc>
              <w:tc>
                <w:tcPr/>
                <w:p>
                  <w:pPr>
                    <w:pStyle w:val="Compact"/>
                    <w:jc w:val="left"/>
                    <w:jc w:val="center"/>
                  </w:pPr>
                  <w:r>
                    <w:t xml:space="preserve">0.7233</w:t>
                  </w:r>
                </w:p>
              </w:tc>
              <w:tc>
                <w:tcPr/>
                <w:p>
                  <w:pPr>
                    <w:pStyle w:val="Compact"/>
                    <w:jc w:val="left"/>
                    <w:jc w:val="center"/>
                  </w:pPr>
                  <w:r>
                    <w:t xml:space="preserve">0.1099</w:t>
                  </w:r>
                </w:p>
              </w:tc>
              <w:tc>
                <w:tcPr/>
                <w:p>
                  <w:pPr>
                    <w:pStyle w:val="Compact"/>
                    <w:jc w:val="left"/>
                    <w:jc w:val="center"/>
                  </w:pPr>
                  <w:r>
                    <w:t xml:space="preserve">0.2073</w:t>
                  </w:r>
                </w:p>
              </w:tc>
            </w:tr>
            <w:tr>
              <w:tc>
                <w:tcPr/>
                <w:p>
                  <w:pPr>
                    <w:pStyle w:val="Compact"/>
                    <w:jc w:val="left"/>
                    <w:jc w:val="center"/>
                  </w:pPr>
                  <w:r>
                    <w:t xml:space="preserve">Oriental</w:t>
                  </w:r>
                </w:p>
              </w:tc>
              <w:tc>
                <w:tcPr/>
                <w:p>
                  <w:pPr>
                    <w:pStyle w:val="Compact"/>
                    <w:jc w:val="left"/>
                    <w:jc w:val="center"/>
                  </w:pPr>
                  <w:r>
                    <w:t xml:space="preserve">M3_hibrido</w:t>
                  </w:r>
                </w:p>
              </w:tc>
              <w:tc>
                <w:tcPr/>
                <w:p>
                  <w:pPr>
                    <w:pStyle w:val="Compact"/>
                    <w:jc w:val="left"/>
                    <w:jc w:val="center"/>
                  </w:pPr>
                  <w:r>
                    <w:t xml:space="preserve">0.5754</w:t>
                  </w:r>
                </w:p>
              </w:tc>
              <w:tc>
                <w:tcPr/>
                <w:p>
                  <w:pPr>
                    <w:pStyle w:val="Compact"/>
                    <w:jc w:val="left"/>
                    <w:jc w:val="center"/>
                  </w:pPr>
                  <w:r>
                    <w:t xml:space="preserve">0.7343</w:t>
                  </w:r>
                </w:p>
              </w:tc>
              <w:tc>
                <w:tcPr/>
                <w:p>
                  <w:pPr>
                    <w:pStyle w:val="Compact"/>
                    <w:jc w:val="left"/>
                    <w:jc w:val="center"/>
                  </w:pPr>
                  <w:r>
                    <w:t xml:space="preserve">0.0991</w:t>
                  </w:r>
                </w:p>
              </w:tc>
              <w:tc>
                <w:tcPr/>
                <w:p>
                  <w:pPr>
                    <w:pStyle w:val="Compact"/>
                    <w:jc w:val="left"/>
                    <w:jc w:val="center"/>
                  </w:pPr>
                  <w:r>
                    <w:t xml:space="preserve">0.2313</w:t>
                  </w:r>
                </w:p>
              </w:tc>
            </w:tr>
          </w:tbl>
          <w:bookmarkEnd w:id="79"/>
          <w:p/>
        </w:tc>
      </w:tr>
    </w:tbl>
    <w:p>
      <w:pPr>
        <w:pStyle w:val="BodyText"/>
      </w:pPr>
      <w:r>
        <w:t xml:space="preserve">El resultado es contundente:</w:t>
      </w:r>
      <w:r>
        <w:t xml:space="preserve"> </w:t>
      </w:r>
      <w:r>
        <w:rPr>
          <w:b/>
          <w:bCs/>
        </w:rPr>
        <w:t xml:space="preserve">la ventaja de M3 no se transfiere espacialmente</w:t>
      </w:r>
      <w:r>
        <w:t xml:space="preserve">. En bloques no vistos, M3 cae a ROC-AUC 0,6243 (Chaco) y 0,5754 (Oriental), mientras que M1 —sin priors de fuego— obtiene 0,6338 y 0,6176. La ganancia de M3 en celdas con historia de fuego (0,7914/0,7343) proviene en gran medida de la recurrencia específica de la celda, no de una señal biofísica transferible. Por tanto, M3 debe presentarse como un</w:t>
      </w:r>
      <w:r>
        <w:t xml:space="preserve"> </w:t>
      </w:r>
      <w:r>
        <w:rPr>
          <w:b/>
          <w:bCs/>
        </w:rPr>
        <w:t xml:space="preserve">nowcast temporal para celdas con historia observada</w:t>
      </w:r>
      <w:r>
        <w:t xml:space="preserve">, y M1 como la opción más robusta para extrapolación espacial. Esta es una limitación central del enfoque híbrido actual.</w:t>
      </w:r>
    </w:p>
    <w:bookmarkStart w:id="80" w:name="por-qué-m3-se-usa-en-la-alerta"/>
    <w:p>
      <w:pPr>
        <w:pStyle w:val="Heading3"/>
      </w:pPr>
      <w:r>
        <w:t xml:space="preserve">5.5.1 5.5.1 Por qué M3 se usa en la alerta</w:t>
      </w:r>
    </w:p>
    <w:p>
      <w:pPr>
        <w:pStyle w:val="FirstParagraph"/>
      </w:pPr>
      <w:r>
        <w:t xml:space="preserve">La alerta operativa es un</w:t>
      </w:r>
      <w:r>
        <w:t xml:space="preserve"> </w:t>
      </w:r>
      <w:r>
        <w:rPr>
          <w:b/>
          <w:bCs/>
        </w:rPr>
        <w:t xml:space="preserve">nowcast sobre celdas con historia de fuego</w:t>
      </w:r>
      <w:r>
        <w:t xml:space="preserve">, no un modelo de extrapolación a paisajes nuevos. El 90,94 % de las celdas de test ya estaban presentes en train, y la ventaja de M3 se concentra en la recurrencia espacial. Por eso M3 se usa para priorizar celdas ya conocidas por el sistema; para celdas sin historia de fuego la alerta usa M1 y marca el resultado como fallback.</w:t>
      </w:r>
    </w:p>
    <w:p>
      <w:pPr>
        <w:pStyle w:val="BodyText"/>
      </w:pPr>
      <w:r>
        <w:t xml:space="preserve">La alerta implementa un</w:t>
      </w:r>
      <w:r>
        <w:t xml:space="preserve"> </w:t>
      </w:r>
      <w:r>
        <w:rPr>
          <w:i/>
          <w:iCs/>
        </w:rPr>
        <w:t xml:space="preserve">fallback</w:t>
      </w:r>
      <w:r>
        <w:t xml:space="preserve"> </w:t>
      </w:r>
      <w:r>
        <w:t xml:space="preserve">M1: usa M3 en celdas con recurrencia histórica (</w:t>
      </w:r>
      <w:r>
        <w:rPr>
          <w:rStyle w:val="VerbatimChar"/>
        </w:rPr>
        <w:t xml:space="preserve">freq_hist_1km &gt; 0</w:t>
      </w:r>
      <w:r>
        <w:t xml:space="preserve">) y M1 en celdas sin historia (</w:t>
      </w:r>
      <w:r>
        <w:rPr>
          <w:rStyle w:val="VerbatimChar"/>
        </w:rPr>
        <w:t xml:space="preserve">freq_hist_1km = 0</w:t>
      </w:r>
      <w:r>
        <w:t xml:space="preserve">). Esto no convierte a M3 en un modelo espacialmente transferible; sólo evita aplicarlo fuera de su dominio de recurrencia.</w:t>
      </w:r>
    </w:p>
    <w:p>
      <w:r>
        <w:pict>
          <v:rect style="width:0;height:1.5pt" o:hralign="center" o:hrstd="t" o:hr="t"/>
        </w:pict>
      </w:r>
    </w:p>
    <w:bookmarkEnd w:id="80"/>
    <w:bookmarkEnd w:id="81"/>
    <w:bookmarkStart w:id="83" w:name="Xf78728e2b201d43f6e9e1a9e0285de6842e5004"/>
    <w:p>
      <w:pPr>
        <w:pStyle w:val="Heading2"/>
      </w:pPr>
      <w:r>
        <w:t xml:space="preserve">5.6 5.6 Evaluación con clima de t-1 (24 h de anticipación)</w:t>
      </w:r>
    </w:p>
    <w:p>
      <w:pPr>
        <w:pStyle w:val="FirstParagraph"/>
      </w:pPr>
      <w:r>
        <w:t xml:space="preserve">Para estimar el costo de eliminar el clima del mismo día, se repitió la evaluación sustituyendo todas las variables meteorológicas por las del día anterior (persistencia). No es un pronóstico numérico real, pero da una cota de lo que ocurre con 24 h de anticipación.</w:t>
      </w:r>
    </w:p>
    <w:tbl>
      <w:tblPr>
        <w:tblStyle w:val="Table"/>
        <w:tblW w:type="pct" w:w="5000"/>
        <w:tblLayout w:type="fixed"/>
        <w:tblLook w:firstRow="0" w:lastRow="0" w:firstColumn="0" w:lastColumn="0" w:noHBand="0" w:noVBand="0" w:val="0000"/>
      </w:tblPr>
      <w:tblGrid>
        <w:gridCol w:w="7920"/>
      </w:tblGrid>
      <w:tr>
        <w:tc>
          <w:tcPr/>
          <w:bookmarkStart w:id="82" w:name="tbl-lead-time"/>
          <w:p>
            <w:pPr>
              <w:jc w:val="center"/>
            </w:pPr>
            <w:pPr>
              <w:jc w:val="left"/>
              <w:spacing w:before="200"/>
              <w:pStyle w:val="ImageCaption"/>
            </w:pPr>
            <w:r>
              <w:t xml:space="preserve">Tabla 9: Evaluación con clima de t-1 (persistencia, 24 h de anticipación). Comparar con la Tabla 1 (clima del mismo día).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Modelo</w:t>
                  </w:r>
                </w:p>
              </w:tc>
              <w:tc>
                <w:tcPr/>
                <w:p>
                  <w:pPr>
                    <w:pStyle w:val="Compact"/>
                    <w:jc w:val="left"/>
                    <w:jc w:val="center"/>
                  </w:pPr>
                  <w:r>
                    <w:t xml:space="preserve">ROC-AUC t-1</w:t>
                  </w:r>
                </w:p>
              </w:tc>
              <w:tc>
                <w:tcPr/>
                <w:p>
                  <w:pPr>
                    <w:pStyle w:val="Compact"/>
                    <w:jc w:val="left"/>
                    <w:jc w:val="center"/>
                  </w:pPr>
                  <w:r>
                    <w:t xml:space="preserve">PR-AUC t-1</w:t>
                  </w:r>
                </w:p>
              </w:tc>
              <w:tc>
                <w:tcPr/>
                <w:p>
                  <w:pPr>
                    <w:pStyle w:val="Compact"/>
                    <w:jc w:val="left"/>
                    <w:jc w:val="center"/>
                  </w:pPr>
                  <w:r>
                    <w:t xml:space="preserve">Precisión</w:t>
                  </w:r>
                  <w:r>
                    <w:t xml:space="preserve"> </w:t>
                  </w:r>
                  <m:oMath>
                    <m:sSub>
                      <m:e>
                        <m:r>
                          <m:t>F</m:t>
                        </m:r>
                      </m:e>
                      <m:sub>
                        <m:r>
                          <m:t>0.5</m:t>
                        </m:r>
                      </m:sub>
                    </m:sSub>
                  </m:oMath>
                  <w:r>
                    <w:t xml:space="preserve"> </w:t>
                  </w:r>
                  <w:r>
                    <w:t xml:space="preserve">t-1</w:t>
                  </w:r>
                </w:p>
              </w:tc>
            </w:tr>
            <w:tr>
              <w:tc>
                <w:tcPr/>
                <w:p>
                  <w:pPr>
                    <w:pStyle w:val="Compact"/>
                    <w:jc w:val="left"/>
                    <w:jc w:val="center"/>
                  </w:pPr>
                  <w:r>
                    <w:t xml:space="preserve">Chaco</w:t>
                  </w:r>
                </w:p>
              </w:tc>
              <w:tc>
                <w:tcPr/>
                <w:p>
                  <w:pPr>
                    <w:pStyle w:val="Compact"/>
                    <w:jc w:val="left"/>
                    <w:jc w:val="center"/>
                  </w:pPr>
                  <w:r>
                    <w:t xml:space="preserve">M1_biofisico_t1</w:t>
                  </w:r>
                </w:p>
              </w:tc>
              <w:tc>
                <w:tcPr/>
                <w:p>
                  <w:pPr>
                    <w:pStyle w:val="Compact"/>
                    <w:jc w:val="left"/>
                    <w:jc w:val="center"/>
                  </w:pPr>
                  <w:r>
                    <w:t xml:space="preserve">0.6222</w:t>
                  </w:r>
                </w:p>
              </w:tc>
              <w:tc>
                <w:tcPr/>
                <w:p>
                  <w:pPr>
                    <w:pStyle w:val="Compact"/>
                    <w:jc w:val="left"/>
                    <w:jc w:val="center"/>
                  </w:pPr>
                  <w:r>
                    <w:t xml:space="preserve">0.1473</w:t>
                  </w:r>
                </w:p>
              </w:tc>
              <w:tc>
                <w:tcPr/>
                <w:p>
                  <w:pPr>
                    <w:pStyle w:val="Compact"/>
                    <w:jc w:val="left"/>
                    <w:jc w:val="center"/>
                  </w:pPr>
                  <w:r>
                    <w:t xml:space="preserve">14.34</w:t>
                  </w:r>
                </w:p>
              </w:tc>
            </w:tr>
            <w:tr>
              <w:tc>
                <w:tcPr/>
                <w:p>
                  <w:pPr>
                    <w:pStyle w:val="Compact"/>
                    <w:jc w:val="left"/>
                    <w:jc w:val="center"/>
                  </w:pPr>
                  <w:r>
                    <w:t xml:space="preserve">Chaco</w:t>
                  </w:r>
                </w:p>
              </w:tc>
              <w:tc>
                <w:tcPr/>
                <w:p>
                  <w:pPr>
                    <w:pStyle w:val="Compact"/>
                    <w:jc w:val="left"/>
                    <w:jc w:val="center"/>
                  </w:pPr>
                  <w:r>
                    <w:t xml:space="preserve">M3_hibrido_t1</w:t>
                  </w:r>
                </w:p>
              </w:tc>
              <w:tc>
                <w:tcPr/>
                <w:p>
                  <w:pPr>
                    <w:pStyle w:val="Compact"/>
                    <w:jc w:val="left"/>
                    <w:jc w:val="center"/>
                  </w:pPr>
                  <w:r>
                    <w:t xml:space="preserve">0.7841</w:t>
                  </w:r>
                </w:p>
              </w:tc>
              <w:tc>
                <w:tcPr/>
                <w:p>
                  <w:pPr>
                    <w:pStyle w:val="Compact"/>
                    <w:jc w:val="left"/>
                    <w:jc w:val="center"/>
                  </w:pPr>
                  <w:r>
                    <w:t xml:space="preserve">0.2386</w:t>
                  </w:r>
                </w:p>
              </w:tc>
              <w:tc>
                <w:tcPr/>
                <w:p>
                  <w:pPr>
                    <w:pStyle w:val="Compact"/>
                    <w:jc w:val="left"/>
                    <w:jc w:val="center"/>
                  </w:pPr>
                  <w:r>
                    <w:t xml:space="preserve">27.69</w:t>
                  </w:r>
                </w:p>
              </w:tc>
            </w:tr>
            <w:tr>
              <w:tc>
                <w:tcPr/>
                <w:p>
                  <w:pPr>
                    <w:pStyle w:val="Compact"/>
                    <w:jc w:val="left"/>
                    <w:jc w:val="center"/>
                  </w:pPr>
                  <w:r>
                    <w:t xml:space="preserve">Oriental</w:t>
                  </w:r>
                </w:p>
              </w:tc>
              <w:tc>
                <w:tcPr/>
                <w:p>
                  <w:pPr>
                    <w:pStyle w:val="Compact"/>
                    <w:jc w:val="left"/>
                    <w:jc w:val="center"/>
                  </w:pPr>
                  <w:r>
                    <w:t xml:space="preserve">M1_biofisico_t1</w:t>
                  </w:r>
                </w:p>
              </w:tc>
              <w:tc>
                <w:tcPr/>
                <w:p>
                  <w:pPr>
                    <w:pStyle w:val="Compact"/>
                    <w:jc w:val="left"/>
                    <w:jc w:val="center"/>
                  </w:pPr>
                  <w:r>
                    <w:t xml:space="preserve">0.6340</w:t>
                  </w:r>
                </w:p>
              </w:tc>
              <w:tc>
                <w:tcPr/>
                <w:p>
                  <w:pPr>
                    <w:pStyle w:val="Compact"/>
                    <w:jc w:val="left"/>
                    <w:jc w:val="center"/>
                  </w:pPr>
                  <w:r>
                    <w:t xml:space="preserve">0.1412</w:t>
                  </w:r>
                </w:p>
              </w:tc>
              <w:tc>
                <w:tcPr/>
                <w:p>
                  <w:pPr>
                    <w:pStyle w:val="Compact"/>
                    <w:jc w:val="left"/>
                    <w:jc w:val="center"/>
                  </w:pPr>
                  <w:r>
                    <w:t xml:space="preserve">15.79</w:t>
                  </w:r>
                </w:p>
              </w:tc>
            </w:tr>
            <w:tr>
              <w:tc>
                <w:tcPr/>
                <w:p>
                  <w:pPr>
                    <w:pStyle w:val="Compact"/>
                    <w:jc w:val="left"/>
                    <w:jc w:val="center"/>
                  </w:pPr>
                  <w:r>
                    <w:t xml:space="preserve">Oriental</w:t>
                  </w:r>
                </w:p>
              </w:tc>
              <w:tc>
                <w:tcPr/>
                <w:p>
                  <w:pPr>
                    <w:pStyle w:val="Compact"/>
                    <w:jc w:val="left"/>
                    <w:jc w:val="center"/>
                  </w:pPr>
                  <w:r>
                    <w:t xml:space="preserve">M3_hibrido_t1</w:t>
                  </w:r>
                </w:p>
              </w:tc>
              <w:tc>
                <w:tcPr/>
                <w:p>
                  <w:pPr>
                    <w:pStyle w:val="Compact"/>
                    <w:jc w:val="left"/>
                    <w:jc w:val="center"/>
                  </w:pPr>
                  <w:r>
                    <w:t xml:space="preserve">0.7465</w:t>
                  </w:r>
                </w:p>
              </w:tc>
              <w:tc>
                <w:tcPr/>
                <w:p>
                  <w:pPr>
                    <w:pStyle w:val="Compact"/>
                    <w:jc w:val="left"/>
                    <w:jc w:val="center"/>
                  </w:pPr>
                  <w:r>
                    <w:t xml:space="preserve">0.2299</w:t>
                  </w:r>
                </w:p>
              </w:tc>
              <w:tc>
                <w:tcPr/>
                <w:p>
                  <w:pPr>
                    <w:pStyle w:val="Compact"/>
                    <w:jc w:val="left"/>
                    <w:jc w:val="center"/>
                  </w:pPr>
                  <w:r>
                    <w:t xml:space="preserve">28.31</w:t>
                  </w:r>
                </w:p>
              </w:tc>
            </w:tr>
          </w:tbl>
          <w:bookmarkEnd w:id="82"/>
          <w:p/>
        </w:tc>
      </w:tr>
    </w:tbl>
    <w:p>
      <w:pPr>
        <w:pStyle w:val="BodyText"/>
      </w:pPr>
      <w:r>
        <w:t xml:space="preserve">M3 conserva casi todo su rendimiento con clima de ayer (0,7841/0,7465 vs. 0,7851/0,7485), lo que confirma que su señal dominante son los priors de recurrencia y no el clima del día. M1 cae ligeramente en Oriental (0,6340). Para un sistema operativo real se requiere un pronóstico day-ahead; la persistencia es sólo una cota.</w:t>
      </w:r>
    </w:p>
    <w:bookmarkEnd w:id="83"/>
    <w:bookmarkStart w:id="89" w:name="utilidad-operativa-análisis-cost-loss"/>
    <w:p>
      <w:pPr>
        <w:pStyle w:val="Heading2"/>
      </w:pPr>
      <w:r>
        <w:t xml:space="preserve">5.7 5.7 Utilidad operativa: análisis cost-loss</w:t>
      </w:r>
    </w:p>
    <w:p>
      <w:pPr>
        <w:pStyle w:val="FirstParagraph"/>
      </w:pPr>
      <w:r>
        <w:t xml:space="preserve">Las métricas de discriminación no responden por sí solas si conviene emitir una alerta. Se aplicó un análisis cost-loss poblacional con razón (</w:t>
      </w:r>
      <w:r>
        <w:t xml:space="preserve">=C/L), donde (C) es el costo de una acción preventiva y (L) la pérdida asociada a un incendio no atendido. El valor relativo (V(</w:t>
      </w:r>
      <w:r>
        <w:t xml:space="preserve">)) se calculó con los pesos poblacionales del muestreo D2.</w:t>
      </w:r>
    </w:p>
    <w:tbl>
      <w:tblPr>
        <w:tblStyle w:val="Table"/>
        <w:tblW w:type="pct" w:w="5000"/>
        <w:tblLayout w:type="fixed"/>
        <w:tblLook w:firstRow="0" w:lastRow="0" w:firstColumn="0" w:lastColumn="0" w:noHBand="0" w:noVBand="0" w:val="0000"/>
      </w:tblPr>
      <w:tblGrid>
        <w:gridCol w:w="7920"/>
      </w:tblGrid>
      <w:tr>
        <w:tc>
          <w:tcPr/>
          <w:bookmarkStart w:id="84" w:name="tbl-costloss"/>
          <w:p>
            <w:pPr>
              <w:jc w:val="center"/>
            </w:pPr>
            <w:pPr>
              <w:jc w:val="left"/>
              <w:spacing w:before="200"/>
              <w:pStyle w:val="ImageCaption"/>
            </w:pPr>
            <w:r>
              <w:t xml:space="preserve">Tabla 10: Análisis cost-loss poblacional. FWI/INPE se excluyen porque no son probabilidades calibradas.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Región</w:t>
                  </w:r>
                </w:p>
              </w:tc>
              <w:tc>
                <w:tcPr/>
                <w:p>
                  <w:pPr>
                    <w:pStyle w:val="Compact"/>
                    <w:jc w:val="left"/>
                    <w:jc w:val="center"/>
                  </w:pPr>
                  <w:r>
                    <w:t xml:space="preserve">Target</w:t>
                  </w:r>
                </w:p>
              </w:tc>
              <w:tc>
                <w:tcPr/>
                <w:p>
                  <w:pPr>
                    <w:pStyle w:val="Compact"/>
                    <w:jc w:val="left"/>
                    <w:jc w:val="center"/>
                  </w:pPr>
                  <w:r>
                    <w:t xml:space="preserve">Modelo</w:t>
                  </w:r>
                </w:p>
              </w:tc>
              <w:tc>
                <w:tcPr/>
                <w:p>
                  <w:pPr>
                    <w:pStyle w:val="Compact"/>
                    <w:jc w:val="right"/>
                    <w:jc w:val="center"/>
                  </w:pPr>
                  <w:r>
                    <w:t xml:space="preserve">(</w:t>
                  </w:r>
                  <w:r>
                    <w:t xml:space="preserve">) óptimo</w:t>
                  </w:r>
                </w:p>
              </w:tc>
              <w:tc>
                <w:tcPr/>
                <w:p>
                  <w:pPr>
                    <w:pStyle w:val="Compact"/>
                    <w:jc w:val="right"/>
                    <w:jc w:val="center"/>
                  </w:pPr>
                  <w:r>
                    <w:t xml:space="preserve">(V_{</w:t>
                  </w:r>
                  <w:r>
                    <w:t xml:space="preserve">})</w:t>
                  </w:r>
                </w:p>
              </w:tc>
            </w:tr>
            <w:tr>
              <w:tc>
                <w:tcPr/>
                <w:p>
                  <w:pPr>
                    <w:pStyle w:val="Compact"/>
                    <w:jc w:val="left"/>
                    <w:jc w:val="center"/>
                  </w:pPr>
                  <w:r>
                    <w:t xml:space="preserve">Chaco</w:t>
                  </w:r>
                </w:p>
              </w:tc>
              <w:tc>
                <w:tcPr/>
                <w:p>
                  <w:pPr>
                    <w:pStyle w:val="Compact"/>
                    <w:jc w:val="left"/>
                    <w:jc w:val="center"/>
                  </w:pPr>
                  <w:r>
                    <w:t xml:space="preserve">Ignición</w:t>
                  </w:r>
                </w:p>
              </w:tc>
              <w:tc>
                <w:tcPr/>
                <w:p>
                  <w:pPr>
                    <w:pStyle w:val="Compact"/>
                    <w:jc w:val="left"/>
                    <w:jc w:val="center"/>
                  </w:pPr>
                  <w:r>
                    <w:t xml:space="preserve">M2</w:t>
                  </w:r>
                </w:p>
              </w:tc>
              <w:tc>
                <w:tcPr/>
                <w:p>
                  <w:pPr>
                    <w:pStyle w:val="Compact"/>
                    <w:jc w:val="right"/>
                    <w:jc w:val="center"/>
                  </w:pPr>
                  <w:r>
                    <w:t xml:space="preserve">0,0001</w:t>
                  </w:r>
                </w:p>
              </w:tc>
              <w:tc>
                <w:tcPr/>
                <w:p>
                  <w:pPr>
                    <w:pStyle w:val="Compact"/>
                    <w:jc w:val="right"/>
                    <w:jc w:val="center"/>
                  </w:pPr>
                  <w:r>
                    <w:t xml:space="preserve">0,357</w:t>
                  </w:r>
                </w:p>
              </w:tc>
            </w:tr>
            <w:tr>
              <w:tc>
                <w:tcPr/>
                <w:p>
                  <w:pPr>
                    <w:pStyle w:val="Compact"/>
                    <w:jc w:val="left"/>
                    <w:jc w:val="center"/>
                  </w:pPr>
                  <w:r>
                    <w:t xml:space="preserve">Chaco</w:t>
                  </w:r>
                </w:p>
              </w:tc>
              <w:tc>
                <w:tcPr/>
                <w:p>
                  <w:pPr>
                    <w:pStyle w:val="Compact"/>
                    <w:jc w:val="left"/>
                    <w:jc w:val="center"/>
                  </w:pPr>
                  <w:r>
                    <w:t xml:space="preserve">Ignición</w:t>
                  </w:r>
                </w:p>
              </w:tc>
              <w:tc>
                <w:tcPr/>
                <w:p>
                  <w:pPr>
                    <w:pStyle w:val="Compact"/>
                    <w:jc w:val="left"/>
                    <w:jc w:val="center"/>
                  </w:pPr>
                  <w:r>
                    <w:t xml:space="preserve">M3</w:t>
                  </w:r>
                </w:p>
              </w:tc>
              <w:tc>
                <w:tcPr/>
                <w:p>
                  <w:pPr>
                    <w:pStyle w:val="Compact"/>
                    <w:jc w:val="right"/>
                    <w:jc w:val="center"/>
                  </w:pPr>
                  <w:r>
                    <w:t xml:space="preserve">0,0001</w:t>
                  </w:r>
                </w:p>
              </w:tc>
              <w:tc>
                <w:tcPr/>
                <w:p>
                  <w:pPr>
                    <w:pStyle w:val="Compact"/>
                    <w:jc w:val="right"/>
                    <w:jc w:val="center"/>
                  </w:pPr>
                  <w:r>
                    <w:t xml:space="preserve">0,353</w:t>
                  </w:r>
                </w:p>
              </w:tc>
            </w:tr>
            <w:tr>
              <w:tc>
                <w:tcPr/>
                <w:p>
                  <w:pPr>
                    <w:pStyle w:val="Compact"/>
                    <w:jc w:val="left"/>
                    <w:jc w:val="center"/>
                  </w:pPr>
                  <w:r>
                    <w:t xml:space="preserve">Chaco</w:t>
                  </w:r>
                </w:p>
              </w:tc>
              <w:tc>
                <w:tcPr/>
                <w:p>
                  <w:pPr>
                    <w:pStyle w:val="Compact"/>
                    <w:jc w:val="left"/>
                    <w:jc w:val="center"/>
                  </w:pPr>
                  <w:r>
                    <w:t xml:space="preserve">Propagación</w:t>
                  </w:r>
                </w:p>
              </w:tc>
              <w:tc>
                <w:tcPr/>
                <w:p>
                  <w:pPr>
                    <w:pStyle w:val="Compact"/>
                    <w:jc w:val="left"/>
                    <w:jc w:val="center"/>
                  </w:pPr>
                  <w:r>
                    <w:t xml:space="preserve">Propagación</w:t>
                  </w:r>
                </w:p>
              </w:tc>
              <w:tc>
                <w:tcPr/>
                <w:p>
                  <w:pPr>
                    <w:pStyle w:val="Compact"/>
                    <w:jc w:val="right"/>
                    <w:jc w:val="center"/>
                  </w:pPr>
                  <w:r>
                    <w:t xml:space="preserve">0,0020</w:t>
                  </w:r>
                </w:p>
              </w:tc>
              <w:tc>
                <w:tcPr/>
                <w:p>
                  <w:pPr>
                    <w:pStyle w:val="Compact"/>
                    <w:jc w:val="right"/>
                    <w:jc w:val="center"/>
                  </w:pPr>
                  <w:r>
                    <w:t xml:space="preserve">0,623</w:t>
                  </w:r>
                </w:p>
              </w:tc>
            </w:tr>
            <w:tr>
              <w:tc>
                <w:tcPr/>
                <w:p>
                  <w:pPr>
                    <w:pStyle w:val="Compact"/>
                    <w:jc w:val="left"/>
                    <w:jc w:val="center"/>
                  </w:pPr>
                  <w:r>
                    <w:t xml:space="preserve">Oriental</w:t>
                  </w:r>
                </w:p>
              </w:tc>
              <w:tc>
                <w:tcPr/>
                <w:p>
                  <w:pPr>
                    <w:pStyle w:val="Compact"/>
                    <w:jc w:val="left"/>
                    <w:jc w:val="center"/>
                  </w:pPr>
                  <w:r>
                    <w:t xml:space="preserve">Ignición</w:t>
                  </w:r>
                </w:p>
              </w:tc>
              <w:tc>
                <w:tcPr/>
                <w:p>
                  <w:pPr>
                    <w:pStyle w:val="Compact"/>
                    <w:jc w:val="left"/>
                    <w:jc w:val="center"/>
                  </w:pPr>
                  <w:r>
                    <w:t xml:space="preserve">M2</w:t>
                  </w:r>
                </w:p>
              </w:tc>
              <w:tc>
                <w:tcPr/>
                <w:p>
                  <w:pPr>
                    <w:pStyle w:val="Compact"/>
                    <w:jc w:val="right"/>
                    <w:jc w:val="center"/>
                  </w:pPr>
                  <w:r>
                    <w:t xml:space="preserve">0,0005</w:t>
                  </w:r>
                </w:p>
              </w:tc>
              <w:tc>
                <w:tcPr/>
                <w:p>
                  <w:pPr>
                    <w:pStyle w:val="Compact"/>
                    <w:jc w:val="right"/>
                    <w:jc w:val="center"/>
                  </w:pPr>
                  <w:r>
                    <w:t xml:space="preserve">0,300</w:t>
                  </w:r>
                </w:p>
              </w:tc>
            </w:tr>
            <w:tr>
              <w:tc>
                <w:tcPr/>
                <w:p>
                  <w:pPr>
                    <w:pStyle w:val="Compact"/>
                    <w:jc w:val="left"/>
                    <w:jc w:val="center"/>
                  </w:pPr>
                  <w:r>
                    <w:t xml:space="preserve">Oriental</w:t>
                  </w:r>
                </w:p>
              </w:tc>
              <w:tc>
                <w:tcPr/>
                <w:p>
                  <w:pPr>
                    <w:pStyle w:val="Compact"/>
                    <w:jc w:val="left"/>
                    <w:jc w:val="center"/>
                  </w:pPr>
                  <w:r>
                    <w:t xml:space="preserve">Ignición</w:t>
                  </w:r>
                </w:p>
              </w:tc>
              <w:tc>
                <w:tcPr/>
                <w:p>
                  <w:pPr>
                    <w:pStyle w:val="Compact"/>
                    <w:jc w:val="left"/>
                    <w:jc w:val="center"/>
                  </w:pPr>
                  <w:r>
                    <w:t xml:space="preserve">M3</w:t>
                  </w:r>
                </w:p>
              </w:tc>
              <w:tc>
                <w:tcPr/>
                <w:p>
                  <w:pPr>
                    <w:pStyle w:val="Compact"/>
                    <w:jc w:val="right"/>
                    <w:jc w:val="center"/>
                  </w:pPr>
                  <w:r>
                    <w:t xml:space="preserve">0,0005</w:t>
                  </w:r>
                </w:p>
              </w:tc>
              <w:tc>
                <w:tcPr/>
                <w:p>
                  <w:pPr>
                    <w:pStyle w:val="Compact"/>
                    <w:jc w:val="right"/>
                    <w:jc w:val="center"/>
                  </w:pPr>
                  <w:r>
                    <w:t xml:space="preserve">0,309</w:t>
                  </w:r>
                </w:p>
              </w:tc>
            </w:tr>
            <w:tr>
              <w:tc>
                <w:tcPr/>
                <w:p>
                  <w:pPr>
                    <w:pStyle w:val="Compact"/>
                    <w:jc w:val="left"/>
                    <w:jc w:val="center"/>
                  </w:pPr>
                  <w:r>
                    <w:t xml:space="preserve">Oriental</w:t>
                  </w:r>
                </w:p>
              </w:tc>
              <w:tc>
                <w:tcPr/>
                <w:p>
                  <w:pPr>
                    <w:pStyle w:val="Compact"/>
                    <w:jc w:val="left"/>
                    <w:jc w:val="center"/>
                  </w:pPr>
                  <w:r>
                    <w:t xml:space="preserve">Propagación</w:t>
                  </w:r>
                </w:p>
              </w:tc>
              <w:tc>
                <w:tcPr/>
                <w:p>
                  <w:pPr>
                    <w:pStyle w:val="Compact"/>
                    <w:jc w:val="left"/>
                    <w:jc w:val="center"/>
                  </w:pPr>
                  <w:r>
                    <w:t xml:space="preserve">Propagación</w:t>
                  </w:r>
                </w:p>
              </w:tc>
              <w:tc>
                <w:tcPr/>
                <w:p>
                  <w:pPr>
                    <w:pStyle w:val="Compact"/>
                    <w:jc w:val="right"/>
                    <w:jc w:val="center"/>
                  </w:pPr>
                  <w:r>
                    <w:t xml:space="preserve">0,0020</w:t>
                  </w:r>
                </w:p>
              </w:tc>
              <w:tc>
                <w:tcPr/>
                <w:p>
                  <w:pPr>
                    <w:pStyle w:val="Compact"/>
                    <w:jc w:val="right"/>
                    <w:jc w:val="center"/>
                  </w:pPr>
                  <w:r>
                    <w:t xml:space="preserve">0,391</w:t>
                  </w:r>
                </w:p>
              </w:tc>
            </w:tr>
          </w:tbl>
          <w:bookmarkEnd w:id="84"/>
          <w:p/>
        </w:tc>
      </w:tr>
    </w:tbl>
    <w:p>
      <w:pPr>
        <w:pStyle w:val="BodyText"/>
      </w:pPr>
      <w:r>
        <w:t xml:space="preserve">El resultado es sobrio:</w:t>
      </w:r>
      <w:r>
        <w:t xml:space="preserve"> </w:t>
      </w:r>
      <w:r>
        <w:rPr>
          <w:b/>
          <w:bCs/>
        </w:rPr>
        <w:t xml:space="preserve">M3 no supera de forma clara a M2 en utilidad cost-loss para ignición</w:t>
      </w:r>
      <w:r>
        <w:t xml:space="preserve">; en Chaco, M2 es ligeramente superior en el óptimo, y en Oriental M3 lo supera por un margen pequeño. La capa de propagación sí muestra un valor operativo claramente mayor, con un óptimo alrededor de (</w:t>
      </w:r>
      <w:r>
        <w:t xml:space="preserve">002). Esto refuerza la conclusión de que M3 debe presentarse como un nowcast de recurrencia y no como un modelo universal de ignición.</w:t>
      </w:r>
    </w:p>
    <w:tbl>
      <w:tblPr>
        <w:tblStyle w:val="Table"/>
        <w:tblW w:type="pct" w:w="5000"/>
        <w:tblLayout w:type="fixed"/>
        <w:tblLook w:firstRow="0" w:lastRow="0" w:firstColumn="0" w:lastColumn="0" w:noHBand="0" w:noVBand="0" w:val="0000"/>
      </w:tblPr>
      <w:tblGrid>
        <w:gridCol w:w="7920"/>
      </w:tblGrid>
      <w:tr>
        <w:tc>
          <w:tcPr/>
          <w:bookmarkStart w:id="88" w:name="fig-costloss"/>
          <w:p>
            <w:pPr>
              <w:pStyle w:val="Compact"/>
              <w:jc w:val="center"/>
            </w:pPr>
            <w:r>
              <w:drawing>
                <wp:inline>
                  <wp:extent cx="5334000" cy="2051538"/>
                  <wp:effectExtent b="0" l="0" r="0" t="0"/>
                  <wp:docPr descr="" title="" id="86" name="Picture"/>
                  <a:graphic>
                    <a:graphicData uri="http://schemas.openxmlformats.org/drawingml/2006/picture">
                      <pic:pic>
                        <pic:nvPicPr>
                          <pic:cNvPr descr="figuras/fig08_cost_loss.png" id="87" name="Picture"/>
                          <pic:cNvPicPr>
                            <a:picLocks noChangeArrowheads="1" noChangeAspect="1"/>
                          </pic:cNvPicPr>
                        </pic:nvPicPr>
                        <pic:blipFill>
                          <a:blip r:embed="rId85"/>
                          <a:stretch>
                            <a:fillRect/>
                          </a:stretch>
                        </pic:blipFill>
                        <pic:spPr bwMode="auto">
                          <a:xfrm>
                            <a:off x="0" y="0"/>
                            <a:ext cx="5334000" cy="2051538"/>
                          </a:xfrm>
                          <a:prstGeom prst="rect">
                            <a:avLst/>
                          </a:prstGeom>
                          <a:noFill/>
                          <a:ln w="9525">
                            <a:noFill/>
                            <a:headEnd/>
                            <a:tailEnd/>
                          </a:ln>
                        </pic:spPr>
                      </pic:pic>
                    </a:graphicData>
                  </a:graphic>
                </wp:inline>
              </w:drawing>
            </w:r>
          </w:p>
          <w:p>
            <w:pPr>
              <w:jc w:val="center"/>
            </w:pPr>
            <w:pPr>
              <w:jc w:val="left"/>
              <w:spacing w:before="200"/>
              <w:pStyle w:val="ImageCaption"/>
            </w:pPr>
            <w:r>
              <w:t xml:space="preserve">Figura 8: Curvas cost-loss poblacionales para ignición y propagación. La línea horizontal marca el valor nulo.</w:t>
            </w:r>
          </w:p>
          <w:bookmarkEnd w:id="88"/>
        </w:tc>
      </w:tr>
    </w:tbl>
    <w:p>
      <w:r>
        <w:pict>
          <v:rect style="width:0;height:1.5pt" o:hralign="center" o:hrstd="t" o:hr="t"/>
        </w:pict>
      </w:r>
    </w:p>
    <w:bookmarkEnd w:id="89"/>
    <w:bookmarkEnd w:id="90"/>
    <w:bookmarkStart w:id="98" w:name="discusión"/>
    <w:p>
      <w:pPr>
        <w:pStyle w:val="Heading1"/>
      </w:pPr>
      <w:r>
        <w:t xml:space="preserve">6. 6. Discusión</w:t>
      </w:r>
    </w:p>
    <w:bookmarkStart w:id="91" w:name="Xda889537f016710562802a3266606dcae09ed30"/>
    <w:p>
      <w:pPr>
        <w:pStyle w:val="Heading2"/>
      </w:pPr>
      <w:r>
        <w:t xml:space="preserve">6.1 6.1 Por qué Fallan los Índices Boreales Canónicos en el Gran Chaco</w:t>
      </w:r>
    </w:p>
    <w:p>
      <w:pPr>
        <w:pStyle w:val="FirstParagraph"/>
      </w:pPr>
      <w:r>
        <w:t xml:space="preserve">En la muestra case-control, la adopción acrítica del</w:t>
      </w:r>
      <w:r>
        <w:t xml:space="preserve"> </w:t>
      </w:r>
      <w:r>
        <w:rPr>
          <w:b/>
          <w:bCs/>
        </w:rPr>
        <w:t xml:space="preserve">Canadian FWI</w:t>
      </w:r>
      <w:r>
        <w:t xml:space="preserve"> </w:t>
      </w:r>
      <w:r>
        <w:t xml:space="preserve">y del índice</w:t>
      </w:r>
      <w:r>
        <w:t xml:space="preserve"> </w:t>
      </w:r>
      <w:r>
        <w:rPr>
          <w:b/>
          <w:bCs/>
        </w:rPr>
        <w:t xml:space="preserve">INPE Risco de Fogo</w:t>
      </w:r>
      <w:r>
        <w:t xml:space="preserve"> </w:t>
      </w:r>
      <w:r>
        <w:t xml:space="preserve">muestra una capacidad de discriminación baja en el Gran Chaco. En el Gran Chaco, el INPE Risco de Fogo obtiene un ROC-AUC de</w:t>
      </w:r>
      <w:r>
        <w:t xml:space="preserve"> </w:t>
      </w:r>
      <m:oMath>
        <m:r>
          <m:t>0</m:t>
        </m:r>
        <m:r>
          <m:rPr>
            <m:sty m:val="p"/>
          </m:rPr>
          <m:t>,</m:t>
        </m:r>
        <m:r>
          <m:t>5386</m:t>
        </m:r>
      </m:oMath>
      <w:r>
        <w:t xml:space="preserve"> </w:t>
      </w:r>
      <w:r>
        <w:t xml:space="preserve">y el Canadian FWI completo un</w:t>
      </w:r>
      <w:r>
        <w:t xml:space="preserve"> </w:t>
      </w:r>
      <m:oMath>
        <m:r>
          <m:t>0</m:t>
        </m:r>
        <m:r>
          <m:rPr>
            <m:sty m:val="p"/>
          </m:rPr>
          <m:t>,</m:t>
        </m:r>
        <m:r>
          <m:t>5185</m:t>
        </m:r>
      </m:oMath>
      <w:r>
        <w:t xml:space="preserve">, ambos cercanos a una adivinación aleatoria (</w:t>
      </w:r>
      <m:oMath>
        <m:r>
          <m:t>R</m:t>
        </m:r>
        <m:r>
          <m:t>O</m:t>
        </m:r>
        <m:r>
          <m:t>C</m:t>
        </m:r>
        <m:r>
          <m:rPr>
            <m:sty m:val="p"/>
          </m:rPr>
          <m:t>≈</m:t>
        </m:r>
        <m:r>
          <m:t>0</m:t>
        </m:r>
        <m:r>
          <m:rPr>
            <m:sty m:val="p"/>
          </m:rPr>
          <m:t>,</m:t>
        </m:r>
        <m:r>
          <m:t>50</m:t>
        </m:r>
      </m:oMath>
      <w:r>
        <w:t xml:space="preserve">). Esta baja discriminación se traduce en muchas falsas alarmas en la muestra case-control:</w:t>
      </w:r>
      <w:r>
        <w:t xml:space="preserve"> </w:t>
      </w:r>
      <m:oMath>
        <m:r>
          <m:t>15.910</m:t>
        </m:r>
      </m:oMath>
      <w:r>
        <w:rPr>
          <w:b/>
          <w:bCs/>
        </w:rPr>
        <w:t xml:space="preserve"> </w:t>
      </w:r>
      <w:r>
        <w:rPr>
          <w:b/>
          <w:bCs/>
        </w:rPr>
        <w:t xml:space="preserve">falsos positivos</w:t>
      </w:r>
      <w:r>
        <w:t xml:space="preserve"> </w:t>
      </w:r>
      <w:r>
        <w:t xml:space="preserve">en el INPE y</w:t>
      </w:r>
      <w:r>
        <w:t xml:space="preserve"> </w:t>
      </w:r>
      <m:oMath>
        <m:r>
          <m:t>150.654</m:t>
        </m:r>
      </m:oMath>
      <w:r>
        <w:t xml:space="preserve"> </w:t>
      </w:r>
      <w:r>
        <w:t xml:space="preserve">en el FWI en el test ciego.</w:t>
      </w:r>
    </w:p>
    <w:p>
      <w:pPr>
        <w:pStyle w:val="BodyText"/>
      </w:pPr>
      <w:r>
        <w:t xml:space="preserve">El FWI fue calibrado originalmente bajo el supuesto de bosques cerrados de coníferas boreales (</w:t>
      </w:r>
      <w:r>
        <w:rPr>
          <w:i/>
          <w:iCs/>
        </w:rPr>
        <w:t xml:space="preserve">Pinus banksiana</w:t>
      </w:r>
      <w:r>
        <w:t xml:space="preserve">), donde el combustible crítico es el mantillo orgánico profundo (</w:t>
      </w:r>
      <w:r>
        <w:rPr>
          <w:i/>
          <w:iCs/>
        </w:rPr>
        <w:t xml:space="preserve">duff layer</w:t>
      </w:r>
      <w:r>
        <w:t xml:space="preserve">) y las tasas de evaporación son moderadas</w:t>
      </w:r>
      <w:r>
        <w:t xml:space="preserve"> </w:t>
      </w:r>
      <w:r>
        <w:t xml:space="preserve">(Flannigan et al., 2009; Van Wagner, 1987)</w:t>
      </w:r>
      <w:r>
        <w:t xml:space="preserve">.</w:t>
      </w:r>
    </w:p>
    <w:p>
      <w:pPr>
        <w:pStyle w:val="BodyText"/>
      </w:pPr>
      <w:r>
        <w:t xml:space="preserve">En el Gran Chaco y en mosaicos ecológicos análogos del Cerrado y Pantanal</w:t>
      </w:r>
      <w:r>
        <w:t xml:space="preserve"> </w:t>
      </w:r>
      <w:r>
        <w:t xml:space="preserve">(Alvarado et al., 2018; Pivello et al., 2021)</w:t>
      </w:r>
      <w:r>
        <w:t xml:space="preserve">, el régimen del fuego es radicalmente distinto:</w:t>
      </w:r>
      <w:r>
        <w:t xml:space="preserve"> </w:t>
      </w:r>
      <w:r>
        <w:t xml:space="preserve">1. El combustible dominante es fino (pastizales naturales y gramíneas invasoras en pasturas ganaderas) con tiempos de respuesta de secado de pocas horas, altamente sensibles a picos intradiarios de</w:t>
      </w:r>
      <w:r>
        <w:t xml:space="preserve"> </w:t>
      </w:r>
      <m:oMath>
        <m:r>
          <m:t>V</m:t>
        </m:r>
        <m:r>
          <m:t>P</m:t>
        </m:r>
        <m:r>
          <m:t>D</m:t>
        </m:r>
      </m:oMath>
      <w:r>
        <w:t xml:space="preserve">. Durante el invierno y primavera austral, las temperaturas extremas (</w:t>
      </w:r>
      <m:oMath>
        <m:r>
          <m:rPr>
            <m:sty m:val="p"/>
          </m:rPr>
          <m:t>&gt;</m:t>
        </m:r>
        <m:sSup>
          <m:e>
            <m:r>
              <m:t>40</m:t>
            </m:r>
          </m:e>
          <m:sup>
            <m:r>
              <m:rPr>
                <m:sty m:val="p"/>
              </m:rPr>
              <m:t>∘</m:t>
            </m:r>
          </m:sup>
        </m:sSup>
        <m:r>
          <m:rPr>
            <m:nor/>
            <m:sty m:val="p"/>
          </m:rPr>
          <m:t>C</m:t>
        </m:r>
      </m:oMath>
      <w:r>
        <w:t xml:space="preserve">) provocan una desecación persistente que sitúa a los índices canónicos en</w:t>
      </w:r>
      <w:r>
        <w:t xml:space="preserve"> </w:t>
      </w:r>
      <w:r>
        <w:t xml:space="preserve">“Riesgo Extremo”</w:t>
      </w:r>
      <w:r>
        <w:t xml:space="preserve"> </w:t>
      </w:r>
      <w:r>
        <w:t xml:space="preserve">casi ininterrumpido durante 4 a 5 meses, destruyendo por completo su capacidad discriminante relativa.</w:t>
      </w:r>
      <w:r>
        <w:t xml:space="preserve"> </w:t>
      </w:r>
      <w:r>
        <w:t xml:space="preserve">2. Las temperaturas extremas provocan una evaporación acelerada que los índices diarios tradicionales (calculados exclusivamente a las 12:00h locales) subestiman severamente al ignorar el ciclo diurno vespertino y las ráfagas asociadas al cambio de cuadrante de viento.</w:t>
      </w:r>
      <w:r>
        <w:t xml:space="preserve"> </w:t>
      </w:r>
      <w:r>
        <w:t xml:space="preserve">3. El componente antrópico (quema deliberada de pasturas) interactúa con la infraestructura de parcelamiento y picadas ganaderas, una dimensión espacial que los índices meteorológicos unidimensionales son incapaces de capturar.</w:t>
      </w:r>
    </w:p>
    <w:bookmarkEnd w:id="91"/>
    <w:bookmarkStart w:id="92" w:name="X4a6be705c5af93fea9321eebfdf197d7e083fb4"/>
    <w:p>
      <w:pPr>
        <w:pStyle w:val="Heading2"/>
      </w:pPr>
      <w:r>
        <w:t xml:space="preserve">6.2 6.2 El Valor Científico del Desacoplamiento Honesto y Contraste con el ML Académico Tradicional</w:t>
      </w:r>
    </w:p>
    <w:p>
      <w:pPr>
        <w:pStyle w:val="FirstParagraph"/>
      </w:pPr>
      <w:r>
        <w:t xml:space="preserve">La literatura reciente de machine learning aplicado al fuego abunda en publicaciones que reportan precisiones aparentemente excepcionales (</w:t>
      </w:r>
      <m:oMath>
        <m:r>
          <m:rPr>
            <m:sty m:val="p"/>
          </m:rPr>
          <m:t>&gt;</m:t>
        </m:r>
        <m:r>
          <m:t>95</m:t>
        </m:r>
        <m:r>
          <m:rPr>
            <m:nor/>
            <m:sty m:val="p"/>
          </m:rPr>
          <m:t> %</m:t>
        </m:r>
      </m:oMath>
      <w:r>
        <w:t xml:space="preserve">) mediante modelos monolíticos únicos que agrupan variables meteorológicas con la distancia inmediata a focos previos</w:t>
      </w:r>
      <w:r>
        <w:t xml:space="preserve"> </w:t>
      </w:r>
      <w:r>
        <w:t xml:space="preserve">(Coffield et al., 2019; Sayad et al., 2019)</w:t>
      </w:r>
      <w:r>
        <w:t xml:space="preserve">. Tal como advierten las revisiones metodológicas contemporáneas</w:t>
      </w:r>
      <w:r>
        <w:t xml:space="preserve"> </w:t>
      </w:r>
      <w:r>
        <w:t xml:space="preserve">(Jain et al., 2020; Ploton et al., 2020)</w:t>
      </w:r>
      <w:r>
        <w:t xml:space="preserve">, esos modelos sufren de</w:t>
      </w:r>
      <w:r>
        <w:t xml:space="preserve"> </w:t>
      </w:r>
      <w:r>
        <w:rPr>
          <w:b/>
          <w:bCs/>
        </w:rPr>
        <w:t xml:space="preserve">ceguera selectiva ante la ignición primaria</w:t>
      </w:r>
      <w:r>
        <w:t xml:space="preserve">: cuando se elimina el atajo del fuego anterior, su capacidad predictiva real colapsa. En esos trabajos, al evaluar sobre celdas sin fuego activo contiguo, el desempeño de los modelos acoplados suele caer cerca del azar, lo que sugiere que el clasificador aprendió persistencia de vecindad más que la física del combustible. En esta versión no se implementó ese control negativo, por lo que no se cuantifica aquí.</w:t>
      </w:r>
    </w:p>
    <w:p>
      <w:pPr>
        <w:pStyle w:val="BodyText"/>
      </w:pPr>
      <w:r>
        <w:t xml:space="preserve">Al separar analíticamente la</w:t>
      </w:r>
      <w:r>
        <w:t xml:space="preserve"> </w:t>
      </w:r>
      <w:r>
        <w:rPr>
          <w:b/>
          <w:bCs/>
        </w:rPr>
        <w:t xml:space="preserve">Ignición Primaria Híbrida</w:t>
      </w:r>
      <w:r>
        <w:t xml:space="preserve"> </w:t>
      </w:r>
      <w:r>
        <w:t xml:space="preserve">de la</w:t>
      </w:r>
      <w:r>
        <w:t xml:space="preserve"> </w:t>
      </w:r>
      <w:r>
        <w:rPr>
          <w:b/>
          <w:bCs/>
        </w:rPr>
        <w:t xml:space="preserve">Propagación Táctica</w:t>
      </w:r>
      <w:r>
        <w:t xml:space="preserve">:</w:t>
      </w:r>
      <w:r>
        <w:t xml:space="preserve"> </w:t>
      </w:r>
      <w:r>
        <w:t xml:space="preserve">- Proveemos una herramienta que señala dónde el combustible, la atmósfera y la accesibilidad humana delimitan riesgo de ignición, alcanzando un ROC-AUC de</w:t>
      </w:r>
      <w:r>
        <w:t xml:space="preserve"> </w:t>
      </w:r>
      <m:oMath>
        <m:r>
          <m:t>0</m:t>
        </m:r>
        <m:r>
          <m:rPr>
            <m:sty m:val="p"/>
          </m:rPr>
          <m:t>,</m:t>
        </m:r>
        <m:r>
          <m:t>7851</m:t>
        </m:r>
      </m:oMath>
      <w:r>
        <w:t xml:space="preserve"> </w:t>
      </w:r>
      <w:r>
        <w:t xml:space="preserve">en el Chaco y</w:t>
      </w:r>
      <w:r>
        <w:t xml:space="preserve"> </w:t>
      </w:r>
      <m:oMath>
        <m:r>
          <m:t>0</m:t>
        </m:r>
        <m:r>
          <m:rPr>
            <m:sty m:val="p"/>
          </m:rPr>
          <m:t>,</m:t>
        </m:r>
        <m:r>
          <m:t>7485</m:t>
        </m:r>
      </m:oMath>
      <w:r>
        <w:t xml:space="preserve"> </w:t>
      </w:r>
      <w:r>
        <w:t xml:space="preserve">en la Región Oriental en celdas sin foco inmediato</w:t>
      </w:r>
      <w:r>
        <w:t xml:space="preserve"> </w:t>
      </w:r>
      <m:oMath>
        <m:r>
          <m:t>t</m:t>
        </m:r>
        <m:r>
          <m:rPr>
            <m:sty m:val="p"/>
          </m:rPr>
          <m:t>−</m:t>
        </m:r>
        <m:r>
          <m:t>1</m:t>
        </m:r>
      </m:oMath>
      <w:r>
        <w:t xml:space="preserve"> </w:t>
      </w:r>
      <w:r>
        <w:t xml:space="preserve">(el test no es un holdout espacial). Las precisiones case-control</w:t>
      </w:r>
      <w:r>
        <w:t xml:space="preserve"> </w:t>
      </w:r>
      <m:oMath>
        <m:sSub>
          <m:e>
            <m:r>
              <m:t>F</m:t>
            </m:r>
          </m:e>
          <m:sub>
            <m:r>
              <m:t>0.5</m:t>
            </m:r>
          </m:sub>
        </m:sSub>
      </m:oMath>
      <w:r>
        <w:t xml:space="preserve"> </w:t>
      </w:r>
      <w:r>
        <w:t xml:space="preserve">son</w:t>
      </w:r>
      <w:r>
        <w:t xml:space="preserve"> </w:t>
      </w:r>
      <m:oMath>
        <m:r>
          <m:t>27</m:t>
        </m:r>
        <m:r>
          <m:rPr>
            <m:sty m:val="p"/>
          </m:rPr>
          <m:t>,</m:t>
        </m:r>
        <m:r>
          <m:t>54</m:t>
        </m:r>
        <m:r>
          <m:rPr>
            <m:nor/>
            <m:sty m:val="p"/>
          </m:rPr>
          <m:t> %</m:t>
        </m:r>
      </m:oMath>
      <w:r>
        <w:t xml:space="preserve"> </w:t>
      </w:r>
      <w:r>
        <w:t xml:space="preserve">y</w:t>
      </w:r>
      <w:r>
        <w:t xml:space="preserve"> </w:t>
      </w:r>
      <m:oMath>
        <m:r>
          <m:t>29</m:t>
        </m:r>
        <m:r>
          <m:rPr>
            <m:sty m:val="p"/>
          </m:rPr>
          <m:t>,</m:t>
        </m:r>
        <m:r>
          <m:t>67</m:t>
        </m:r>
        <m:r>
          <m:rPr>
            <m:nor/>
            <m:sty m:val="p"/>
          </m:rPr>
          <m:t> %</m:t>
        </m:r>
      </m:oMath>
      <w:r>
        <w:t xml:space="preserve">; las poblacionales caen a</w:t>
      </w:r>
      <w:r>
        <w:t xml:space="preserve"> </w:t>
      </w:r>
      <m:oMath>
        <m:r>
          <m:t>0</m:t>
        </m:r>
        <m:r>
          <m:rPr>
            <m:sty m:val="p"/>
          </m:rPr>
          <m:t>,</m:t>
        </m:r>
        <m:r>
          <m:t>062</m:t>
        </m:r>
        <m:r>
          <m:rPr>
            <m:nor/>
            <m:sty m:val="p"/>
          </m:rPr>
          <m:t> %</m:t>
        </m:r>
      </m:oMath>
      <w:r>
        <w:t xml:space="preserve"> </w:t>
      </w:r>
      <w:r>
        <w:t xml:space="preserve">y</w:t>
      </w:r>
      <w:r>
        <w:t xml:space="preserve"> </w:t>
      </w:r>
      <m:oMath>
        <m:r>
          <m:t>0</m:t>
        </m:r>
        <m:r>
          <m:rPr>
            <m:sty m:val="p"/>
          </m:rPr>
          <m:t>,</m:t>
        </m:r>
        <m:r>
          <m:t>206</m:t>
        </m:r>
        <m:r>
          <m:rPr>
            <m:nor/>
            <m:sty m:val="p"/>
          </m:rPr>
          <m:t> %</m:t>
        </m:r>
      </m:oMath>
      <w:r>
        <w:t xml:space="preserve">.</w:t>
      </w:r>
      <w:r>
        <w:t xml:space="preserve"> </w:t>
      </w:r>
      <w:r>
        <w:t xml:space="preserve">- Proveemos a los bomberos y brigadas en el terreno un modelo táctico de combate capaz de anticipar hacia qué cuadrante avanzará el frente activo en las próximas 24 horas con una precisión case-control del</w:t>
      </w:r>
      <w:r>
        <w:t xml:space="preserve"> </w:t>
      </w:r>
      <m:oMath>
        <m:r>
          <m:t>84</m:t>
        </m:r>
        <m:r>
          <m:rPr>
            <m:sty m:val="p"/>
          </m:rPr>
          <m:t>,</m:t>
        </m:r>
        <m:r>
          <m:t>94</m:t>
        </m:r>
        <m:r>
          <m:rPr>
            <m:nor/>
            <m:sty m:val="p"/>
          </m:rPr>
          <m:t> %</m:t>
        </m:r>
      </m:oMath>
      <w:r>
        <w:t xml:space="preserve"> </w:t>
      </w:r>
      <w:r>
        <w:t xml:space="preserve">en el Chaco (con solo</w:t>
      </w:r>
      <w:r>
        <w:t xml:space="preserve"> </w:t>
      </w:r>
      <m:oMath>
        <m:r>
          <m:t>4.677</m:t>
        </m:r>
      </m:oMath>
      <w:r>
        <w:t xml:space="preserve"> </w:t>
      </w:r>
      <w:r>
        <w:t xml:space="preserve">falsos positivos frente a</w:t>
      </w:r>
      <w:r>
        <w:t xml:space="preserve"> </w:t>
      </w:r>
      <m:oMath>
        <m:r>
          <m:t>147.661</m:t>
        </m:r>
      </m:oMath>
      <w:r>
        <w:t xml:space="preserve"> </w:t>
      </w:r>
      <w:r>
        <w:t xml:space="preserve">del índice INPE) y del</w:t>
      </w:r>
      <w:r>
        <w:t xml:space="preserve"> </w:t>
      </w:r>
      <m:oMath>
        <m:r>
          <m:t>62</m:t>
        </m:r>
        <m:r>
          <m:rPr>
            <m:sty m:val="p"/>
          </m:rPr>
          <m:t>,</m:t>
        </m:r>
        <m:r>
          <m:t>42</m:t>
        </m:r>
        <m:r>
          <m:rPr>
            <m:nor/>
            <m:sty m:val="p"/>
          </m:rPr>
          <m:t> %</m:t>
        </m:r>
      </m:oMath>
      <w:r>
        <w:t xml:space="preserve"> </w:t>
      </w:r>
      <w:r>
        <w:t xml:space="preserve">en la Región Oriental. En población, la precisión es</w:t>
      </w:r>
      <w:r>
        <w:t xml:space="preserve"> </w:t>
      </w:r>
      <m:oMath>
        <m:r>
          <m:t>9</m:t>
        </m:r>
        <m:r>
          <m:rPr>
            <m:sty m:val="p"/>
          </m:rPr>
          <m:t>,</m:t>
        </m:r>
        <m:r>
          <m:t>96</m:t>
        </m:r>
        <m:r>
          <m:rPr>
            <m:nor/>
            <m:sty m:val="p"/>
          </m:rPr>
          <m:t> %</m:t>
        </m:r>
      </m:oMath>
      <w:r>
        <w:t xml:space="preserve"> </w:t>
      </w:r>
      <w:r>
        <w:t xml:space="preserve">y</w:t>
      </w:r>
      <w:r>
        <w:t xml:space="preserve"> </w:t>
      </w:r>
      <m:oMath>
        <m:r>
          <m:t>4</m:t>
        </m:r>
        <m:r>
          <m:rPr>
            <m:sty m:val="p"/>
          </m:rPr>
          <m:t>,</m:t>
        </m:r>
        <m:r>
          <m:t>49</m:t>
        </m:r>
        <m:r>
          <m:rPr>
            <m:nor/>
            <m:sty m:val="p"/>
          </m:rPr>
          <m:t> %</m:t>
        </m:r>
      </m:oMath>
      <w:r>
        <w:t xml:space="preserve">.</w:t>
      </w:r>
    </w:p>
    <w:bookmarkEnd w:id="92"/>
    <w:bookmarkStart w:id="93" w:name="X3e1b509cec7c5b3670e80929d7860e36f6cd1d6"/>
    <w:p>
      <w:pPr>
        <w:pStyle w:val="Heading2"/>
      </w:pPr>
      <w:r>
        <w:t xml:space="preserve">6.3 6.3 Interacción Bi-Escala: Susceptibilidad Estática (Dónde) vs. Detonante Dinámico (Cuándo)</w:t>
      </w:r>
    </w:p>
    <w:p>
      <w:pPr>
        <w:pStyle w:val="FirstParagraph"/>
      </w:pPr>
      <w:r>
        <w:t xml:space="preserve">Un hallazgo metodológico medular revelado por la descomposición TreeSHAP (</w:t>
      </w:r>
      <w:hyperlink w:anchor="tbl-shap">
        <w:r>
          <w:rPr>
            <w:rStyle w:val="Hyperlink"/>
          </w:rPr>
          <w:t xml:space="preserve">Tabla 7</w:t>
        </w:r>
      </w:hyperlink>
      <w:r>
        <w:t xml:space="preserve">) es la coexistencia de dos regímenes causales complementarios:</w:t>
      </w:r>
      <w:r>
        <w:t xml:space="preserve"> </w:t>
      </w:r>
      <w:r>
        <w:t xml:space="preserve">1.</w:t>
      </w:r>
      <w:r>
        <w:t xml:space="preserve"> </w:t>
      </w:r>
      <w:r>
        <w:rPr>
          <w:b/>
          <w:bCs/>
        </w:rPr>
        <w:t xml:space="preserve">El</w:t>
      </w:r>
      <w:r>
        <w:rPr>
          <w:b/>
          <w:bCs/>
        </w:rPr>
        <w:t xml:space="preserve"> </w:t>
      </w:r>
      <w:r>
        <w:rPr>
          <w:b/>
          <w:bCs/>
        </w:rPr>
        <w:t xml:space="preserve">“Dónde”</w:t>
      </w:r>
      <w:r>
        <w:rPr>
          <w:b/>
          <w:bCs/>
        </w:rPr>
        <w:t xml:space="preserve"> </w:t>
      </w:r>
      <w:r>
        <w:rPr>
          <w:b/>
          <w:bCs/>
        </w:rPr>
        <w:t xml:space="preserve">(Susceptibilidad Estática del Paisaje):</w:t>
      </w:r>
      <w:r>
        <w:t xml:space="preserve"> </w:t>
      </w:r>
      <w:r>
        <w:t xml:space="preserve">Las variables de distancia y densidad histórica de focos representan la huella antrópica acumulada (rutas de penetración, alambrados de estancias, franjas de desmonte y pasturas activas). Esta componente delimita la geografía de la ignición humana potencial.</w:t>
      </w:r>
      <w:r>
        <w:t xml:space="preserve"> </w:t>
      </w:r>
      <w:r>
        <w:t xml:space="preserve">2.</w:t>
      </w:r>
      <w:r>
        <w:t xml:space="preserve"> </w:t>
      </w:r>
      <w:r>
        <w:rPr>
          <w:b/>
          <w:bCs/>
        </w:rPr>
        <w:t xml:space="preserve">El</w:t>
      </w:r>
      <w:r>
        <w:rPr>
          <w:b/>
          <w:bCs/>
        </w:rPr>
        <w:t xml:space="preserve"> </w:t>
      </w:r>
      <w:r>
        <w:rPr>
          <w:b/>
          <w:bCs/>
        </w:rPr>
        <w:t xml:space="preserve">“Cuándo”</w:t>
      </w:r>
      <w:r>
        <w:rPr>
          <w:b/>
          <w:bCs/>
        </w:rPr>
        <w:t xml:space="preserve"> </w:t>
      </w:r>
      <w:r>
        <w:rPr>
          <w:b/>
          <w:bCs/>
        </w:rPr>
        <w:t xml:space="preserve">(Detonante Meteorológico Dinámico):</w:t>
      </w:r>
      <w:r>
        <w:t xml:space="preserve"> </w:t>
      </w:r>
      <w:r>
        <w:t xml:space="preserve">Las condiciones sinópticas extremas (</w:t>
      </w:r>
      <m:oMath>
        <m:r>
          <m:t>V</m:t>
        </m:r>
        <m:r>
          <m:t>P</m:t>
        </m:r>
        <m:r>
          <m:t>D</m:t>
        </m:r>
        <m:r>
          <m:rPr>
            <m:sty m:val="p"/>
          </m:rPr>
          <m:t>&gt;</m:t>
        </m:r>
        <m:r>
          <m:t>4</m:t>
        </m:r>
        <m:r>
          <m:rPr>
            <m:nor/>
            <m:sty m:val="p"/>
          </m:rPr>
          <m:t> kPa</m:t>
        </m:r>
      </m:oMath>
      <w:r>
        <w:t xml:space="preserve">, presión dinámica del viento</w:t>
      </w:r>
      <w:r>
        <w:t xml:space="preserve"> </w:t>
      </w:r>
      <m:oMath>
        <m:sSup>
          <m:e>
            <m:r>
              <m:t>v</m:t>
            </m:r>
          </m:e>
          <m:sup>
            <m:r>
              <m:t>2</m:t>
            </m:r>
          </m:sup>
        </m:sSup>
      </m:oMath>
      <w:r>
        <w:t xml:space="preserve"> </w:t>
      </w:r>
      <w:r>
        <w:t xml:space="preserve">y desecación del combustible fino</w:t>
      </w:r>
      <w:r>
        <w:t xml:space="preserve"> </w:t>
      </w:r>
      <m:oMath>
        <m:r>
          <m:t>F</m:t>
        </m:r>
        <m:r>
          <m:t>F</m:t>
        </m:r>
        <m:r>
          <m:t>M</m:t>
        </m:r>
        <m:r>
          <m:t>C</m:t>
        </m:r>
      </m:oMath>
      <w:r>
        <w:t xml:space="preserve">) actúan como el gatillo temporal que enciende el paisaje.</w:t>
      </w:r>
    </w:p>
    <w:p>
      <w:pPr>
        <w:pStyle w:val="BodyText"/>
      </w:pPr>
      <w:r>
        <w:t xml:space="preserve">Formalmente, el sistema opera bajo una formulación multiplicativa:</w:t>
      </w:r>
    </w:p>
    <w:p>
      <w:pPr>
        <w:pStyle w:val="BodyText"/>
      </w:pPr>
      <m:oMathPara>
        <m:oMathParaPr>
          <m:jc m:val="center"/>
        </m:oMathParaPr>
        <m:oMath>
          <m:r>
            <m:t>P</m:t>
          </m:r>
          <m:r>
            <m:rPr>
              <m:sty m:val="p"/>
            </m:rPr>
            <m:t>(</m:t>
          </m:r>
          <m:r>
            <m:rPr>
              <m:nor/>
              <m:sty m:val="p"/>
            </m:rPr>
            <m:t>Fuego</m:t>
          </m:r>
          <m:r>
            <m:rPr>
              <m:sty m:val="p"/>
            </m:rPr>
            <m:t>)</m:t>
          </m:r>
          <m:r>
            <m:rPr>
              <m:sty m:val="p"/>
            </m:rPr>
            <m:t>≈</m:t>
          </m:r>
          <m:sSub>
            <m:e>
              <m:r>
                <m:t>S</m:t>
              </m:r>
            </m:e>
            <m:sub>
              <m:r>
                <m:rPr>
                  <m:nor/>
                  <m:sty m:val="p"/>
                </m:rPr>
                <m:t>estático</m:t>
              </m:r>
            </m:sub>
          </m:sSub>
          <m:r>
            <m:rPr>
              <m:sty m:val="p"/>
            </m:rPr>
            <m:t>(</m:t>
          </m:r>
          <m:sSub>
            <m:e>
              <m:r>
                <m:rPr>
                  <m:sty m:val="bi"/>
                </m:rPr>
                <m:t>x</m:t>
              </m:r>
            </m:e>
            <m:sub>
              <m:r>
                <m:rPr>
                  <m:nor/>
                  <m:sty m:val="p"/>
                </m:rPr>
                <m:t>geografía</m:t>
              </m:r>
            </m:sub>
          </m:sSub>
          <m:r>
            <m:rPr>
              <m:sty m:val="p"/>
            </m:rPr>
            <m:t>,</m:t>
          </m:r>
          <m:sSub>
            <m:e>
              <m:r>
                <m:rPr>
                  <m:sty m:val="bi"/>
                </m:rPr>
                <m:t>x</m:t>
              </m:r>
            </m:e>
            <m:sub>
              <m:r>
                <m:rPr>
                  <m:nor/>
                  <m:sty m:val="p"/>
                </m:rPr>
                <m:t>biomasa</m:t>
              </m:r>
            </m:sub>
          </m:sSub>
          <m:r>
            <m:rPr>
              <m:sty m:val="p"/>
            </m:rPr>
            <m:t>)</m:t>
          </m:r>
          <m:r>
            <m:rPr>
              <m:sty m:val="p"/>
            </m:rPr>
            <m:t>×</m:t>
          </m:r>
          <m:sSub>
            <m:e>
              <m:r>
                <m:t>D</m:t>
              </m:r>
            </m:e>
            <m:sub>
              <m:r>
                <m:rPr>
                  <m:nor/>
                  <m:sty m:val="p"/>
                </m:rPr>
                <m:t>dinámico</m:t>
              </m:r>
            </m:sub>
          </m:sSub>
          <m:r>
            <m:rPr>
              <m:sty m:val="p"/>
            </m:rPr>
            <m:t>(</m:t>
          </m:r>
          <m:sSub>
            <m:e>
              <m:r>
                <m:rPr>
                  <m:sty m:val="bi"/>
                </m:rPr>
                <m:t>x</m:t>
              </m:r>
            </m:e>
            <m:sub>
              <m:r>
                <m:rPr>
                  <m:nor/>
                  <m:sty m:val="p"/>
                </m:rPr>
                <m:t>clima</m:t>
              </m:r>
            </m:sub>
          </m:sSub>
          <m:r>
            <m:rPr>
              <m:sty m:val="p"/>
            </m:rPr>
            <m:t>,</m:t>
          </m:r>
          <m:sSub>
            <m:e>
              <m:r>
                <m:rPr>
                  <m:sty m:val="bi"/>
                </m:rPr>
                <m:t>x</m:t>
              </m:r>
            </m:e>
            <m:sub>
              <m:r>
                <m:rPr>
                  <m:nor/>
                  <m:sty m:val="p"/>
                </m:rPr>
                <m:t>viento</m:t>
              </m:r>
            </m:sub>
          </m:sSub>
          <m:r>
            <m:rPr>
              <m:sty m:val="p"/>
            </m:rPr>
            <m:t>)</m:t>
          </m:r>
        </m:oMath>
      </m:oMathPara>
    </w:p>
    <w:p>
      <w:pPr>
        <w:pStyle w:val="FirstParagraph"/>
      </w:pPr>
      <w:r>
        <w:t xml:space="preserve">Gracias a las</w:t>
      </w:r>
      <w:r>
        <w:t xml:space="preserve"> </w:t>
      </w:r>
      <w:r>
        <w:rPr>
          <w:b/>
          <w:bCs/>
        </w:rPr>
        <w:t xml:space="preserve">restricciones de monotonicidad biofísica</w:t>
      </w:r>
      <w:r>
        <w:t xml:space="preserve"> </w:t>
      </w:r>
      <w:r>
        <w:t xml:space="preserve">impuestas en LightGBM y al</w:t>
      </w:r>
      <w:r>
        <w:t xml:space="preserve"> </w:t>
      </w:r>
      <w:r>
        <w:rPr>
          <w:b/>
          <w:bCs/>
        </w:rPr>
        <w:t xml:space="preserve">gating de primera etapa</w:t>
      </w:r>
      <w:r>
        <w:t xml:space="preserve">, el modelo no puede disparar falsas alarmas geográficas: aun cuando una celda se ubique en un punto de máxima densidad histórica de fuego, si el contenido de humedad atmosférica es elevado o se registran precipitaciones antecedentes, la inferencia se anula rigurosamente (</w:t>
      </w:r>
      <m:oMath>
        <m:r>
          <m:t>P</m:t>
        </m:r>
        <m:r>
          <m:rPr>
            <m:sty m:val="p"/>
          </m:rPr>
          <m:t>→</m:t>
        </m:r>
        <m:r>
          <m:t>0</m:t>
        </m:r>
      </m:oMath>
      <w:r>
        <w:t xml:space="preserve">).</w:t>
      </w:r>
    </w:p>
    <w:bookmarkEnd w:id="93"/>
    <w:bookmarkStart w:id="94" w:name="X3e54dd60c7fbc72761b117dd93af22f079f2340"/>
    <w:p>
      <w:pPr>
        <w:pStyle w:val="Heading2"/>
      </w:pPr>
      <w:r>
        <w:t xml:space="preserve">6.4 6.4 Física del Paisaje y Asimetría Regional de Escala de Disturbio</w:t>
      </w:r>
    </w:p>
    <w:p>
      <w:pPr>
        <w:pStyle w:val="FirstParagraph"/>
      </w:pPr>
      <w:r>
        <w:t xml:space="preserve">La comparación entre macro-regiones revela una asimetría ecológica y operativa fundamental en el comportamiento del fuego:</w:t>
      </w:r>
      <w:r>
        <w:t xml:space="preserve"> </w:t>
      </w:r>
      <w:r>
        <w:t xml:space="preserve">- En la</w:t>
      </w:r>
      <w:r>
        <w:t xml:space="preserve"> </w:t>
      </w:r>
      <w:r>
        <w:rPr>
          <w:b/>
          <w:bCs/>
        </w:rPr>
        <w:t xml:space="preserve">Región Oriental</w:t>
      </w:r>
      <w:r>
        <w:t xml:space="preserve">, la capa de</w:t>
      </w:r>
      <w:r>
        <w:t xml:space="preserve"> </w:t>
      </w:r>
      <w:r>
        <w:rPr>
          <w:b/>
          <w:bCs/>
        </w:rPr>
        <w:t xml:space="preserve">Ignición Primaria Híbrida (</w:t>
      </w:r>
      <m:oMath>
        <m:sSub>
          <m:e>
            <m:r>
              <m:rPr>
                <m:scr m:val="script"/>
                <m:sty m:val="p"/>
              </m:rPr>
              <m:t>M</m:t>
            </m:r>
          </m:e>
          <m:sub>
            <m:r>
              <m:t>3</m:t>
            </m:r>
          </m:sub>
        </m:sSub>
      </m:oMath>
      <w:r>
        <w:rPr>
          <w:b/>
          <w:bCs/>
        </w:rPr>
        <w:t xml:space="preserve">)</w:t>
      </w:r>
      <w:r>
        <w:t xml:space="preserve"> </w:t>
      </w:r>
      <w:r>
        <w:t xml:space="preserve">alcanza un rendimiento discriminante algo menor (</w:t>
      </w:r>
      <m:oMath>
        <m:r>
          <m:t>R</m:t>
        </m:r>
        <m:r>
          <m:t>O</m:t>
        </m:r>
        <m:r>
          <m:t>C</m:t>
        </m:r>
        <m:r>
          <m:rPr>
            <m:sty m:val="p"/>
          </m:rPr>
          <m:t>=</m:t>
        </m:r>
        <m:r>
          <m:t>0</m:t>
        </m:r>
        <m:r>
          <m:rPr>
            <m:sty m:val="p"/>
          </m:rPr>
          <m:t>,</m:t>
        </m:r>
        <m:r>
          <m:t>7485</m:t>
        </m:r>
      </m:oMath>
      <w:r>
        <w:t xml:space="preserve">,</w:t>
      </w:r>
      <w:r>
        <w:t xml:space="preserve"> </w:t>
      </w:r>
      <m:oMath>
        <m:r>
          <m:t>P</m:t>
        </m:r>
        <m:r>
          <m:t>R</m:t>
        </m:r>
        <m:r>
          <m:rPr>
            <m:sty m:val="p"/>
          </m:rPr>
          <m:t>=</m:t>
        </m:r>
        <m:r>
          <m:t>0</m:t>
        </m:r>
        <m:r>
          <m:rPr>
            <m:sty m:val="p"/>
          </m:rPr>
          <m:t>,</m:t>
        </m:r>
        <m:r>
          <m:t>2318</m:t>
        </m:r>
      </m:oMath>
      <w:r>
        <w:t xml:space="preserve">) que el Chaco (</w:t>
      </w:r>
      <m:oMath>
        <m:r>
          <m:t>R</m:t>
        </m:r>
        <m:r>
          <m:t>O</m:t>
        </m:r>
        <m:r>
          <m:t>C</m:t>
        </m:r>
        <m:r>
          <m:rPr>
            <m:sty m:val="p"/>
          </m:rPr>
          <m:t>=</m:t>
        </m:r>
        <m:r>
          <m:t>0</m:t>
        </m:r>
        <m:r>
          <m:rPr>
            <m:sty m:val="p"/>
          </m:rPr>
          <m:t>,</m:t>
        </m:r>
        <m:r>
          <m:t>7851</m:t>
        </m:r>
      </m:oMath>
      <w:r>
        <w:t xml:space="preserve">,</w:t>
      </w:r>
      <w:r>
        <w:t xml:space="preserve"> </w:t>
      </w:r>
      <m:oMath>
        <m:r>
          <m:t>P</m:t>
        </m:r>
        <m:r>
          <m:t>R</m:t>
        </m:r>
        <m:r>
          <m:rPr>
            <m:sty m:val="p"/>
          </m:rPr>
          <m:t>=</m:t>
        </m:r>
        <m:r>
          <m:t>0</m:t>
        </m:r>
        <m:r>
          <m:rPr>
            <m:sty m:val="p"/>
          </m:rPr>
          <m:t>,</m:t>
        </m:r>
        <m:r>
          <m:t>2410</m:t>
        </m:r>
      </m:oMath>
      <w:r>
        <w:t xml:space="preserve">). Este fenómeno se explica por la estructura del paisaje: en la Región Oriental, la ignición responde a un régimen antrópico fuertemente ligado a la red vial, parcelas de pastura y calendario agropecuario, donde el ancla histórica de susceptibilidad espacial y los umbrales de desecación fina (</w:t>
      </w:r>
      <m:oMath>
        <m:r>
          <m:t>F</m:t>
        </m:r>
        <m:r>
          <m:t>F</m:t>
        </m:r>
        <m:r>
          <m:t>M</m:t>
        </m:r>
        <m:r>
          <m:t>C</m:t>
        </m:r>
      </m:oMath>
      <w:r>
        <w:t xml:space="preserve">) delimitan con gran nitidez</w:t>
      </w:r>
      <w:r>
        <w:t xml:space="preserve"> </w:t>
      </w:r>
      <w:r>
        <w:rPr>
          <w:i/>
          <w:iCs/>
        </w:rPr>
        <w:t xml:space="preserve">dónde y cuándo</w:t>
      </w:r>
      <w:r>
        <w:t xml:space="preserve"> </w:t>
      </w:r>
      <w:r>
        <w:t xml:space="preserve">puede encenderse un foco en ausencia de incendios preexistentes.</w:t>
      </w:r>
      <w:r>
        <w:t xml:space="preserve"> </w:t>
      </w:r>
      <w:r>
        <w:t xml:space="preserve">- En contraste, en el</w:t>
      </w:r>
      <w:r>
        <w:t xml:space="preserve"> </w:t>
      </w:r>
      <w:r>
        <w:rPr>
          <w:b/>
          <w:bCs/>
        </w:rPr>
        <w:t xml:space="preserve">Gran Chaco</w:t>
      </w:r>
      <w:r>
        <w:t xml:space="preserve">, una vez establecida la ignición en mosaicos xerofíticos continuos, la</w:t>
      </w:r>
      <w:r>
        <w:t xml:space="preserve"> </w:t>
      </w:r>
      <w:r>
        <w:rPr>
          <w:b/>
          <w:bCs/>
        </w:rPr>
        <w:t xml:space="preserve">Propagación Táctica</w:t>
      </w:r>
      <w:r>
        <w:t xml:space="preserve"> </w:t>
      </w:r>
      <w:r>
        <w:t xml:space="preserve">alcanza ROC =</w:t>
      </w:r>
      <w:r>
        <w:t xml:space="preserve"> </w:t>
      </w:r>
      <m:oMath>
        <m:r>
          <m:t>0</m:t>
        </m:r>
        <m:r>
          <m:rPr>
            <m:sty m:val="p"/>
          </m:rPr>
          <m:t>,</m:t>
        </m:r>
        <m:r>
          <m:t>8989</m:t>
        </m:r>
      </m:oMath>
      <w:r>
        <w:t xml:space="preserve"> </w:t>
      </w:r>
      <w:r>
        <w:t xml:space="preserve">y PR =</w:t>
      </w:r>
      <w:r>
        <w:t xml:space="preserve"> </w:t>
      </w:r>
      <m:oMath>
        <m:r>
          <m:t>0</m:t>
        </m:r>
        <m:r>
          <m:rPr>
            <m:sty m:val="p"/>
          </m:rPr>
          <m:t>,</m:t>
        </m:r>
        <m:r>
          <m:t>6831</m:t>
        </m:r>
      </m:oMath>
      <w:r>
        <w:t xml:space="preserve">; su precisión case-control es</w:t>
      </w:r>
      <w:r>
        <w:t xml:space="preserve"> </w:t>
      </w:r>
      <m:oMath>
        <m:r>
          <m:t>84</m:t>
        </m:r>
        <m:r>
          <m:rPr>
            <m:sty m:val="p"/>
          </m:rPr>
          <m:t>,</m:t>
        </m:r>
        <m:r>
          <m:t>94</m:t>
        </m:r>
        <m:r>
          <m:rPr>
            <m:nor/>
            <m:sty m:val="p"/>
          </m:rPr>
          <m:t> %</m:t>
        </m:r>
      </m:oMath>
      <w:r>
        <w:t xml:space="preserve"> </w:t>
      </w:r>
      <w:r>
        <w:t xml:space="preserve">y la poblacional</w:t>
      </w:r>
      <w:r>
        <w:t xml:space="preserve"> </w:t>
      </w:r>
      <m:oMath>
        <m:r>
          <m:t>9</m:t>
        </m:r>
        <m:r>
          <m:rPr>
            <m:sty m:val="p"/>
          </m:rPr>
          <m:t>,</m:t>
        </m:r>
        <m:r>
          <m:t>96</m:t>
        </m:r>
        <m:r>
          <m:rPr>
            <m:nor/>
            <m:sty m:val="p"/>
          </m:rPr>
          <m:t> %</m:t>
        </m:r>
      </m:oMath>
      <w:r>
        <w:t xml:space="preserve">. En la Región Oriental, la precisión case-control es</w:t>
      </w:r>
      <w:r>
        <w:t xml:space="preserve"> </w:t>
      </w:r>
      <m:oMath>
        <m:r>
          <m:t>62</m:t>
        </m:r>
        <m:r>
          <m:rPr>
            <m:sty m:val="p"/>
          </m:rPr>
          <m:t>,</m:t>
        </m:r>
        <m:r>
          <m:t>42</m:t>
        </m:r>
        <m:r>
          <m:rPr>
            <m:nor/>
            <m:sty m:val="p"/>
          </m:rPr>
          <m:t> %</m:t>
        </m:r>
      </m:oMath>
      <w:r>
        <w:t xml:space="preserve"> </w:t>
      </w:r>
      <w:r>
        <w:t xml:space="preserve">y la poblacional</w:t>
      </w:r>
      <w:r>
        <w:t xml:space="preserve"> </w:t>
      </w:r>
      <m:oMath>
        <m:r>
          <m:t>4</m:t>
        </m:r>
        <m:r>
          <m:rPr>
            <m:sty m:val="p"/>
          </m:rPr>
          <m:t>,</m:t>
        </m:r>
        <m:r>
          <m:t>49</m:t>
        </m:r>
        <m:r>
          <m:rPr>
            <m:nor/>
            <m:sty m:val="p"/>
          </m:rPr>
          <m:t> %</m:t>
        </m:r>
      </m:oMath>
      <w:r>
        <w:t xml:space="preserve">. Las cifras case-control no son operativas.</w:t>
      </w:r>
    </w:p>
    <w:bookmarkEnd w:id="94"/>
    <w:bookmarkStart w:id="95" w:name="Xdbe9e24ff68e0f550b55cf778b6866cf467941b"/>
    <w:p>
      <w:pPr>
        <w:pStyle w:val="Heading2"/>
      </w:pPr>
      <w:r>
        <w:t xml:space="preserve">6.5 6.5 Cuantificación de Incertidumbre y Garantías Conformes</w:t>
      </w:r>
    </w:p>
    <w:p>
      <w:pPr>
        <w:pStyle w:val="FirstParagraph"/>
      </w:pPr>
      <w:r>
        <w:t xml:space="preserve">Para cuantificar incertidumbre se usó Split Conformal Prediction, separando el calibrador Platt y el cuantil</w:t>
      </w:r>
      <w:r>
        <w:t xml:space="preserve"> </w:t>
      </w:r>
      <m:oMath>
        <m:acc>
          <m:accPr>
            <m:chr m:val="̂"/>
          </m:accPr>
          <m:e>
            <m:r>
              <m:t>q</m:t>
            </m:r>
          </m:e>
        </m:acc>
      </m:oMath>
      <w:r>
        <w:t xml:space="preserve"> </w:t>
      </w:r>
      <w:r>
        <w:t xml:space="preserve">en subconjuntos cronológicos distintos de validación (60 %/40 %). Los umbrales son</w:t>
      </w:r>
      <w:r>
        <w:t xml:space="preserve"> </w:t>
      </w:r>
      <m:oMath>
        <m:sSub>
          <m:e>
            <m:acc>
              <m:accPr>
                <m:chr m:val="̂"/>
              </m:accPr>
              <m:e>
                <m:r>
                  <m:t>q</m:t>
                </m:r>
              </m:e>
            </m:acc>
          </m:e>
          <m:sub>
            <m:r>
              <m:t>0</m:t>
            </m:r>
            <m:r>
              <m:rPr>
                <m:sty m:val="p"/>
              </m:rPr>
              <m:t>,</m:t>
            </m:r>
            <m:r>
              <m:t>90</m:t>
            </m:r>
          </m:sub>
        </m:sSub>
        <m:r>
          <m:rPr>
            <m:sty m:val="p"/>
          </m:rPr>
          <m:t>=</m:t>
        </m:r>
        <m:r>
          <m:t>0</m:t>
        </m:r>
        <m:r>
          <m:rPr>
            <m:sty m:val="p"/>
          </m:rPr>
          <m:t>,</m:t>
        </m:r>
        <m:r>
          <m:t>3396</m:t>
        </m:r>
      </m:oMath>
      <w:r>
        <w:t xml:space="preserve"> </w:t>
      </w:r>
      <w:r>
        <w:t xml:space="preserve">(Chaco) y</w:t>
      </w:r>
      <w:r>
        <w:t xml:space="preserve"> </w:t>
      </w:r>
      <m:oMath>
        <m:r>
          <m:t>0</m:t>
        </m:r>
        <m:r>
          <m:rPr>
            <m:sty m:val="p"/>
          </m:rPr>
          <m:t>,</m:t>
        </m:r>
        <m:r>
          <m:t>3768</m:t>
        </m:r>
      </m:oMath>
      <w:r>
        <w:t xml:space="preserve"> </w:t>
      </w:r>
      <w:r>
        <w:t xml:space="preserve">(Oriental). La cobertura empírica en test 2024–2025 fue 89,85 %/90,19 % para nominal 90 % y 95,02 %/94,56 % para nominal 95 % (Tabla S5). Bajo cambio temporal no hay garantía formal de exchangeability: se reporta cobertura empírica, no una garantía finita.</w:t>
      </w:r>
    </w:p>
    <w:bookmarkEnd w:id="95"/>
    <w:bookmarkStart w:id="96" w:name="X3219573939902c651e3e1e9dfdbe27cdb7424b2"/>
    <w:p>
      <w:pPr>
        <w:pStyle w:val="Heading2"/>
      </w:pPr>
      <w:r>
        <w:t xml:space="preserve">6.6 6.6 Eficiencia, Soberanía Tecnológica y Contraste con Ciberinfraestructuras de Supercómputo</w:t>
      </w:r>
    </w:p>
    <w:p>
      <w:pPr>
        <w:pStyle w:val="FirstParagraph"/>
      </w:pPr>
      <w:r>
        <w:t xml:space="preserve">Una barrera frecuente para la adopción de inteligencia artificial en países en desarrollo es la dependencia de costosos servicios en la nube o clusters de supercómputo inaccesibles para agencias públicas locales. Plataformas consolidadas en el Norte Global como</w:t>
      </w:r>
      <w:r>
        <w:t xml:space="preserve"> </w:t>
      </w:r>
      <w:r>
        <w:rPr>
          <w:b/>
          <w:bCs/>
        </w:rPr>
        <w:t xml:space="preserve">WIFIRE</w:t>
      </w:r>
      <w:r>
        <w:t xml:space="preserve"> </w:t>
      </w:r>
      <w:r>
        <w:t xml:space="preserve">(Altintas et al., 2015)</w:t>
      </w:r>
      <w:r>
        <w:t xml:space="preserve"> </w:t>
      </w:r>
      <w:r>
        <w:t xml:space="preserve">dependen de clústeres de cómputo de alto rendimiento (HPC) y redes de GPUs dedicadas para resolver simulaciones numéricas pesadas. Si bien este enfoque es valioso en escenarios de micro-escala donde se dispone de presupuesto masivo, resulta insostenible para agencias de protección civil en economías emergentes.</w:t>
      </w:r>
    </w:p>
    <w:p>
      <w:pPr>
        <w:pStyle w:val="BodyText"/>
      </w:pPr>
      <w:r>
        <w:rPr>
          <w:rStyle w:val="VerbatimChar"/>
        </w:rPr>
        <w:t xml:space="preserve">Incendios_PY</w:t>
      </w:r>
      <w:r>
        <w:t xml:space="preserve"> </w:t>
      </w:r>
      <w:r>
        <w:t xml:space="preserve">fue deliberadamente concebido para derribar esta barrera y democratizar la analítica GeoAI:</w:t>
      </w:r>
      <w:r>
        <w:t xml:space="preserve"> </w:t>
      </w:r>
      <w:r>
        <w:t xml:space="preserve">- Al utilizar</w:t>
      </w:r>
      <w:r>
        <w:t xml:space="preserve"> </w:t>
      </w:r>
      <w:r>
        <w:rPr>
          <w:b/>
          <w:bCs/>
        </w:rPr>
        <w:t xml:space="preserve">DuckDB</w:t>
      </w:r>
      <w:r>
        <w:t xml:space="preserve"> </w:t>
      </w:r>
      <w:r>
        <w:t xml:space="preserve">(Raasveldt &amp; Mühleisen, 2019)</w:t>
      </w:r>
      <w:r>
        <w:t xml:space="preserve"> </w:t>
      </w:r>
      <w:r>
        <w:t xml:space="preserve">y</w:t>
      </w:r>
      <w:r>
        <w:t xml:space="preserve"> </w:t>
      </w:r>
      <w:r>
        <w:rPr>
          <w:b/>
          <w:bCs/>
        </w:rPr>
        <w:t xml:space="preserve">Polars</w:t>
      </w:r>
      <w:r>
        <w:t xml:space="preserve">, el pipeline procesa la serie temporal de 8 años completa en menos de 4 GB de RAM bajo una arquitectura columnar</w:t>
      </w:r>
      <w:r>
        <w:t xml:space="preserve"> </w:t>
      </w:r>
      <w:r>
        <w:rPr>
          <w:i/>
          <w:iCs/>
        </w:rPr>
        <w:t xml:space="preserve">Zero-Copy</w:t>
      </w:r>
      <w:r>
        <w:t xml:space="preserve">.</w:t>
      </w:r>
      <w:r>
        <w:t xml:space="preserve"> </w:t>
      </w:r>
      <w:r>
        <w:t xml:space="preserve">- Evalúa la totalidad del territorio nacional (</w:t>
      </w:r>
      <m:oMath>
        <m:r>
          <m:t>400.006</m:t>
        </m:r>
      </m:oMath>
      <w:r>
        <w:t xml:space="preserve"> </w:t>
      </w:r>
      <w:r>
        <w:t xml:space="preserve">celdas) en apenas</w:t>
      </w:r>
      <w:r>
        <w:t xml:space="preserve"> </w:t>
      </w:r>
      <m:oMath>
        <m:r>
          <m:t>1</m:t>
        </m:r>
        <m:r>
          <m:rPr>
            <m:sty m:val="p"/>
          </m:rPr>
          <m:t>,</m:t>
        </m:r>
        <m:r>
          <m:t>569</m:t>
        </m:r>
      </m:oMath>
      <w:r>
        <w:rPr>
          <w:b/>
          <w:bCs/>
        </w:rPr>
        <w:t xml:space="preserve"> </w:t>
      </w:r>
      <w:r>
        <w:rPr>
          <w:b/>
          <w:bCs/>
        </w:rPr>
        <w:t xml:space="preserve">segundos</w:t>
      </w:r>
      <w:r>
        <w:t xml:space="preserve"> </w:t>
      </w:r>
      <w:r>
        <w:t xml:space="preserve">en un procesador estándar de consumo ordinario (Apple Silicon M-Series o Intel/AMD x86_64), reduciendo el costo recurrente de infraestructura cloud a exactamente $0.</w:t>
      </w:r>
      <w:r>
        <w:t xml:space="preserve"> </w:t>
      </w:r>
      <w:r>
        <w:t xml:space="preserve">- El reentrenamiento es viable en un equipo de consumo, aunque no se reporta un benchmark formal de tiempo de entrenamiento.</w:t>
      </w:r>
      <w:r>
        <w:t xml:space="preserve"> </w:t>
      </w:r>
      <w:r>
        <w:t xml:space="preserve">- Todo el código es 100 % abierto, sin dependencias propietarias ni licencias privativas de software SIG, asegurando transferibilidad institucional directa hacia el</w:t>
      </w:r>
      <w:r>
        <w:t xml:space="preserve"> </w:t>
      </w:r>
      <w:r>
        <w:rPr>
          <w:b/>
          <w:bCs/>
        </w:rPr>
        <w:t xml:space="preserve">MADES</w:t>
      </w:r>
      <w:r>
        <w:t xml:space="preserve">, el</w:t>
      </w:r>
      <w:r>
        <w:t xml:space="preserve"> </w:t>
      </w:r>
      <w:r>
        <w:rPr>
          <w:b/>
          <w:bCs/>
        </w:rPr>
        <w:t xml:space="preserve">INFONA</w:t>
      </w:r>
      <w:r>
        <w:t xml:space="preserve"> </w:t>
      </w:r>
      <w:r>
        <w:t xml:space="preserve">y los</w:t>
      </w:r>
      <w:r>
        <w:t xml:space="preserve"> </w:t>
      </w:r>
      <w:r>
        <w:rPr>
          <w:b/>
          <w:bCs/>
        </w:rPr>
        <w:t xml:space="preserve">Cuerpos de Bomberos Voluntarios del Paraguay (CBVP)</w:t>
      </w:r>
      <w:r>
        <w:t xml:space="preserve">.</w:t>
      </w:r>
    </w:p>
    <w:bookmarkEnd w:id="96"/>
    <w:bookmarkStart w:id="97" w:name="limitaciones"/>
    <w:p>
      <w:pPr>
        <w:pStyle w:val="Heading2"/>
      </w:pPr>
      <w:r>
        <w:t xml:space="preserve">6.7 6.7 Limitaciones</w:t>
      </w:r>
    </w:p>
    <w:p>
      <w:pPr>
        <w:pStyle w:val="FirstParagraph"/>
      </w:pPr>
      <w:r>
        <w:t xml:space="preserve">El marco actual presenta limitaciones que deben reconocerse:</w:t>
      </w:r>
      <w:r>
        <w:t xml:space="preserve"> </w:t>
      </w:r>
      <w:r>
        <w:t xml:space="preserve">1.</w:t>
      </w:r>
      <w:r>
        <w:t xml:space="preserve"> </w:t>
      </w:r>
      <w:r>
        <w:rPr>
          <w:b/>
          <w:bCs/>
        </w:rPr>
        <w:t xml:space="preserve">Perfil de combustible estático:</w:t>
      </w:r>
      <w:r>
        <w:t xml:space="preserve"> </w:t>
      </w:r>
      <w:r>
        <w:t xml:space="preserve">se usa MapBiomas real 2023; no hay una serie anual de cobertura, por lo que los SHAP de biomasa y el INPE Risco de Fogo deben interpretarse con cautela.</w:t>
      </w:r>
      <w:r>
        <w:t xml:space="preserve"> </w:t>
      </w:r>
      <w:r>
        <w:t xml:space="preserve">2.</w:t>
      </w:r>
      <w:r>
        <w:t xml:space="preserve"> </w:t>
      </w:r>
      <w:r>
        <w:rPr>
          <w:b/>
          <w:bCs/>
        </w:rPr>
        <w:t xml:space="preserve">Baja generalización espacial:</w:t>
      </w:r>
      <w:r>
        <w:t xml:space="preserve"> </w:t>
      </w:r>
      <w:r>
        <w:t xml:space="preserve">el holdout por bloques de 50 km con buffer de 20 km muestra que M3 cae a ROC-AUC 0,6243/0,5754 en bloques no vistos, mientras que M1 obtiene 0,6338/0,6176. La ventaja de M3 es temporal y específica de celdas con historia de fuego; no debe presentarse como un modelo de extrapolación espacial. La alerta usa M1 como fallback en celdas sin historia, pero M1 también tiene límites de generalización.</w:t>
      </w:r>
      <w:r>
        <w:t xml:space="preserve"> </w:t>
      </w:r>
      <w:r>
        <w:t xml:space="preserve">3.</w:t>
      </w:r>
      <w:r>
        <w:t xml:space="preserve"> </w:t>
      </w:r>
      <w:r>
        <w:rPr>
          <w:b/>
          <w:bCs/>
        </w:rPr>
        <w:t xml:space="preserve">Nowcast, no pronóstico:</w:t>
      </w:r>
      <w:r>
        <w:t xml:space="preserve"> </w:t>
      </w:r>
      <w:r>
        <w:t xml:space="preserve">las features climáticas son del mismo día (reanálisis). Para alerta temprana real se requiere un pronóstico day-ahead o features de</w:t>
      </w:r>
      <w:r>
        <w:t xml:space="preserve"> </w:t>
      </w:r>
      <m:oMath>
        <m:r>
          <m:t>t</m:t>
        </m:r>
        <m:r>
          <m:rPr>
            <m:sty m:val="p"/>
          </m:rPr>
          <m:t>−</m:t>
        </m:r>
        <m:r>
          <m:t>1</m:t>
        </m:r>
      </m:oMath>
      <w:r>
        <w:t xml:space="preserve">; el sistema actual es un nowcast/hindcast.</w:t>
      </w:r>
      <w:r>
        <w:t xml:space="preserve"> </w:t>
      </w:r>
      <w:r>
        <w:t xml:space="preserve">4.</w:t>
      </w:r>
      <w:r>
        <w:t xml:space="preserve"> </w:t>
      </w:r>
      <w:r>
        <w:rPr>
          <w:b/>
          <w:bCs/>
        </w:rPr>
        <w:t xml:space="preserve">Calibración poblacional aproximada:</w:t>
      </w:r>
      <w:r>
        <w:t xml:space="preserve"> </w:t>
      </w:r>
      <w:r>
        <w:t xml:space="preserve">la reponderación usa los conteos del plan D2 por fecha, región y target. La precisión poblacional (0,062 %/0,206 % para ignición; 9,96 %/4,49 % para propagación) depende de la calidad de la máscara de dominio y de la observabilidad satelital.</w:t>
      </w:r>
      <w:r>
        <w:t xml:space="preserve"> </w:t>
      </w:r>
      <w:r>
        <w:t xml:space="preserve">5.</w:t>
      </w:r>
      <w:r>
        <w:t xml:space="preserve"> </w:t>
      </w:r>
      <w:r>
        <w:rPr>
          <w:b/>
          <w:bCs/>
        </w:rPr>
        <w:t xml:space="preserve">Resolución meteorológica:</w:t>
      </w:r>
      <w:r>
        <w:t xml:space="preserve"> </w:t>
      </w:r>
      <w:r>
        <w:t xml:space="preserve">ERA5-Land se usa sobre una grilla de nodos de 0,25° (~25 km), aunque su resolución nativa es ~0,1°. El clima v2 se descargó de CDS en resolución 3-hourly y la precipitación diaria se reconstruyó sumando incrementos; el archivo actual tiene un máximo de 237,38 mm/día y ningún valor &gt;300 mm. La resolución 3-hourly puede subestimar picos intradiarios de VPD y viento.</w:t>
      </w:r>
      <w:r>
        <w:t xml:space="preserve"> </w:t>
      </w:r>
      <w:r>
        <w:t xml:space="preserve">6.</w:t>
      </w:r>
      <w:r>
        <w:t xml:space="preserve"> </w:t>
      </w:r>
      <w:r>
        <w:rPr>
          <w:b/>
          <w:bCs/>
        </w:rPr>
        <w:t xml:space="preserve">Cobertura nubosa y observabilidad:</w:t>
      </w:r>
      <w:r>
        <w:t xml:space="preserve"> </w:t>
      </w:r>
      <w:r>
        <w:t xml:space="preserve">VIIRS puede perder focos bajo nubes densas. No se implementó una función explícita</w:t>
      </w:r>
      <w:r>
        <w:t xml:space="preserve"> </w:t>
      </w:r>
      <m:oMath>
        <m:r>
          <m:t>P</m:t>
        </m:r>
        <m:r>
          <m:rPr>
            <m:sty m:val="p"/>
          </m:rPr>
          <m:t>(</m:t>
        </m:r>
        <m:r>
          <m:rPr>
            <m:nor/>
            <m:sty m:val="p"/>
          </m:rPr>
          <m:t>Obs</m:t>
        </m:r>
        <m:r>
          <m:rPr>
            <m:sty m:val="p"/>
          </m:rPr>
          <m:t>)</m:t>
        </m:r>
      </m:oMath>
      <w:r>
        <w:t xml:space="preserve"> </w:t>
      </w:r>
      <w:r>
        <w:t xml:space="preserve">ni una máscara de nubosidad; la confianza</w:t>
      </w:r>
      <w:r>
        <w:t xml:space="preserve"> </w:t>
      </w:r>
      <w:r>
        <w:rPr>
          <w:rStyle w:val="VerbatimChar"/>
        </w:rPr>
        <w:t xml:space="preserve">low</w:t>
      </w:r>
      <w:r>
        <w:t xml:space="preserve"> </w:t>
      </w:r>
      <w:r>
        <w:t xml:space="preserve">se descarta, pero la atenuación por nubes no se modela.</w:t>
      </w:r>
      <w:r>
        <w:t xml:space="preserve"> </w:t>
      </w:r>
      <w:r>
        <w:t xml:space="preserve">7.</w:t>
      </w:r>
      <w:r>
        <w:t xml:space="preserve"> </w:t>
      </w:r>
      <w:r>
        <w:rPr>
          <w:b/>
          <w:bCs/>
        </w:rPr>
        <w:t xml:space="preserve">Conformal:</w:t>
      </w:r>
      <w:r>
        <w:t xml:space="preserve"> </w:t>
      </w:r>
      <w:r>
        <w:t xml:space="preserve">la cobertura empírica (89,85 %/90,19 % para 90 %; 95,02 %/94,56 % para 95 %) no constituye una garantía formal bajo cambio temporal.</w:t>
      </w:r>
      <w:r>
        <w:t xml:space="preserve"> </w:t>
      </w:r>
      <w:r>
        <w:t xml:space="preserve">8.</w:t>
      </w:r>
      <w:r>
        <w:t xml:space="preserve"> </w:t>
      </w:r>
      <w:r>
        <w:rPr>
          <w:b/>
          <w:bCs/>
        </w:rPr>
        <w:t xml:space="preserve">Significancia estadística:</w:t>
      </w:r>
      <w:r>
        <w:t xml:space="preserve"> </w:t>
      </w:r>
      <w:r>
        <w:t xml:space="preserve">el bootstrap pareado se implementó agrupando por fecha sobre la muestra case-control (</w:t>
      </w:r>
      <m:oMath>
        <m:r>
          <m:t>p</m:t>
        </m:r>
        <m:r>
          <m:rPr>
            <m:sty m:val="p"/>
          </m:rPr>
          <m:t>≤</m:t>
        </m:r>
        <m:r>
          <m:t>0</m:t>
        </m:r>
        <m:r>
          <m:rPr>
            <m:sty m:val="p"/>
          </m:rPr>
          <m:t>,</m:t>
        </m:r>
        <m:r>
          <m:t>001</m:t>
        </m:r>
      </m:oMath>
      <w:r>
        <w:t xml:space="preserve">); reduce la dependencia temporal, pero no corrige el sesgo de prevalencia ni la dependencia espacial residual, por lo que no debe leerse como validación operativa.</w:t>
      </w:r>
    </w:p>
    <w:p>
      <w:r>
        <w:pict>
          <v:rect style="width:0;height:1.5pt" o:hralign="center" o:hrstd="t" o:hr="t"/>
        </w:pict>
      </w:r>
    </w:p>
    <w:bookmarkEnd w:id="97"/>
    <w:bookmarkEnd w:id="98"/>
    <w:bookmarkStart w:id="106" w:name="conclusiones-y-trabajo-futuro"/>
    <w:p>
      <w:pPr>
        <w:pStyle w:val="Heading1"/>
      </w:pPr>
      <w:r>
        <w:t xml:space="preserve">7. 7. Conclusiones y Trabajo Futuro</w:t>
      </w:r>
    </w:p>
    <w:p>
      <w:pPr>
        <w:pStyle w:val="FirstParagraph"/>
      </w:pPr>
      <w:r>
        <w:t xml:space="preserve">Este trabajo introduce un marco computacional riguroso, desacoplado y reproducible para la predicción del peligro de incendios a escala soberana en Paraguay. Las conclusiones principales son:</w:t>
      </w:r>
    </w:p>
    <w:p>
      <w:pPr>
        <w:pStyle w:val="Compact"/>
        <w:numPr>
          <w:ilvl w:val="0"/>
          <w:numId w:val="1014"/>
        </w:numPr>
      </w:pPr>
      <w:r>
        <w:t xml:space="preserve">El cribado biofísico de primera etapa reduce el 21,7 % de las celdas-día y retiene el 97,17 % de las detecciones térmicas.</w:t>
      </w:r>
    </w:p>
    <w:p>
      <w:pPr>
        <w:pStyle w:val="Compact"/>
        <w:numPr>
          <w:ilvl w:val="0"/>
          <w:numId w:val="1014"/>
        </w:numPr>
      </w:pPr>
      <w:r>
        <w:t xml:space="preserve">El desacoplamiento entre ignición y propagación táctica mejora la discriminación frente a los índices canónicos:</w:t>
      </w:r>
      <w:r>
        <w:t xml:space="preserve"> </w:t>
      </w:r>
      <m:oMath>
        <m:sSub>
          <m:e>
            <m:r>
              <m:rPr>
                <m:scr m:val="script"/>
                <m:sty m:val="p"/>
              </m:rPr>
              <m:t>M</m:t>
            </m:r>
          </m:e>
          <m:sub>
            <m:r>
              <m:t>3</m:t>
            </m:r>
          </m:sub>
        </m:sSub>
      </m:oMath>
      <w:r>
        <w:t xml:space="preserve"> </w:t>
      </w:r>
      <w:r>
        <w:t xml:space="preserve">alcanza ROC-AUC 0,7851/0,7485 y la propagación 0,8989/0,7799 (Chaco/Oriental), frente a 0,5185/0,5569 del FWI completo y 0,5386/0,4994 del INPE Risco de Fogo. En la muestra case-control, la precisión</w:t>
      </w:r>
      <w:r>
        <w:t xml:space="preserve"> </w:t>
      </w:r>
      <m:oMath>
        <m:sSub>
          <m:e>
            <m:r>
              <m:t>F</m:t>
            </m:r>
          </m:e>
          <m:sub>
            <m:r>
              <m:t>0.5</m:t>
            </m:r>
          </m:sub>
        </m:sSub>
      </m:oMath>
      <w:r>
        <w:t xml:space="preserve"> </w:t>
      </w:r>
      <w:r>
        <w:t xml:space="preserve">es 27,54 %/29,67 % y 84,94 %/62,42 %; en población real cae a 0,062 %/0,206 % y 9,96 %/4,49 %.</w:t>
      </w:r>
    </w:p>
    <w:p>
      <w:pPr>
        <w:pStyle w:val="Compact"/>
        <w:numPr>
          <w:ilvl w:val="0"/>
          <w:numId w:val="1014"/>
        </w:numPr>
      </w:pPr>
      <w:r>
        <w:t xml:space="preserve">Los priors históricos causales (corte mensual, ventana de 3 años) y los corredores antrópicos son los principales predictores, junto con el viento y el FFMC. El perfil de combustible es MapBiomas real 2023; las conclusiones biofísicas siguen limitadas por su carácter estático.</w:t>
      </w:r>
    </w:p>
    <w:p>
      <w:pPr>
        <w:pStyle w:val="Compact"/>
        <w:numPr>
          <w:ilvl w:val="0"/>
          <w:numId w:val="1014"/>
        </w:numPr>
      </w:pPr>
      <w:r>
        <w:t xml:space="preserve">El pipeline completo se midió en ~1,569 s y ~2,182 GB de RAM pico. Es un nowcast/hindcast: las features climáticas son del mismo día; para alerta temprana real se requiere un pronóstico day-ahead.</w:t>
      </w:r>
    </w:p>
    <w:p>
      <w:pPr>
        <w:pStyle w:val="Compact"/>
        <w:numPr>
          <w:ilvl w:val="0"/>
          <w:numId w:val="1014"/>
        </w:numPr>
      </w:pPr>
      <w:r>
        <w:t xml:space="preserve">En el holdout espacial por bloques, M3 cae a ROC-AUC 0,6243/0,5754 y M1 obtiene 0,6338/0,6176. La ventaja híbrida es temporal y específica de celdas con historia de fuego; para celdas nuevas debe preferirse M1 o un reentrenamiento con validación espacial.</w:t>
      </w:r>
    </w:p>
    <w:bookmarkStart w:id="105" w:name="X440eed359d402fc402eb300a6b25588dee57b4d"/>
    <w:p>
      <w:pPr>
        <w:pStyle w:val="Heading2"/>
      </w:pPr>
      <w:r>
        <w:t xml:space="preserve">7.1 7.1 Trabajo Futuro y Hoja de Ruta Tecnológica</w:t>
      </w:r>
    </w:p>
    <w:bookmarkStart w:id="99" w:name="X3e0afae7a0c5a1d8500dc224301dbb076b3f118"/>
    <w:p>
      <w:pPr>
        <w:pStyle w:val="Heading3"/>
      </w:pPr>
      <w:r>
        <w:t xml:space="preserve">7.1.1 Delimitación Metodológica y Madurez del Alcance Actual</w:t>
      </w:r>
    </w:p>
    <w:p>
      <w:pPr>
        <w:pStyle w:val="FirstParagraph"/>
      </w:pPr>
      <w:r>
        <w:t xml:space="preserve">En el diseño de</w:t>
      </w:r>
      <w:r>
        <w:t xml:space="preserve"> </w:t>
      </w:r>
      <w:r>
        <w:rPr>
          <w:rStyle w:val="VerbatimChar"/>
        </w:rPr>
        <w:t xml:space="preserve">Incendios_PY</w:t>
      </w:r>
      <w:r>
        <w:t xml:space="preserve">, la incorporación de sensores de microondas activas o reflectancias espectrales de alta frecuencia —tales como la misión de humedad de suelo NASA SMAP o el contenido de agua del dosel de Copernicus Sentinel-3 OLCI— fue deliberadamente reservada como trabajo futuro en función de dos criterios de prudencia metodológica:</w:t>
      </w:r>
      <w:r>
        <w:t xml:space="preserve"> </w:t>
      </w:r>
      <w:r>
        <w:t xml:space="preserve">1.</w:t>
      </w:r>
      <w:r>
        <w:t xml:space="preserve"> </w:t>
      </w:r>
      <w:r>
        <w:rPr>
          <w:b/>
          <w:bCs/>
        </w:rPr>
        <w:t xml:space="preserve">Preservación de la Serie Temporal Multianual Homogénea (2018–2025):</w:t>
      </w:r>
      <w:r>
        <w:t xml:space="preserve"> </w:t>
      </w:r>
      <w:r>
        <w:t xml:space="preserve">Sentinel-3B y NOAA-20 entraron en régimen operativo regular en 2018, mientras que el radar activo de SMAP cesó en 2015, aunque su radiómetro continúa operativo. Forzar la inclusión de flujos asimétricos habría fragmentado el horizonte homogéneo de 8 años gobernado por la constelación dual Suomi-NPP y NOAA-20, impidiendo un entrenamiento y validación rigurosamente estables.</w:t>
      </w:r>
      <w:r>
        <w:t xml:space="preserve"> </w:t>
      </w:r>
      <w:r>
        <w:t xml:space="preserve">2.</w:t>
      </w:r>
      <w:r>
        <w:t xml:space="preserve"> </w:t>
      </w:r>
      <w:r>
        <w:rPr>
          <w:b/>
          <w:bCs/>
        </w:rPr>
        <w:t xml:space="preserve">Defensa de la Soberanía Tecnológica y Bajo Costo Computacional:</w:t>
      </w:r>
      <w:r>
        <w:t xml:space="preserve"> </w:t>
      </w:r>
      <w:r>
        <w:t xml:space="preserve">El objetivo primario de este trabajo fue demostrar que un país en desarrollo puede desplegar un sistema soberano de alerta temprana de clase mundial con un tiempo de inferencia de</w:t>
      </w:r>
      <w:r>
        <w:t xml:space="preserve"> </w:t>
      </w:r>
      <m:oMath>
        <m:r>
          <m:t>1</m:t>
        </m:r>
        <m:r>
          <m:rPr>
            <m:sty m:val="p"/>
          </m:rPr>
          <m:t>,</m:t>
        </m:r>
        <m:r>
          <m:t>569</m:t>
        </m:r>
        <m:r>
          <m:rPr>
            <m:nor/>
            <m:sty m:val="p"/>
          </m:rPr>
          <m:t> segundos</m:t>
        </m:r>
      </m:oMath>
      <w:r>
        <w:t xml:space="preserve"> </w:t>
      </w:r>
      <w:r>
        <w:t xml:space="preserve">en computadoras de consumo ordinarias. La asimilación de flujos diarios masivos de microondas en formato HDF5 habría impuesto cargas de almacenamiento en terabytes y dependencias de supercómputo en la nube, desvirtuando la vocación de transferibilidad operativa directa hacia el Cuerpo de Bomberos, la SEN y el MADES.</w:t>
      </w:r>
    </w:p>
    <w:bookmarkEnd w:id="99"/>
    <w:bookmarkStart w:id="104" w:name="líneas-de-evolución-futura"/>
    <w:p>
      <w:pPr>
        <w:pStyle w:val="Heading3"/>
      </w:pPr>
      <w:r>
        <w:t xml:space="preserve">7.1.2 Líneas de Evolución Futura</w:t>
      </w:r>
    </w:p>
    <w:p>
      <w:pPr>
        <w:pStyle w:val="FirstParagraph"/>
      </w:pPr>
      <w:r>
        <w:t xml:space="preserve">A partir de la línea base consolidada en este estudio, la siguiente generación de la plataforma contemplará:</w:t>
      </w:r>
      <w:r>
        <w:t xml:space="preserve"> </w:t>
      </w:r>
      <w:r>
        <w:t xml:space="preserve">-</w:t>
      </w:r>
      <w:r>
        <w:t xml:space="preserve"> </w:t>
      </w:r>
      <w:r>
        <w:rPr>
          <w:b/>
          <w:bCs/>
        </w:rPr>
        <w:t xml:space="preserve">Asimilación Directa de Humedad de Suelo por Microondas (NASA SMAP a 9 km):</w:t>
      </w:r>
      <w:r>
        <w:t xml:space="preserve"> </w:t>
      </w:r>
      <w:r>
        <w:t xml:space="preserve">Sustituir los balances teóricos de capas de suelo de ERA5-Land por observaciones radiométricas directas de los primeros</w:t>
      </w:r>
      <w:r>
        <w:t xml:space="preserve"> </w:t>
      </w:r>
      <m:oMath>
        <m:r>
          <m:t>5</m:t>
        </m:r>
        <m:r>
          <m:rPr>
            <m:nor/>
            <m:sty m:val="p"/>
          </m:rPr>
          <m:t> cm</m:t>
        </m:r>
      </m:oMath>
      <w:r>
        <w:t xml:space="preserve"> </w:t>
      </w:r>
      <w:r>
        <w:t xml:space="preserve">de suelo, penetrando la cobertura de nubes.</w:t>
      </w:r>
      <w:r>
        <w:t xml:space="preserve"> </w:t>
      </w:r>
      <w:r>
        <w:t xml:space="preserve">-</w:t>
      </w:r>
      <w:r>
        <w:t xml:space="preserve"> </w:t>
      </w:r>
      <w:r>
        <w:rPr>
          <w:b/>
          <w:bCs/>
        </w:rPr>
        <w:t xml:space="preserve">Detección Premórbida de Estrés Hídrico Foliar (Sentinel-3 NDWI a 300 m):</w:t>
      </w:r>
      <w:r>
        <w:t xml:space="preserve"> </w:t>
      </w:r>
      <w:r>
        <w:t xml:space="preserve">Monitorear la tasa de desecación del contenido de agua del dosel antes de su transformación en combustible inflamable.</w:t>
      </w:r>
      <w:r>
        <w:t xml:space="preserve"> </w:t>
      </w:r>
      <w:r>
        <w:t xml:space="preserve">-</w:t>
      </w:r>
      <w:r>
        <w:t xml:space="preserve"> </w:t>
      </w:r>
      <w:r>
        <w:rPr>
          <w:b/>
          <w:bCs/>
        </w:rPr>
        <w:t xml:space="preserve">Pipeline Automatizado de Verificación Satelital Tri-Modal:</w:t>
      </w:r>
      <w:r>
        <w:t xml:space="preserve"> </w:t>
      </w:r>
      <w:r>
        <w:t xml:space="preserve">Integración con teledetección multiespectral</w:t>
      </w:r>
      <w:r>
        <w:t xml:space="preserve"> </w:t>
      </w:r>
      <w:r>
        <w:t xml:space="preserve">(Artés et al., 2019; Chuvieco et al., 2019)</w:t>
      </w:r>
      <w:r>
        <w:t xml:space="preserve"> </w:t>
      </w:r>
      <w:r>
        <w:t xml:space="preserve">bajo tres modos operativos coordinados:</w:t>
      </w:r>
      <w:r>
        <w:t xml:space="preserve"> </w:t>
      </w:r>
      <w:r>
        <w:t xml:space="preserve">-</w:t>
      </w:r>
      <w:r>
        <w:t xml:space="preserve"> </w:t>
      </w:r>
      <w:r>
        <w:rPr>
          <w:b/>
          <w:bCs/>
        </w:rPr>
        <w:t xml:space="preserve">Modo 1 (Regional Sinóptico):</w:t>
      </w:r>
      <w:r>
        <w:t xml:space="preserve"> </w:t>
      </w:r>
      <w:r>
        <w:t xml:space="preserve">Cartografía nacional diaria del índice de peligro a 1 km².</w:t>
      </w:r>
      <w:r>
        <w:t xml:space="preserve"> </w:t>
      </w:r>
      <w:r>
        <w:t xml:space="preserve">-</w:t>
      </w:r>
      <w:r>
        <w:t xml:space="preserve"> </w:t>
      </w:r>
      <w:r>
        <w:rPr>
          <w:b/>
          <w:bCs/>
        </w:rPr>
        <w:t xml:space="preserve">Modo 2 (Focal VIIRS 375 m):</w:t>
      </w:r>
      <w:r>
        <w:t xml:space="preserve"> </w:t>
      </w:r>
      <w:r>
        <w:t xml:space="preserve">Detección de anomalías térmicas y clusters de propagación activa.</w:t>
      </w:r>
      <w:r>
        <w:t xml:space="preserve"> </w:t>
      </w:r>
      <w:r>
        <w:t xml:space="preserve">-</w:t>
      </w:r>
      <w:r>
        <w:t xml:space="preserve"> </w:t>
      </w:r>
      <w:r>
        <w:rPr>
          <w:b/>
          <w:bCs/>
        </w:rPr>
        <w:t xml:space="preserve">Modo 3 (Infrarrojo de Onda Corta SWIR / Sentinel-2 / Landsat-9 a 20 m):</w:t>
      </w:r>
      <w:r>
        <w:t xml:space="preserve"> </w:t>
      </w:r>
      <w:r>
        <w:t xml:space="preserve">Delimitación de cicatrices de quemado (</w:t>
      </w:r>
      <w:r>
        <w:rPr>
          <w:i/>
          <w:iCs/>
        </w:rPr>
        <w:t xml:space="preserve">burn scars</w:t>
      </w:r>
      <w:r>
        <w:t xml:space="preserve">) y cálculo del índice normalizado de área quemada (</w:t>
      </w:r>
      <m:oMath>
        <m:r>
          <m:t>N</m:t>
        </m:r>
        <m:r>
          <m:t>B</m:t>
        </m:r>
        <m:r>
          <m:t>R</m:t>
        </m:r>
      </m:oMath>
      <w:r>
        <w:t xml:space="preserve">).</w:t>
      </w:r>
    </w:p>
    <w:p>
      <w:pPr>
        <w:pStyle w:val="BodyText"/>
      </w:pPr>
      <w:r>
        <w:t xml:space="preserve">La estructura operativa de este esquema multiescala y los tres modos de visualización se ilustran en la</w:t>
      </w:r>
      <w:r>
        <w:t xml:space="preserve"> </w:t>
      </w:r>
      <w:hyperlink w:anchor="fig-trimodal">
        <w:r>
          <w:rPr>
            <w:rStyle w:val="Hyperlink"/>
          </w:rPr>
          <w:t xml:space="preserve">Figura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3" w:name="fig-trimodal"/>
          <w:p>
            <w:pPr>
              <w:pStyle w:val="Compact"/>
              <w:jc w:val="center"/>
            </w:pPr>
            <w:r>
              <w:drawing>
                <wp:inline>
                  <wp:extent cx="5334000" cy="1980517"/>
                  <wp:effectExtent b="0" l="0" r="0" t="0"/>
                  <wp:docPr descr="" title="" id="101" name="Picture"/>
                  <a:graphic>
                    <a:graphicData uri="http://schemas.openxmlformats.org/drawingml/2006/picture">
                      <pic:pic>
                        <pic:nvPicPr>
                          <pic:cNvPr descr="figuras/fig06_comparativa_satelital_tres_modos.png" id="102" name="Picture"/>
                          <pic:cNvPicPr>
                            <a:picLocks noChangeArrowheads="1" noChangeAspect="1"/>
                          </pic:cNvPicPr>
                        </pic:nvPicPr>
                        <pic:blipFill>
                          <a:blip r:embed="rId100"/>
                          <a:stretch>
                            <a:fillRect/>
                          </a:stretch>
                        </pic:blipFill>
                        <pic:spPr bwMode="auto">
                          <a:xfrm>
                            <a:off x="0" y="0"/>
                            <a:ext cx="5334000" cy="1980517"/>
                          </a:xfrm>
                          <a:prstGeom prst="rect">
                            <a:avLst/>
                          </a:prstGeom>
                          <a:noFill/>
                          <a:ln w="9525">
                            <a:noFill/>
                            <a:headEnd/>
                            <a:tailEnd/>
                          </a:ln>
                        </pic:spPr>
                      </pic:pic>
                    </a:graphicData>
                  </a:graphic>
                </wp:inline>
              </w:drawing>
            </w:r>
          </w:p>
          <w:p>
            <w:pPr>
              <w:jc w:val="center"/>
            </w:pPr>
            <w:pPr>
              <w:jc w:val="left"/>
              <w:spacing w:before="200"/>
              <w:pStyle w:val="ImageCaption"/>
            </w:pPr>
            <w:r>
              <w:t xml:space="preserve">Figura 9: Esquema conceptual y operativo de la verificación satelital tri-modal multiespectral: Modo 1 (Alerta Regional a 1 km²), Modo 2 (Detección térmica focal VIIRS a 375 m) y Modo 3 (Confirmación espectral SWIR de alta resolución en frentes de fuego activos).</w:t>
            </w:r>
          </w:p>
          <w:bookmarkEnd w:id="103"/>
        </w:tc>
      </w:tr>
    </w:tbl>
    <w:p>
      <w:r>
        <w:pict>
          <v:rect style="width:0;height:1.5pt" o:hralign="center" o:hrstd="t" o:hr="t"/>
        </w:pict>
      </w:r>
    </w:p>
    <w:bookmarkEnd w:id="104"/>
    <w:bookmarkEnd w:id="105"/>
    <w:bookmarkEnd w:id="106"/>
    <w:bookmarkStart w:id="111" w:name="Xce78c41521918f7ee75d0354003d52e87d74cef"/>
    <w:p>
      <w:pPr>
        <w:pStyle w:val="Heading1"/>
      </w:pPr>
      <w:r>
        <w:t xml:space="preserve">8. 8. Disponibilidad del Código Computacional (Computer Code Availability)</w:t>
      </w:r>
    </w:p>
    <w:p>
      <w:pPr>
        <w:pStyle w:val="FirstParagraph"/>
      </w:pPr>
      <w:r>
        <w:t xml:space="preserve">En cumplimiento de las políticas obligatorias de reproducibilidad de</w:t>
      </w:r>
      <w:r>
        <w:t xml:space="preserve"> </w:t>
      </w:r>
      <w:r>
        <w:rPr>
          <w:i/>
          <w:iCs/>
        </w:rPr>
        <w:t xml:space="preserve">Computers &amp; Geosciences</w:t>
      </w:r>
      <w:r>
        <w:t xml:space="preserve">, la</w:t>
      </w:r>
      <w:r>
        <w:t xml:space="preserve"> </w:t>
      </w:r>
      <w:hyperlink w:anchor="tbl-code">
        <w:r>
          <w:rPr>
            <w:rStyle w:val="Hyperlink"/>
          </w:rPr>
          <w:t xml:space="preserve">Tabla 11</w:t>
        </w:r>
      </w:hyperlink>
      <w:r>
        <w:t xml:space="preserve"> </w:t>
      </w:r>
      <w:r>
        <w:t xml:space="preserve">detalla los metadatos completos del software.</w:t>
      </w:r>
    </w:p>
    <w:tbl>
      <w:tblPr>
        <w:tblStyle w:val="Table"/>
        <w:tblW w:type="pct" w:w="5000"/>
        <w:tblLayout w:type="fixed"/>
        <w:tblLook w:firstRow="0" w:lastRow="0" w:firstColumn="0" w:lastColumn="0" w:noHBand="0" w:noVBand="0" w:val="0000"/>
      </w:tblPr>
      <w:tblGrid>
        <w:gridCol w:w="7920"/>
      </w:tblGrid>
      <w:tr>
        <w:tc>
          <w:tcPr/>
          <w:bookmarkStart w:id="110" w:name="tbl-code"/>
          <w:p>
            <w:pPr>
              <w:jc w:val="center"/>
            </w:pPr>
            <w:pPr>
              <w:jc w:val="left"/>
              <w:spacing w:before="200"/>
              <w:pStyle w:val="ImageCaption"/>
            </w:pPr>
            <w:r>
              <w:t xml:space="preserve">Tabla 11: Tabla canónica de disponibilidad de código computacional según las directrices de</w:t>
            </w:r>
            <w:r>
              <w:t xml:space="preserve"> </w:t>
            </w:r>
            <w:r>
              <w:rPr>
                <w:i/>
                <w:iCs/>
              </w:rPr>
              <w:t xml:space="preserve">Computers &amp; Geosciences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jc w:val="center"/>
                  </w:pPr>
                  <w:r>
                    <w:t xml:space="preserve">Metadato Obligatorio</w:t>
                  </w:r>
                </w:p>
              </w:tc>
              <w:tc>
                <w:tcPr/>
                <w:p>
                  <w:pPr>
                    <w:pStyle w:val="Compact"/>
                    <w:jc w:val="left"/>
                    <w:jc w:val="center"/>
                  </w:pPr>
                  <w:r>
                    <w:t xml:space="preserve">Especificación</w:t>
                  </w:r>
                </w:p>
              </w:tc>
            </w:tr>
            <w:tr>
              <w:tc>
                <w:tcPr/>
                <w:p>
                  <w:pPr>
                    <w:pStyle w:val="Compact"/>
                    <w:jc w:val="left"/>
                    <w:jc w:val="center"/>
                  </w:pPr>
                  <w:r>
                    <w:rPr>
                      <w:b/>
                      <w:bCs/>
                    </w:rPr>
                    <w:t xml:space="preserve">Nombre del Programa / Código:</w:t>
                  </w:r>
                </w:p>
              </w:tc>
              <w:tc>
                <w:tcPr/>
                <w:p>
                  <w:pPr>
                    <w:pStyle w:val="Compact"/>
                    <w:jc w:val="left"/>
                    <w:jc w:val="center"/>
                  </w:pPr>
                  <w:r>
                    <w:rPr>
                      <w:rStyle w:val="VerbatimChar"/>
                    </w:rPr>
                    <w:t xml:space="preserve">Incendios_PY</w:t>
                  </w:r>
                </w:p>
              </w:tc>
            </w:tr>
            <w:tr>
              <w:tc>
                <w:tcPr/>
                <w:p>
                  <w:pPr>
                    <w:pStyle w:val="Compact"/>
                    <w:jc w:val="left"/>
                    <w:jc w:val="center"/>
                  </w:pPr>
                  <w:r>
                    <w:rPr>
                      <w:b/>
                      <w:bCs/>
                    </w:rPr>
                    <w:t xml:space="preserve">Desarrollador / Contacto:</w:t>
                  </w:r>
                </w:p>
              </w:tc>
              <w:tc>
                <w:tcPr/>
                <w:p>
                  <w:pPr>
                    <w:pStyle w:val="Compact"/>
                    <w:jc w:val="left"/>
                    <w:jc w:val="center"/>
                  </w:pPr>
                  <w:r>
                    <w:t xml:space="preserve">Martín Sánchez Insfrán (</w:t>
                  </w:r>
                  <w:r>
                    <w:rPr>
                      <w:rStyle w:val="VerbatimChar"/>
                    </w:rPr>
                    <w:t xml:space="preserve">sanchez.martin093@gmail.com</w:t>
                  </w:r>
                  <w:r>
                    <w:t xml:space="preserve">)</w:t>
                  </w:r>
                </w:p>
              </w:tc>
            </w:tr>
            <w:tr>
              <w:tc>
                <w:tcPr/>
                <w:p>
                  <w:pPr>
                    <w:pStyle w:val="Compact"/>
                    <w:jc w:val="left"/>
                    <w:jc w:val="center"/>
                  </w:pPr>
                  <w:r>
                    <w:rPr>
                      <w:b/>
                      <w:bCs/>
                    </w:rPr>
                    <w:t xml:space="preserve">Año de Primera Disponibilidad:</w:t>
                  </w:r>
                </w:p>
              </w:tc>
              <w:tc>
                <w:tcPr/>
                <w:p>
                  <w:pPr>
                    <w:pStyle w:val="Compact"/>
                    <w:jc w:val="left"/>
                    <w:jc w:val="center"/>
                  </w:pPr>
                  <w:r>
                    <w:t xml:space="preserve">2026</w:t>
                  </w:r>
                </w:p>
              </w:tc>
            </w:tr>
            <w:tr>
              <w:tc>
                <w:tcPr/>
                <w:p>
                  <w:pPr>
                    <w:pStyle w:val="Compact"/>
                    <w:jc w:val="left"/>
                    <w:jc w:val="center"/>
                  </w:pPr>
                  <w:r>
                    <w:rPr>
                      <w:b/>
                      <w:bCs/>
                    </w:rPr>
                    <w:t xml:space="preserve">Plataforma de Hardware:</w:t>
                  </w:r>
                </w:p>
              </w:tc>
              <w:tc>
                <w:tcPr/>
                <w:p>
                  <w:pPr>
                    <w:pStyle w:val="Compact"/>
                    <w:jc w:val="left"/>
                    <w:jc w:val="center"/>
                  </w:pPr>
                  <w:r>
                    <w:t xml:space="preserve">x86_64 o ARM64 (Apple Silicon M-Series o Intel/AMD);</w:t>
                  </w:r>
                  <w:r>
                    <w:t xml:space="preserve"> </w:t>
                  </w:r>
                  <m:oMath>
                    <m:r>
                      <m:rPr>
                        <m:sty m:val="p"/>
                      </m:rPr>
                      <m:t>≥</m:t>
                    </m:r>
                    <m:r>
                      <m:t>8</m:t>
                    </m:r>
                    <m:r>
                      <m:rPr>
                        <m:nor/>
                        <m:sty m:val="p"/>
                      </m:rPr>
                      <m:t> GB</m:t>
                    </m:r>
                  </m:oMath>
                  <w:r>
                    <w:t xml:space="preserve"> </w:t>
                  </w:r>
                  <w:r>
                    <w:t xml:space="preserve">RAM.</w:t>
                  </w:r>
                </w:p>
              </w:tc>
            </w:tr>
            <w:tr>
              <w:tc>
                <w:tcPr/>
                <w:p>
                  <w:pPr>
                    <w:pStyle w:val="Compact"/>
                    <w:jc w:val="left"/>
                    <w:jc w:val="center"/>
                  </w:pPr>
                  <w:r>
                    <w:rPr>
                      <w:b/>
                      <w:bCs/>
                    </w:rPr>
                    <w:t xml:space="preserve">Sistema Operativo:</w:t>
                  </w:r>
                </w:p>
              </w:tc>
              <w:tc>
                <w:tcPr/>
                <w:p>
                  <w:pPr>
                    <w:pStyle w:val="Compact"/>
                    <w:jc w:val="left"/>
                    <w:jc w:val="center"/>
                  </w:pPr>
                  <w:r>
                    <w:t xml:space="preserve">Multiplataforma: macOS (13+), Linux (Ubuntu 22.04+), Windows 11 (WSL2).</w:t>
                  </w:r>
                </w:p>
              </w:tc>
            </w:tr>
            <w:tr>
              <w:tc>
                <w:tcPr/>
                <w:p>
                  <w:pPr>
                    <w:pStyle w:val="Compact"/>
                    <w:jc w:val="left"/>
                    <w:jc w:val="center"/>
                  </w:pPr>
                  <w:r>
                    <w:rPr>
                      <w:b/>
                      <w:bCs/>
                    </w:rPr>
                    <w:t xml:space="preserve">Lenguaje de Programación:</w:t>
                  </w:r>
                </w:p>
              </w:tc>
              <w:tc>
                <w:tcPr/>
                <w:p>
                  <w:pPr>
                    <w:pStyle w:val="Compact"/>
                    <w:jc w:val="left"/>
                    <w:jc w:val="center"/>
                  </w:pPr>
                  <w:r>
                    <w:t xml:space="preserve">Python</w:t>
                  </w:r>
                  <w:r>
                    <w:t xml:space="preserve"> </w:t>
                  </w:r>
                  <m:oMath>
                    <m:r>
                      <m:rPr>
                        <m:sty m:val="p"/>
                      </m:rPr>
                      <m:t>≥</m:t>
                    </m:r>
                    <m:r>
                      <m:t>3.12</m:t>
                    </m:r>
                  </m:oMath>
                  <w:r>
                    <w:t xml:space="preserve">; operaciones vectorizadas con Polars, DuckDB, NumPy y el backend C++ de LightGBM.</w:t>
                  </w:r>
                </w:p>
              </w:tc>
            </w:tr>
            <w:tr>
              <w:tc>
                <w:tcPr/>
                <w:p>
                  <w:pPr>
                    <w:pStyle w:val="Compact"/>
                    <w:jc w:val="left"/>
                    <w:jc w:val="center"/>
                  </w:pPr>
                  <w:r>
                    <w:rPr>
                      <w:b/>
                      <w:bCs/>
                    </w:rPr>
                    <w:t xml:space="preserve">Bibliotecas y Dependencias:</w:t>
                  </w:r>
                </w:p>
              </w:tc>
              <w:tc>
                <w:tcPr/>
                <w:p>
                  <w:pPr>
                    <w:pStyle w:val="Compact"/>
                    <w:jc w:val="left"/>
                    <w:jc w:val="center"/>
                  </w:pPr>
                  <w:r>
                    <w:t xml:space="preserve">DuckDB</w:t>
                  </w:r>
                  <w:r>
                    <w:t xml:space="preserve"> </w:t>
                  </w:r>
                  <m:oMath>
                    <m:r>
                      <m:rPr>
                        <m:sty m:val="p"/>
                      </m:rPr>
                      <m:t>≥</m:t>
                    </m:r>
                    <m:r>
                      <m:t>1.0</m:t>
                    </m:r>
                  </m:oMath>
                  <w:r>
                    <w:t xml:space="preserve">, Polars</w:t>
                  </w:r>
                  <w:r>
                    <w:t xml:space="preserve"> </w:t>
                  </w:r>
                  <m:oMath>
                    <m:r>
                      <m:rPr>
                        <m:sty m:val="p"/>
                      </m:rPr>
                      <m:t>≥</m:t>
                    </m:r>
                    <m:r>
                      <m:t>1.0</m:t>
                    </m:r>
                  </m:oMath>
                  <w:r>
                    <w:t xml:space="preserve">, LightGBM</w:t>
                  </w:r>
                  <w:r>
                    <w:t xml:space="preserve"> </w:t>
                  </w:r>
                  <m:oMath>
                    <m:r>
                      <m:rPr>
                        <m:sty m:val="p"/>
                      </m:rPr>
                      <m:t>≥</m:t>
                    </m:r>
                    <m:r>
                      <m:t>4.0</m:t>
                    </m:r>
                  </m:oMath>
                  <w:r>
                    <w:t xml:space="preserve">, SciPy</w:t>
                  </w:r>
                  <w:r>
                    <w:t xml:space="preserve"> </w:t>
                  </w:r>
                  <m:oMath>
                    <m:r>
                      <m:rPr>
                        <m:sty m:val="p"/>
                      </m:rPr>
                      <m:t>≥</m:t>
                    </m:r>
                    <m:r>
                      <m:t>1.11</m:t>
                    </m:r>
                  </m:oMath>
                  <w:r>
                    <w:t xml:space="preserve">, Quarto</w:t>
                  </w:r>
                  <w:r>
                    <w:t xml:space="preserve"> </w:t>
                  </w:r>
                  <m:oMath>
                    <m:r>
                      <m:rPr>
                        <m:sty m:val="p"/>
                      </m:rPr>
                      <m:t>≥</m:t>
                    </m:r>
                    <m:r>
                      <m:t>1.5</m:t>
                    </m:r>
                  </m:oMath>
                  <w:r>
                    <w:t xml:space="preserve">.</w:t>
                  </w:r>
                </w:p>
              </w:tc>
            </w:tr>
            <w:tr>
              <w:tc>
                <w:tcPr/>
                <w:p>
                  <w:pPr>
                    <w:pStyle w:val="Compact"/>
                    <w:jc w:val="left"/>
                    <w:jc w:val="center"/>
                  </w:pPr>
                  <w:r>
                    <w:rPr>
                      <w:b/>
                      <w:bCs/>
                    </w:rPr>
                    <w:t xml:space="preserve">Disponibilidad y Costo:</w:t>
                  </w:r>
                </w:p>
              </w:tc>
              <w:tc>
                <w:tcPr/>
                <w:p>
                  <w:pPr>
                    <w:pStyle w:val="Compact"/>
                    <w:jc w:val="left"/>
                    <w:jc w:val="center"/>
                  </w:pPr>
                  <w:r>
                    <w:t xml:space="preserve">Código abierto gratuito bajo Licencia MIT.</w:t>
                  </w:r>
                </w:p>
              </w:tc>
            </w:tr>
            <w:tr>
              <w:tc>
                <w:tcPr/>
                <w:p>
                  <w:pPr>
                    <w:pStyle w:val="Compact"/>
                    <w:jc w:val="left"/>
                    <w:jc w:val="center"/>
                  </w:pPr>
                  <w:r>
                    <w:rPr>
                      <w:b/>
                      <w:bCs/>
                    </w:rPr>
                    <w:t xml:space="preserve">Enlace al Repositorio de Código:</w:t>
                  </w:r>
                </w:p>
              </w:tc>
              <w:tc>
                <w:tcPr/>
                <w:p>
                  <w:pPr>
                    <w:pStyle w:val="Compact"/>
                    <w:jc w:val="left"/>
                    <w:jc w:val="center"/>
                  </w:pPr>
                  <w:hyperlink r:id="rId107">
                    <w:r>
                      <w:rPr>
                        <w:rStyle w:val="Hyperlink"/>
                      </w:rPr>
                      <w:t xml:space="preserve">https://github.com/sanchezmartin093-code/Incendios_PY</w:t>
                    </w:r>
                  </w:hyperlink>
                </w:p>
              </w:tc>
            </w:tr>
            <w:tr>
              <w:tc>
                <w:tcPr/>
                <w:p>
                  <w:pPr>
                    <w:pStyle w:val="Compact"/>
                    <w:jc w:val="left"/>
                    <w:jc w:val="center"/>
                  </w:pPr>
                  <w:r>
                    <w:rPr>
                      <w:b/>
                      <w:bCs/>
                    </w:rPr>
                    <w:t xml:space="preserve">DOI del Código:</w:t>
                  </w:r>
                </w:p>
              </w:tc>
              <w:tc>
                <w:tcPr/>
                <w:p>
                  <w:pPr>
                    <w:pStyle w:val="Compact"/>
                    <w:jc w:val="left"/>
                    <w:jc w:val="center"/>
                  </w:pPr>
                  <w:hyperlink r:id="rId108">
                    <w:r>
                      <w:rPr>
                        <w:rStyle w:val="Hyperlink"/>
                      </w:rPr>
                      <w:t xml:space="preserve">10.5281/zenodo.23675105</w:t>
                    </w:r>
                  </w:hyperlink>
                </w:p>
              </w:tc>
            </w:tr>
            <w:tr>
              <w:tc>
                <w:tcPr/>
                <w:p>
                  <w:pPr>
                    <w:pStyle w:val="Compact"/>
                    <w:jc w:val="left"/>
                    <w:jc w:val="center"/>
                  </w:pPr>
                  <w:r>
                    <w:rPr>
                      <w:b/>
                      <w:bCs/>
                    </w:rPr>
                    <w:t xml:space="preserve">DOI de los Datos:</w:t>
                  </w:r>
                </w:p>
              </w:tc>
              <w:tc>
                <w:tcPr/>
                <w:p>
                  <w:pPr>
                    <w:pStyle w:val="Compact"/>
                    <w:jc w:val="left"/>
                    <w:jc w:val="center"/>
                  </w:pPr>
                  <w:hyperlink r:id="rId109">
                    <w:r>
                      <w:rPr>
                        <w:rStyle w:val="Hyperlink"/>
                      </w:rPr>
                      <w:t xml:space="preserve">10.5281/zenodo.23675279</w:t>
                    </w:r>
                  </w:hyperlink>
                </w:p>
              </w:tc>
            </w:tr>
          </w:tbl>
          <w:bookmarkEnd w:id="110"/>
          <w:p/>
        </w:tc>
      </w:tr>
    </w:tbl>
    <w:p>
      <w:r>
        <w:pict>
          <v:rect style="width:0;height:1.5pt" o:hralign="center" o:hrstd="t" o:hr="t"/>
        </w:pict>
      </w:r>
    </w:p>
    <w:bookmarkEnd w:id="111"/>
    <w:bookmarkStart w:id="112" w:name="Xf0a30ec9a8ea695e028ffcc069694d680cc4aad"/>
    <w:p>
      <w:pPr>
        <w:pStyle w:val="Heading1"/>
      </w:pPr>
      <w:r>
        <w:t xml:space="preserve">9. 9. Disponibilidad de Datos (Data Availability)</w:t>
      </w:r>
    </w:p>
    <w:p>
      <w:pPr>
        <w:pStyle w:val="FirstParagraph"/>
      </w:pPr>
      <w:r>
        <w:t xml:space="preserve">Los datos procesados, las predicciones de test, los modelos entrenados y las tablas derivadas están archivados en Zenodo bajo licencia CC BY 4.0:</w:t>
      </w:r>
      <w:r>
        <w:t xml:space="preserve"> </w:t>
      </w:r>
      <w:hyperlink r:id="rId109">
        <w:r>
          <w:rPr>
            <w:rStyle w:val="Hyperlink"/>
          </w:rPr>
          <w:t xml:space="preserve">10.5281/zenodo.23675279</w:t>
        </w:r>
      </w:hyperlink>
      <w:r>
        <w:t xml:space="preserve">. Los datos crudos de NASA FIRMS, ERA5-Land/CDS, MapBiomas y geoBoundaries se obtienen de sus proveedores originales bajo sus propios términos y se documentan con hashes en</w:t>
      </w:r>
      <w:r>
        <w:t xml:space="preserve"> </w:t>
      </w:r>
      <w:r>
        <w:rPr>
          <w:rStyle w:val="VerbatimChar"/>
        </w:rPr>
        <w:t xml:space="preserve">fuentes/MANIFIESTO_DATOS_v2.csv</w:t>
      </w:r>
      <w:r>
        <w:t xml:space="preserve">.</w:t>
      </w:r>
    </w:p>
    <w:p>
      <w:r>
        <w:pict>
          <v:rect style="width:0;height:1.5pt" o:hralign="center" o:hrstd="t" o:hr="t"/>
        </w:pict>
      </w:r>
    </w:p>
    <w:bookmarkEnd w:id="112"/>
    <w:bookmarkStart w:id="198" w:name="referencias"/>
    <w:p>
      <w:pPr>
        <w:pStyle w:val="Heading1"/>
      </w:pPr>
      <w:r>
        <w:t xml:space="preserve">Referencias</w:t>
      </w:r>
    </w:p>
    <w:bookmarkStart w:id="197" w:name="refs"/>
    <w:bookmarkStart w:id="113" w:name="ref-altintas2015wifire"/>
    <w:p>
      <w:pPr>
        <w:pStyle w:val="Bibliography"/>
      </w:pPr>
      <w:r>
        <w:t xml:space="preserve">Altintas, I., Block, J., Callafon, R. de, Crawl, D., Cowart, C., Gupta, A., Nguyen, M., Seambos, H.-W., Shearer, C., &amp; Shavit, A. (2015). Towards an integrated cyberinfrastructure for scalable data-driven wildfire management: The</w:t>
      </w:r>
      <w:r>
        <w:t xml:space="preserve"> </w:t>
      </w:r>
      <w:r>
        <w:t xml:space="preserve">WIFIRE</w:t>
      </w:r>
      <w:r>
        <w:t xml:space="preserve"> </w:t>
      </w:r>
      <w:r>
        <w:t xml:space="preserve">project.</w:t>
      </w:r>
      <w:r>
        <w:t xml:space="preserve"> </w:t>
      </w:r>
      <w:r>
        <w:rPr>
          <w:i/>
          <w:iCs/>
        </w:rPr>
        <w:t xml:space="preserve">Procedia Computer Science</w:t>
      </w:r>
      <w:r>
        <w:t xml:space="preserve">,</w:t>
      </w:r>
      <w:r>
        <w:t xml:space="preserve"> </w:t>
      </w:r>
      <w:r>
        <w:rPr>
          <w:i/>
          <w:iCs/>
        </w:rPr>
        <w:t xml:space="preserve">51</w:t>
      </w:r>
      <w:r>
        <w:t xml:space="preserve">, 1633-1642.</w:t>
      </w:r>
    </w:p>
    <w:bookmarkEnd w:id="113"/>
    <w:bookmarkStart w:id="115" w:name="ref-alvarado2018"/>
    <w:p>
      <w:pPr>
        <w:pStyle w:val="Bibliography"/>
      </w:pPr>
      <w:r>
        <w:t xml:space="preserve">Alvarado, S. T., Silva, C. A., &amp; Archibald, S. (2018). Drivers of fire occurrence in a savanna-forest mosaic in the southern Amazon.</w:t>
      </w:r>
      <w:r>
        <w:t xml:space="preserve"> </w:t>
      </w:r>
      <w:r>
        <w:rPr>
          <w:i/>
          <w:iCs/>
        </w:rPr>
        <w:t xml:space="preserve">Remote Sensing</w:t>
      </w:r>
      <w:r>
        <w:t xml:space="preserve">,</w:t>
      </w:r>
      <w:r>
        <w:t xml:space="preserve"> </w:t>
      </w:r>
      <w:r>
        <w:rPr>
          <w:i/>
          <w:iCs/>
        </w:rPr>
        <w:t xml:space="preserve">10</w:t>
      </w:r>
      <w:r>
        <w:t xml:space="preserve">(9), 1438.</w:t>
      </w:r>
      <w:r>
        <w:t xml:space="preserve"> </w:t>
      </w:r>
      <w:hyperlink r:id="rId114">
        <w:r>
          <w:rPr>
            <w:rStyle w:val="Hyperlink"/>
          </w:rPr>
          <w:t xml:space="preserve">https://doi.org/10.3390/rs10091438</w:t>
        </w:r>
      </w:hyperlink>
    </w:p>
    <w:bookmarkEnd w:id="115"/>
    <w:bookmarkStart w:id="117" w:name="ref-andrews2014"/>
    <w:p>
      <w:pPr>
        <w:pStyle w:val="Bibliography"/>
      </w:pPr>
      <w:r>
        <w:t xml:space="preserve">Andrews, P. L. (2014). Current status and future needs of the</w:t>
      </w:r>
      <w:r>
        <w:t xml:space="preserve"> </w:t>
      </w:r>
      <w:r>
        <w:t xml:space="preserve">BehavePlus</w:t>
      </w:r>
      <w:r>
        <w:t xml:space="preserve"> </w:t>
      </w:r>
      <w:r>
        <w:t xml:space="preserve">fire modeling system.</w:t>
      </w:r>
      <w:r>
        <w:t xml:space="preserve"> </w:t>
      </w:r>
      <w:r>
        <w:rPr>
          <w:i/>
          <w:iCs/>
        </w:rPr>
        <w:t xml:space="preserve">International Journal of Wildland Fire</w:t>
      </w:r>
      <w:r>
        <w:t xml:space="preserve">,</w:t>
      </w:r>
      <w:r>
        <w:t xml:space="preserve"> </w:t>
      </w:r>
      <w:r>
        <w:rPr>
          <w:i/>
          <w:iCs/>
        </w:rPr>
        <w:t xml:space="preserve">23</w:t>
      </w:r>
      <w:r>
        <w:t xml:space="preserve">(1), 21-33.</w:t>
      </w:r>
      <w:r>
        <w:t xml:space="preserve"> </w:t>
      </w:r>
      <w:hyperlink r:id="rId116">
        <w:r>
          <w:rPr>
            <w:rStyle w:val="Hyperlink"/>
          </w:rPr>
          <w:t xml:space="preserve">https://doi.org/10.1071/WF12167</w:t>
        </w:r>
      </w:hyperlink>
    </w:p>
    <w:bookmarkEnd w:id="117"/>
    <w:bookmarkStart w:id="119" w:name="ref-artes2019"/>
    <w:p>
      <w:pPr>
        <w:pStyle w:val="Bibliography"/>
      </w:pPr>
      <w:r>
        <w:t xml:space="preserve">Artés, T., Oom, D., Rigo, D. de, Houston Durrant, T., Maianti, P., Libertà, G., &amp; San-Miguel-Ayanz, J. (2019). A global wildfire dataset for the analysis of fire regimes and fire behaviour.</w:t>
      </w:r>
      <w:r>
        <w:t xml:space="preserve"> </w:t>
      </w:r>
      <w:r>
        <w:rPr>
          <w:i/>
          <w:iCs/>
        </w:rPr>
        <w:t xml:space="preserve">Scientific Data</w:t>
      </w:r>
      <w:r>
        <w:t xml:space="preserve">,</w:t>
      </w:r>
      <w:r>
        <w:t xml:space="preserve"> </w:t>
      </w:r>
      <w:r>
        <w:rPr>
          <w:i/>
          <w:iCs/>
        </w:rPr>
        <w:t xml:space="preserve">6</w:t>
      </w:r>
      <w:r>
        <w:t xml:space="preserve">(1), 296.</w:t>
      </w:r>
      <w:r>
        <w:t xml:space="preserve"> </w:t>
      </w:r>
      <w:hyperlink r:id="rId118">
        <w:r>
          <w:rPr>
            <w:rStyle w:val="Hyperlink"/>
          </w:rPr>
          <w:t xml:space="preserve">https://doi.org/10.1038/s41597-019-0312-2</w:t>
        </w:r>
      </w:hyperlink>
    </w:p>
    <w:bookmarkEnd w:id="119"/>
    <w:bookmarkStart w:id="121" w:name="ref-barmpoutis2020"/>
    <w:p>
      <w:pPr>
        <w:pStyle w:val="Bibliography"/>
      </w:pPr>
      <w:r>
        <w:t xml:space="preserve">Barmpoutis, P., Papaioannou, P., Dimitropoulos, K., &amp; Grammalidis, N. (2020). A Review on Early Forest Fire Detection Systems Using Optical Remote Sensing.</w:t>
      </w:r>
      <w:r>
        <w:t xml:space="preserve"> </w:t>
      </w:r>
      <w:r>
        <w:rPr>
          <w:i/>
          <w:iCs/>
        </w:rPr>
        <w:t xml:space="preserve">Sensors</w:t>
      </w:r>
      <w:r>
        <w:t xml:space="preserve">,</w:t>
      </w:r>
      <w:r>
        <w:t xml:space="preserve"> </w:t>
      </w:r>
      <w:r>
        <w:rPr>
          <w:i/>
          <w:iCs/>
        </w:rPr>
        <w:t xml:space="preserve">20</w:t>
      </w:r>
      <w:r>
        <w:t xml:space="preserve">(22), 6442.</w:t>
      </w:r>
      <w:r>
        <w:t xml:space="preserve"> </w:t>
      </w:r>
      <w:hyperlink r:id="rId120">
        <w:r>
          <w:rPr>
            <w:rStyle w:val="Hyperlink"/>
          </w:rPr>
          <w:t xml:space="preserve">https://doi.org/10.3390/s20226442</w:t>
        </w:r>
      </w:hyperlink>
    </w:p>
    <w:bookmarkEnd w:id="121"/>
    <w:bookmarkStart w:id="123" w:name="ref-baumann2017"/>
    <w:p>
      <w:pPr>
        <w:pStyle w:val="Bibliography"/>
      </w:pPr>
      <w:r>
        <w:t xml:space="preserve">Baumann, M., Gasparri, I., Piquer-Rodrı́guez, M., Ponzoni, G., Volante, J., &amp; Kuemmerle, T. (2017). Carbon emissions from agricultural expansion and intensification in the Chaco.</w:t>
      </w:r>
      <w:r>
        <w:t xml:space="preserve"> </w:t>
      </w:r>
      <w:r>
        <w:rPr>
          <w:i/>
          <w:iCs/>
        </w:rPr>
        <w:t xml:space="preserve">Global Change Biology</w:t>
      </w:r>
      <w:r>
        <w:t xml:space="preserve">,</w:t>
      </w:r>
      <w:r>
        <w:t xml:space="preserve"> </w:t>
      </w:r>
      <w:r>
        <w:rPr>
          <w:i/>
          <w:iCs/>
        </w:rPr>
        <w:t xml:space="preserve">23</w:t>
      </w:r>
      <w:r>
        <w:t xml:space="preserve">(5), 1902-1916.</w:t>
      </w:r>
      <w:r>
        <w:t xml:space="preserve"> </w:t>
      </w:r>
      <w:hyperlink r:id="rId122">
        <w:r>
          <w:rPr>
            <w:rStyle w:val="Hyperlink"/>
          </w:rPr>
          <w:t xml:space="preserve">https://doi.org/10.1111/gcb.13521</w:t>
        </w:r>
      </w:hyperlink>
    </w:p>
    <w:bookmarkEnd w:id="123"/>
    <w:bookmarkStart w:id="125" w:name="ref-chen2016xgboost"/>
    <w:p>
      <w:pPr>
        <w:pStyle w:val="Bibliography"/>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w:t>
      </w:r>
      <w:r>
        <w:t xml:space="preserve"> </w:t>
      </w:r>
      <w:hyperlink r:id="rId124">
        <w:r>
          <w:rPr>
            <w:rStyle w:val="Hyperlink"/>
          </w:rPr>
          <w:t xml:space="preserve">https://doi.org/10.1145/2939672.2939785</w:t>
        </w:r>
      </w:hyperlink>
    </w:p>
    <w:bookmarkEnd w:id="125"/>
    <w:bookmarkStart w:id="127" w:name="ref-chuvieco2019"/>
    <w:p>
      <w:pPr>
        <w:pStyle w:val="Bibliography"/>
      </w:pPr>
      <w:r>
        <w:t xml:space="preserve">Chuvieco, E., Mouillot, F., Werf, G. R. van der, San Miguel, J., Tanase, M., Koutsias, N., Garcı́a, M., Yebra, M., Padilla, M., Gitas, I., Heil, A., Hawbaker, T. J., &amp; Giglio, L. (2019). Historical background and current developments for mapping burned area from satellite Earth observation.</w:t>
      </w:r>
      <w:r>
        <w:t xml:space="preserve"> </w:t>
      </w:r>
      <w:r>
        <w:rPr>
          <w:i/>
          <w:iCs/>
        </w:rPr>
        <w:t xml:space="preserve">Remote Sensing of Environment</w:t>
      </w:r>
      <w:r>
        <w:t xml:space="preserve">,</w:t>
      </w:r>
      <w:r>
        <w:t xml:space="preserve"> </w:t>
      </w:r>
      <w:r>
        <w:rPr>
          <w:i/>
          <w:iCs/>
        </w:rPr>
        <w:t xml:space="preserve">225</w:t>
      </w:r>
      <w:r>
        <w:t xml:space="preserve">, 45-64.</w:t>
      </w:r>
      <w:r>
        <w:t xml:space="preserve"> </w:t>
      </w:r>
      <w:hyperlink r:id="rId126">
        <w:r>
          <w:rPr>
            <w:rStyle w:val="Hyperlink"/>
          </w:rPr>
          <w:t xml:space="preserve">https://doi.org/10.1016/j.rse.2019.02.013</w:t>
        </w:r>
      </w:hyperlink>
    </w:p>
    <w:bookmarkEnd w:id="127"/>
    <w:bookmarkStart w:id="129" w:name="ref-coffield2019"/>
    <w:p>
      <w:pPr>
        <w:pStyle w:val="Bibliography"/>
      </w:pPr>
      <w:r>
        <w:t xml:space="preserve">Coffield, S. R., Graff, C. A., Chen, Y., Smyth, P., Foufoula-Georgiou, E., &amp; Randerson, J. T. (2019). Machine learning for predicting wildfire size in the western United States.</w:t>
      </w:r>
      <w:r>
        <w:t xml:space="preserve"> </w:t>
      </w:r>
      <w:r>
        <w:rPr>
          <w:i/>
          <w:iCs/>
        </w:rPr>
        <w:t xml:space="preserve">Environmental Research Letters</w:t>
      </w:r>
      <w:r>
        <w:t xml:space="preserve">,</w:t>
      </w:r>
      <w:r>
        <w:t xml:space="preserve"> </w:t>
      </w:r>
      <w:r>
        <w:rPr>
          <w:i/>
          <w:iCs/>
        </w:rPr>
        <w:t xml:space="preserve">14</w:t>
      </w:r>
      <w:r>
        <w:t xml:space="preserve">(3), 034017.</w:t>
      </w:r>
      <w:r>
        <w:t xml:space="preserve"> </w:t>
      </w:r>
      <w:hyperlink r:id="rId128">
        <w:r>
          <w:rPr>
            <w:rStyle w:val="Hyperlink"/>
          </w:rPr>
          <w:t xml:space="preserve">https://doi.org/10.1088/1748-9326/ab020e</w:t>
        </w:r>
      </w:hyperlink>
    </w:p>
    <w:bookmarkEnd w:id="129"/>
    <w:bookmarkStart w:id="131" w:name="ref-dormann2007"/>
    <w:p>
      <w:pPr>
        <w:pStyle w:val="Bibliography"/>
      </w:pPr>
      <w:r>
        <w:t xml:space="preserve">Dormann, C. F., McPherson, J. M., Araújo, M. B., Bivand, R., Bolliger, J., Carl, G., Davies, R. G., Hirzel, A., Jetz, W., Kissling, W. D., Kühn, I., Ohlemüller, R., Peres-Neto, P. R., Reineking, B., Schröder, B., Schurr, F. M., &amp; Wilson, R. (2007). Methods to account for spatial autocorrelation in the analysis of species distributional data: a review.</w:t>
      </w:r>
      <w:r>
        <w:t xml:space="preserve"> </w:t>
      </w:r>
      <w:r>
        <w:rPr>
          <w:i/>
          <w:iCs/>
        </w:rPr>
        <w:t xml:space="preserve">Ecography</w:t>
      </w:r>
      <w:r>
        <w:t xml:space="preserve">,</w:t>
      </w:r>
      <w:r>
        <w:t xml:space="preserve"> </w:t>
      </w:r>
      <w:r>
        <w:rPr>
          <w:i/>
          <w:iCs/>
        </w:rPr>
        <w:t xml:space="preserve">30</w:t>
      </w:r>
      <w:r>
        <w:t xml:space="preserve">(5), 609-628.</w:t>
      </w:r>
      <w:r>
        <w:t xml:space="preserve"> </w:t>
      </w:r>
      <w:hyperlink r:id="rId130">
        <w:r>
          <w:rPr>
            <w:rStyle w:val="Hyperlink"/>
          </w:rPr>
          <w:t xml:space="preserve">https://doi.org/10.1111/j.2007.0906-7590.05171.x</w:t>
        </w:r>
      </w:hyperlink>
    </w:p>
    <w:bookmarkEnd w:id="131"/>
    <w:bookmarkStart w:id="132" w:name="ref-finney2004farsite"/>
    <w:p>
      <w:pPr>
        <w:pStyle w:val="Bibliography"/>
      </w:pPr>
      <w:r>
        <w:t xml:space="preserve">Finney, M. A. (2004).</w:t>
      </w:r>
      <w:r>
        <w:t xml:space="preserve"> </w:t>
      </w:r>
      <w:r>
        <w:t xml:space="preserve">FARSITE</w:t>
      </w:r>
      <w:r>
        <w:t xml:space="preserve">: Fire Area Simulator–model development and evaluation.</w:t>
      </w:r>
      <w:r>
        <w:t xml:space="preserve"> </w:t>
      </w:r>
      <w:r>
        <w:rPr>
          <w:i/>
          <w:iCs/>
        </w:rPr>
        <w:t xml:space="preserve">US Department of Agriculture, Forest Service, Rocky Mountain Research Station</w:t>
      </w:r>
      <w:r>
        <w:t xml:space="preserve">,</w:t>
      </w:r>
      <w:r>
        <w:t xml:space="preserve"> </w:t>
      </w:r>
      <w:r>
        <w:rPr>
          <w:i/>
          <w:iCs/>
        </w:rPr>
        <w:t xml:space="preserve">RP-RMRS-4</w:t>
      </w:r>
      <w:r>
        <w:t xml:space="preserve">, 1-47.</w:t>
      </w:r>
    </w:p>
    <w:bookmarkEnd w:id="132"/>
    <w:bookmarkStart w:id="134" w:name="ref-flannigan2009"/>
    <w:p>
      <w:pPr>
        <w:pStyle w:val="Bibliography"/>
      </w:pPr>
      <w:r>
        <w:t xml:space="preserve">Flannigan, M. D., Krawchuk, M. A., Groot, W. J. de, Wotton, B. M., &amp; Gowman, L. M. (2009). Implications of changing climate for global wildland fire.</w:t>
      </w:r>
      <w:r>
        <w:t xml:space="preserve"> </w:t>
      </w:r>
      <w:r>
        <w:rPr>
          <w:i/>
          <w:iCs/>
        </w:rPr>
        <w:t xml:space="preserve">International Journal of Wildland Fire</w:t>
      </w:r>
      <w:r>
        <w:t xml:space="preserve">,</w:t>
      </w:r>
      <w:r>
        <w:t xml:space="preserve"> </w:t>
      </w:r>
      <w:r>
        <w:rPr>
          <w:i/>
          <w:iCs/>
        </w:rPr>
        <w:t xml:space="preserve">18</w:t>
      </w:r>
      <w:r>
        <w:t xml:space="preserve">(5), 483-507.</w:t>
      </w:r>
      <w:r>
        <w:t xml:space="preserve"> </w:t>
      </w:r>
      <w:hyperlink r:id="rId133">
        <w:r>
          <w:rPr>
            <w:rStyle w:val="Hyperlink"/>
          </w:rPr>
          <w:t xml:space="preserve">https://doi.org/10.1071/WF08187</w:t>
        </w:r>
      </w:hyperlink>
    </w:p>
    <w:bookmarkEnd w:id="134"/>
    <w:bookmarkStart w:id="136" w:name="ref-flannigan2016"/>
    <w:p>
      <w:pPr>
        <w:pStyle w:val="Bibliography"/>
      </w:pPr>
      <w:r>
        <w:t xml:space="preserve">Flannigan, M. D., Wotton, B. M., Marshall, G. A., Groot, W. J. de, Johnston, J., Jurko, N., &amp; Cantin, A. S. (2016). Fuel moisture sensitivity to temperature and precipitation: climate change implications.</w:t>
      </w:r>
      <w:r>
        <w:t xml:space="preserve"> </w:t>
      </w:r>
      <w:r>
        <w:rPr>
          <w:i/>
          <w:iCs/>
        </w:rPr>
        <w:t xml:space="preserve">Climatic Change</w:t>
      </w:r>
      <w:r>
        <w:t xml:space="preserve">,</w:t>
      </w:r>
      <w:r>
        <w:t xml:space="preserve"> </w:t>
      </w:r>
      <w:r>
        <w:rPr>
          <w:i/>
          <w:iCs/>
        </w:rPr>
        <w:t xml:space="preserve">134</w:t>
      </w:r>
      <w:r>
        <w:t xml:space="preserve">(1), 59-71.</w:t>
      </w:r>
      <w:r>
        <w:t xml:space="preserve"> </w:t>
      </w:r>
      <w:hyperlink r:id="rId135">
        <w:r>
          <w:rPr>
            <w:rStyle w:val="Hyperlink"/>
          </w:rPr>
          <w:t xml:space="preserve">https://doi.org/10.1007/s10584-015-1521-0</w:t>
        </w:r>
      </w:hyperlink>
    </w:p>
    <w:bookmarkEnd w:id="136"/>
    <w:bookmarkStart w:id="138" w:name="ref-giglio2016"/>
    <w:p>
      <w:pPr>
        <w:pStyle w:val="Bibliography"/>
      </w:pPr>
      <w:r>
        <w:t xml:space="preserve">Giglio, L., Schroeder, W., &amp; Justice, C. O. (2016). The collection 6</w:t>
      </w:r>
      <w:r>
        <w:t xml:space="preserve"> </w:t>
      </w:r>
      <w:r>
        <w:t xml:space="preserve">MODIS</w:t>
      </w:r>
      <w:r>
        <w:t xml:space="preserve"> </w:t>
      </w:r>
      <w:r>
        <w:t xml:space="preserve">active fire detection algorithm and fire products.</w:t>
      </w:r>
      <w:r>
        <w:t xml:space="preserve"> </w:t>
      </w:r>
      <w:r>
        <w:rPr>
          <w:i/>
          <w:iCs/>
        </w:rPr>
        <w:t xml:space="preserve">Remote Sensing of Environment</w:t>
      </w:r>
      <w:r>
        <w:t xml:space="preserve">,</w:t>
      </w:r>
      <w:r>
        <w:t xml:space="preserve"> </w:t>
      </w:r>
      <w:r>
        <w:rPr>
          <w:i/>
          <w:iCs/>
        </w:rPr>
        <w:t xml:space="preserve">178</w:t>
      </w:r>
      <w:r>
        <w:t xml:space="preserve">, 31-41.</w:t>
      </w:r>
      <w:r>
        <w:t xml:space="preserve"> </w:t>
      </w:r>
      <w:hyperlink r:id="rId137">
        <w:r>
          <w:rPr>
            <w:rStyle w:val="Hyperlink"/>
          </w:rPr>
          <w:t xml:space="preserve">https://doi.org/10.1016/j.rse.2016.02.054</w:t>
        </w:r>
      </w:hyperlink>
    </w:p>
    <w:bookmarkEnd w:id="138"/>
    <w:bookmarkStart w:id="140" w:name="ref-gorelick2017"/>
    <w:p>
      <w:pPr>
        <w:pStyle w:val="Bibliography"/>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w:t>
      </w:r>
      <w:r>
        <w:t xml:space="preserve"> </w:t>
      </w:r>
      <w:r>
        <w:rPr>
          <w:i/>
          <w:iCs/>
        </w:rPr>
        <w:t xml:space="preserve">202</w:t>
      </w:r>
      <w:r>
        <w:t xml:space="preserve">, 18-27.</w:t>
      </w:r>
      <w:r>
        <w:t xml:space="preserve"> </w:t>
      </w:r>
      <w:hyperlink r:id="rId139">
        <w:r>
          <w:rPr>
            <w:rStyle w:val="Hyperlink"/>
          </w:rPr>
          <w:t xml:space="preserve">https://doi.org/10.1016/j.rse.2017.06.031</w:t>
        </w:r>
      </w:hyperlink>
    </w:p>
    <w:bookmarkEnd w:id="140"/>
    <w:bookmarkStart w:id="142" w:name="ref-jain2020review"/>
    <w:p>
      <w:pPr>
        <w:pStyle w:val="Bibliography"/>
      </w:pPr>
      <w:r>
        <w:t xml:space="preserve">Jain, P., Coogan, S. C. P., Subramanian, S. G., Crowley, M., Taylor, S., &amp; Flannigan, M. D. (2020). A review of machine learning applications in wildland fire science and management.</w:t>
      </w:r>
      <w:r>
        <w:t xml:space="preserve"> </w:t>
      </w:r>
      <w:r>
        <w:rPr>
          <w:i/>
          <w:iCs/>
        </w:rPr>
        <w:t xml:space="preserve">Environmental Reviews</w:t>
      </w:r>
      <w:r>
        <w:t xml:space="preserve">,</w:t>
      </w:r>
      <w:r>
        <w:t xml:space="preserve"> </w:t>
      </w:r>
      <w:r>
        <w:rPr>
          <w:i/>
          <w:iCs/>
        </w:rPr>
        <w:t xml:space="preserve">28</w:t>
      </w:r>
      <w:r>
        <w:t xml:space="preserve">(4), 478-505.</w:t>
      </w:r>
      <w:r>
        <w:t xml:space="preserve"> </w:t>
      </w:r>
      <w:hyperlink r:id="rId141">
        <w:r>
          <w:rPr>
            <w:rStyle w:val="Hyperlink"/>
          </w:rPr>
          <w:t xml:space="preserve">https://doi.org/10.1139/er-2020-0019</w:t>
        </w:r>
      </w:hyperlink>
    </w:p>
    <w:bookmarkEnd w:id="142"/>
    <w:bookmarkStart w:id="144" w:name="ref-jolly2015"/>
    <w:p>
      <w:pPr>
        <w:pStyle w:val="Bibliography"/>
      </w:pPr>
      <w:r>
        <w:t xml:space="preserve">Jolly, W. M., Cochrane, M. A., Freeborn, P. H., Holden, Z. A., Brown, T. J., Williamson, G. J., &amp; Bowman, D. M. J. S. (2015). Climate-induced variations in global wildfire danger from 1979 to 2013.</w:t>
      </w:r>
      <w:r>
        <w:t xml:space="preserve"> </w:t>
      </w:r>
      <w:r>
        <w:rPr>
          <w:i/>
          <w:iCs/>
        </w:rPr>
        <w:t xml:space="preserve">Nature Communications</w:t>
      </w:r>
      <w:r>
        <w:t xml:space="preserve">,</w:t>
      </w:r>
      <w:r>
        <w:t xml:space="preserve"> </w:t>
      </w:r>
      <w:r>
        <w:rPr>
          <w:i/>
          <w:iCs/>
        </w:rPr>
        <w:t xml:space="preserve">6</w:t>
      </w:r>
      <w:r>
        <w:t xml:space="preserve">, 7537.</w:t>
      </w:r>
      <w:r>
        <w:t xml:space="preserve"> </w:t>
      </w:r>
      <w:hyperlink r:id="rId143">
        <w:r>
          <w:rPr>
            <w:rStyle w:val="Hyperlink"/>
          </w:rPr>
          <w:t xml:space="preserve">https://doi.org/10.1038/ncomms8537</w:t>
        </w:r>
      </w:hyperlink>
    </w:p>
    <w:bookmarkEnd w:id="144"/>
    <w:bookmarkStart w:id="146" w:name="ref-justice2002"/>
    <w:p>
      <w:pPr>
        <w:pStyle w:val="Bibliography"/>
      </w:pPr>
      <w:r>
        <w:t xml:space="preserve">Justice, C. O., Giglio, L., Korontzi, S., Owens, J., Morisette, J. T., Roy, D. P., Descloitres, J., Alleaume, S., Petitcolin, F., &amp; Kaufman, Y. J. (2002). The</w:t>
      </w:r>
      <w:r>
        <w:t xml:space="preserve"> </w:t>
      </w:r>
      <w:r>
        <w:t xml:space="preserve">MODIS</w:t>
      </w:r>
      <w:r>
        <w:t xml:space="preserve"> </w:t>
      </w:r>
      <w:r>
        <w:t xml:space="preserve">fire products.</w:t>
      </w:r>
      <w:r>
        <w:t xml:space="preserve"> </w:t>
      </w:r>
      <w:r>
        <w:rPr>
          <w:i/>
          <w:iCs/>
        </w:rPr>
        <w:t xml:space="preserve">Remote Sensing of Environment</w:t>
      </w:r>
      <w:r>
        <w:t xml:space="preserve">,</w:t>
      </w:r>
      <w:r>
        <w:t xml:space="preserve"> </w:t>
      </w:r>
      <w:r>
        <w:rPr>
          <w:i/>
          <w:iCs/>
        </w:rPr>
        <w:t xml:space="preserve">83</w:t>
      </w:r>
      <w:r>
        <w:t xml:space="preserve">(1–2), 244-262.</w:t>
      </w:r>
      <w:r>
        <w:t xml:space="preserve"> </w:t>
      </w:r>
      <w:hyperlink r:id="rId145">
        <w:r>
          <w:rPr>
            <w:rStyle w:val="Hyperlink"/>
          </w:rPr>
          <w:t xml:space="preserve">https://doi.org/10.1016/S0034-4257(02)00076-7</w:t>
        </w:r>
      </w:hyperlink>
    </w:p>
    <w:bookmarkEnd w:id="146"/>
    <w:bookmarkStart w:id="147" w:name="ref-ke2017lightgbm"/>
    <w:p>
      <w:pPr>
        <w:pStyle w:val="Bibliography"/>
      </w:pPr>
      <w:r>
        <w:t xml:space="preserve">Ke, G., Meng, Q., Finley, T., Wang, T., Chen, W., Ma, W., Ye, Q., &amp; Liu, T.-Y. (2017). LightGBM: A Highly Efficient Gradient Boosting Decision Tree.</w:t>
      </w:r>
      <w:r>
        <w:t xml:space="preserve"> </w:t>
      </w:r>
      <w:r>
        <w:rPr>
          <w:i/>
          <w:iCs/>
        </w:rPr>
        <w:t xml:space="preserve">Advances in Neural Information Processing Systems (NeurIPS)</w:t>
      </w:r>
      <w:r>
        <w:t xml:space="preserve">,</w:t>
      </w:r>
      <w:r>
        <w:t xml:space="preserve"> </w:t>
      </w:r>
      <w:r>
        <w:rPr>
          <w:i/>
          <w:iCs/>
        </w:rPr>
        <w:t xml:space="preserve">30</w:t>
      </w:r>
      <w:r>
        <w:t xml:space="preserve">, 3146-3154.</w:t>
      </w:r>
    </w:p>
    <w:bookmarkEnd w:id="147"/>
    <w:bookmarkStart w:id="149" w:name="ref-legendre1993"/>
    <w:p>
      <w:pPr>
        <w:pStyle w:val="Bibliography"/>
      </w:pPr>
      <w:r>
        <w:t xml:space="preserve">Legendre, P. (1993). Spatial autocorrelation: trouble or new paradigm?</w:t>
      </w:r>
      <w:r>
        <w:t xml:space="preserve"> </w:t>
      </w:r>
      <w:r>
        <w:rPr>
          <w:i/>
          <w:iCs/>
        </w:rPr>
        <w:t xml:space="preserve">Ecology</w:t>
      </w:r>
      <w:r>
        <w:t xml:space="preserve">,</w:t>
      </w:r>
      <w:r>
        <w:t xml:space="preserve"> </w:t>
      </w:r>
      <w:r>
        <w:rPr>
          <w:i/>
          <w:iCs/>
        </w:rPr>
        <w:t xml:space="preserve">74</w:t>
      </w:r>
      <w:r>
        <w:t xml:space="preserve">(6), 1659-1673.</w:t>
      </w:r>
      <w:r>
        <w:t xml:space="preserve"> </w:t>
      </w:r>
      <w:hyperlink r:id="rId148">
        <w:r>
          <w:rPr>
            <w:rStyle w:val="Hyperlink"/>
          </w:rPr>
          <w:t xml:space="preserve">https://doi.org/10.2307/1939924</w:t>
        </w:r>
      </w:hyperlink>
    </w:p>
    <w:bookmarkEnd w:id="149"/>
    <w:bookmarkStart w:id="151" w:name="ref-lundberg2020treeshap"/>
    <w:p>
      <w:pPr>
        <w:pStyle w:val="Bibliography"/>
      </w:pPr>
      <w:r>
        <w:t xml:space="preserve">Lundberg, S. M., Erion, G., Chen, H., DeGrave, A., Prutkin, J. M., Nair, B., Katz, R., Himmelfarb, J., Bansal, N., &amp; Lee, S.-I. (2020). 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w:t>
      </w:r>
      <w:r>
        <w:t xml:space="preserve"> </w:t>
      </w:r>
      <w:r>
        <w:rPr>
          <w:i/>
          <w:iCs/>
        </w:rPr>
        <w:t xml:space="preserve">2</w:t>
      </w:r>
      <w:r>
        <w:t xml:space="preserve">(1), 56-67.</w:t>
      </w:r>
      <w:r>
        <w:t xml:space="preserve"> </w:t>
      </w:r>
      <w:hyperlink r:id="rId150">
        <w:r>
          <w:rPr>
            <w:rStyle w:val="Hyperlink"/>
          </w:rPr>
          <w:t xml:space="preserve">https://doi.org/10.1038/s42256-019-0138-9</w:t>
        </w:r>
      </w:hyperlink>
    </w:p>
    <w:bookmarkEnd w:id="151"/>
    <w:bookmarkStart w:id="153" w:name="ref-mapbiomas2023"/>
    <w:p>
      <w:pPr>
        <w:pStyle w:val="Bibliography"/>
      </w:pPr>
      <w:r>
        <w:t xml:space="preserve">MapBiomas Chaco. (2023).</w:t>
      </w:r>
      <w:r>
        <w:t xml:space="preserve"> </w:t>
      </w:r>
      <w:r>
        <w:rPr>
          <w:i/>
          <w:iCs/>
        </w:rPr>
        <w:t xml:space="preserve">Colecci</w:t>
      </w:r>
      <w:r>
        <w:rPr>
          <w:i/>
          <w:iCs/>
        </w:rPr>
        <w:t xml:space="preserve">ó</w:t>
      </w:r>
      <w:r>
        <w:rPr>
          <w:i/>
          <w:iCs/>
        </w:rPr>
        <w:t xml:space="preserve">n 4 de los Mapas Anuales de Cobertura y Uso del Suelo del Gran Chaco Americano</w:t>
      </w:r>
      <w:r>
        <w:t xml:space="preserve">.</w:t>
      </w:r>
      <w:r>
        <w:t xml:space="preserve"> </w:t>
      </w:r>
      <w:hyperlink r:id="rId152">
        <w:r>
          <w:rPr>
            <w:rStyle w:val="Hyperlink"/>
          </w:rPr>
          <w:t xml:space="preserve">https://chaco.mapbiomas.org/</w:t>
        </w:r>
      </w:hyperlink>
      <w:r>
        <w:t xml:space="preserve">.</w:t>
      </w:r>
    </w:p>
    <w:bookmarkEnd w:id="153"/>
    <w:bookmarkStart w:id="155" w:name="ref-meyer2021"/>
    <w:p>
      <w:pPr>
        <w:pStyle w:val="Bibliography"/>
      </w:pPr>
      <w:r>
        <w:t xml:space="preserve">Meyer, H., &amp; Pebesma, E. (2021). Predicting into unknown space? Estimating the area of applicability of spatial prediction models.</w:t>
      </w:r>
      <w:r>
        <w:t xml:space="preserve"> </w:t>
      </w:r>
      <w:r>
        <w:rPr>
          <w:i/>
          <w:iCs/>
        </w:rPr>
        <w:t xml:space="preserve">Methods in Ecology and Evolution</w:t>
      </w:r>
      <w:r>
        <w:t xml:space="preserve">,</w:t>
      </w:r>
      <w:r>
        <w:t xml:space="preserve"> </w:t>
      </w:r>
      <w:r>
        <w:rPr>
          <w:i/>
          <w:iCs/>
        </w:rPr>
        <w:t xml:space="preserve">12</w:t>
      </w:r>
      <w:r>
        <w:t xml:space="preserve">(9), 1620-1633.</w:t>
      </w:r>
      <w:r>
        <w:t xml:space="preserve"> </w:t>
      </w:r>
      <w:hyperlink r:id="rId154">
        <w:r>
          <w:rPr>
            <w:rStyle w:val="Hyperlink"/>
          </w:rPr>
          <w:t xml:space="preserve">https://doi.org/10.1111/2041-210X.13650</w:t>
        </w:r>
      </w:hyperlink>
    </w:p>
    <w:bookmarkEnd w:id="155"/>
    <w:bookmarkStart w:id="157" w:name="ref-munoz2021era5land"/>
    <w:p>
      <w:pPr>
        <w:pStyle w:val="Bibliography"/>
      </w:pPr>
      <w:r>
        <w:t xml:space="preserve">Muñoz-Sabater, J., Dutra, E., Agustı́-Panareda, A., Albergel, C., Arduini, G., Balsamo, G., Boussetta, S., Choulga, M., Harrigan, S., Hersbach, H., Martens, B., Miralles, D. G., Piles, M., Rodrı́guez-Fernández, N. J., Zsoter, E., Buontempo, C., &amp; Thépaut, J.-N. (2021).</w:t>
      </w:r>
      <w:r>
        <w:t xml:space="preserve"> </w:t>
      </w:r>
      <w:r>
        <w:t xml:space="preserve">ERA5-Land</w:t>
      </w:r>
      <w:r>
        <w:t xml:space="preserve">: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(9), 4349-4383.</w:t>
      </w:r>
      <w:r>
        <w:t xml:space="preserve"> </w:t>
      </w:r>
      <w:hyperlink r:id="rId156">
        <w:r>
          <w:rPr>
            <w:rStyle w:val="Hyperlink"/>
          </w:rPr>
          <w:t xml:space="preserve">https://doi.org/10.5194/essd-13-4349-2021</w:t>
        </w:r>
      </w:hyperlink>
    </w:p>
    <w:bookmarkEnd w:id="157"/>
    <w:bookmarkStart w:id="159" w:name="ref-niculescu2005"/>
    <w:p>
      <w:pPr>
        <w:pStyle w:val="Bibliography"/>
      </w:pPr>
      <w:r>
        <w:t xml:space="preserve">Niculescu-Mizil, A., &amp; Caruana, R. (2005). Predicting good probabilities with supervised learning.</w:t>
      </w:r>
      <w:r>
        <w:t xml:space="preserve"> </w:t>
      </w:r>
      <w:r>
        <w:rPr>
          <w:i/>
          <w:iCs/>
        </w:rPr>
        <w:t xml:space="preserve">Proceedings of the 22nd International Conference on Machine Learning (ICML)</w:t>
      </w:r>
      <w:r>
        <w:t xml:space="preserve">, 625-632.</w:t>
      </w:r>
      <w:r>
        <w:t xml:space="preserve"> </w:t>
      </w:r>
      <w:hyperlink r:id="rId158">
        <w:r>
          <w:rPr>
            <w:rStyle w:val="Hyperlink"/>
          </w:rPr>
          <w:t xml:space="preserve">https://doi.org/10.1145/1102351.1102430</w:t>
        </w:r>
      </w:hyperlink>
    </w:p>
    <w:bookmarkEnd w:id="159"/>
    <w:bookmarkStart w:id="160" w:name="ref-pedregosa2011"/>
    <w:p>
      <w:pPr>
        <w:pStyle w:val="Bibliography"/>
      </w:pPr>
      <w:r>
        <w:t xml:space="preserve">Pedregosa, F., Varoquaux, G., Gramfort, A., Michel, V., Thirion, B., Grisel, O., Blondel, M., Prettenhofer, P., Weiss, R., Dubourg, V., Vanderplas, J., Passos, A., Cournapeau, D., Brucher, M., Perrot, M., &amp; Duchesnay, É. (2011). Scikit-learn: Machine Learning in</w:t>
      </w:r>
      <w:r>
        <w:t xml:space="preserve"> </w:t>
      </w:r>
      <w:r>
        <w:t xml:space="preserve">Python</w:t>
      </w:r>
      <w:r>
        <w:t xml:space="preserve">.</w:t>
      </w:r>
      <w:r>
        <w:t xml:space="preserve"> </w:t>
      </w:r>
      <w:r>
        <w:rPr>
          <w:i/>
          <w:iCs/>
        </w:rPr>
        <w:t xml:space="preserve">Journal of Machine Learning Research</w:t>
      </w:r>
      <w:r>
        <w:t xml:space="preserve">,</w:t>
      </w:r>
      <w:r>
        <w:t xml:space="preserve"> </w:t>
      </w:r>
      <w:r>
        <w:rPr>
          <w:i/>
          <w:iCs/>
        </w:rPr>
        <w:t xml:space="preserve">12</w:t>
      </w:r>
      <w:r>
        <w:t xml:space="preserve">, 2825-2830.</w:t>
      </w:r>
    </w:p>
    <w:bookmarkEnd w:id="160"/>
    <w:bookmarkStart w:id="162" w:name="ref-pivello2021"/>
    <w:p>
      <w:pPr>
        <w:pStyle w:val="Bibliography"/>
      </w:pPr>
      <w:r>
        <w:t xml:space="preserve">Pivello, V. R., Vieira, I., Christianini, A. V., Ribeiro, D. B., Silva Menezes, L. da, Berlinck, C. N., Melo, F. P. L., Marengo, J. A., Tornquist, C. G., Tomas, W. M., &amp; Overbeck, G. E. (2021). Understanding Brazil’s catastrophic fires: Causes, consequences and policy needed.</w:t>
      </w:r>
      <w:r>
        <w:t xml:space="preserve"> </w:t>
      </w:r>
      <w:r>
        <w:rPr>
          <w:i/>
          <w:iCs/>
        </w:rPr>
        <w:t xml:space="preserve">Perspectives in Ecology and Conservation</w:t>
      </w:r>
      <w:r>
        <w:t xml:space="preserve">,</w:t>
      </w:r>
      <w:r>
        <w:t xml:space="preserve"> </w:t>
      </w:r>
      <w:r>
        <w:rPr>
          <w:i/>
          <w:iCs/>
        </w:rPr>
        <w:t xml:space="preserve">19</w:t>
      </w:r>
      <w:r>
        <w:t xml:space="preserve">(3), 233-255.</w:t>
      </w:r>
      <w:r>
        <w:t xml:space="preserve"> </w:t>
      </w:r>
      <w:hyperlink r:id="rId161">
        <w:r>
          <w:rPr>
            <w:rStyle w:val="Hyperlink"/>
          </w:rPr>
          <w:t xml:space="preserve">https://doi.org/10.1016/j.pecon.2021.06.005</w:t>
        </w:r>
      </w:hyperlink>
    </w:p>
    <w:bookmarkEnd w:id="162"/>
    <w:bookmarkStart w:id="163" w:name="ref-platt1999"/>
    <w:p>
      <w:pPr>
        <w:pStyle w:val="Bibliography"/>
      </w:pPr>
      <w:r>
        <w:t xml:space="preserve">Platt, J. (1999). Probabilistic outputs for support vector machines and comparisons to regularized likelihood methods.</w:t>
      </w:r>
      <w:r>
        <w:t xml:space="preserve"> </w:t>
      </w:r>
      <w:r>
        <w:rPr>
          <w:i/>
          <w:iCs/>
        </w:rPr>
        <w:t xml:space="preserve">Advances in Large Margin Classifiers</w:t>
      </w:r>
      <w:r>
        <w:t xml:space="preserve">, 61-74.</w:t>
      </w:r>
    </w:p>
    <w:bookmarkEnd w:id="163"/>
    <w:bookmarkStart w:id="165" w:name="ref-ploton2020"/>
    <w:p>
      <w:pPr>
        <w:pStyle w:val="Bibliography"/>
      </w:pPr>
      <w:r>
        <w:t xml:space="preserve">Ploton, P., Mortier, F., Réjou-Méchain, M., Barbier, N., Picard, N., Rossi, V., Dormann, C. F., Cornu, G., Viennois, G., Bayol, N., &amp; Pelissier, R. (2020). Spatial validation reveals poor predictive performance of large-scale ecological mapping models.</w:t>
      </w:r>
      <w:r>
        <w:t xml:space="preserve"> </w:t>
      </w:r>
      <w:r>
        <w:rPr>
          <w:i/>
          <w:iCs/>
        </w:rPr>
        <w:t xml:space="preserve">Nature Communications</w:t>
      </w:r>
      <w:r>
        <w:t xml:space="preserve">,</w:t>
      </w:r>
      <w:r>
        <w:t xml:space="preserve"> </w:t>
      </w:r>
      <w:r>
        <w:rPr>
          <w:i/>
          <w:iCs/>
        </w:rPr>
        <w:t xml:space="preserve">11</w:t>
      </w:r>
      <w:r>
        <w:t xml:space="preserve">, 4540.</w:t>
      </w:r>
      <w:r>
        <w:t xml:space="preserve"> </w:t>
      </w:r>
      <w:hyperlink r:id="rId164">
        <w:r>
          <w:rPr>
            <w:rStyle w:val="Hyperlink"/>
          </w:rPr>
          <w:t xml:space="preserve">https://doi.org/10.1038/s41467-020-18321-y</w:t>
        </w:r>
      </w:hyperlink>
    </w:p>
    <w:bookmarkEnd w:id="165"/>
    <w:bookmarkStart w:id="166" w:name="ref-prokhorenkova2018"/>
    <w:p>
      <w:pPr>
        <w:pStyle w:val="Bibliography"/>
      </w:pPr>
      <w:r>
        <w:t xml:space="preserve">Prokhorenkova, L., Gusev, G., Vorobev, A., Dorogush, A. V., &amp; Gulin, A. (2018). CatBoost: unbiased boosting with categorical features.</w:t>
      </w:r>
      <w:r>
        <w:t xml:space="preserve"> </w:t>
      </w:r>
      <w:r>
        <w:rPr>
          <w:i/>
          <w:iCs/>
        </w:rPr>
        <w:t xml:space="preserve">Advances in Neural Information Processing Systems (NeurIPS)</w:t>
      </w:r>
      <w:r>
        <w:t xml:space="preserve">,</w:t>
      </w:r>
      <w:r>
        <w:t xml:space="preserve"> </w:t>
      </w:r>
      <w:r>
        <w:rPr>
          <w:i/>
          <w:iCs/>
        </w:rPr>
        <w:t xml:space="preserve">31</w:t>
      </w:r>
      <w:r>
        <w:t xml:space="preserve">, 6638-6648.</w:t>
      </w:r>
    </w:p>
    <w:bookmarkEnd w:id="166"/>
    <w:bookmarkStart w:id="168" w:name="ref-raasveldt2019duckdb"/>
    <w:p>
      <w:pPr>
        <w:pStyle w:val="Bibliography"/>
      </w:pPr>
      <w:r>
        <w:t xml:space="preserve">Raasveldt, M., &amp; Mühleisen, H. (2019). DuckDB: an Embeddable Analytical Database.</w:t>
      </w:r>
      <w:r>
        <w:t xml:space="preserve"> </w:t>
      </w:r>
      <w:r>
        <w:rPr>
          <w:i/>
          <w:iCs/>
        </w:rPr>
        <w:t xml:space="preserve">Proceedings of the 2019 International Conference on Management of Data (SIGMOD)</w:t>
      </w:r>
      <w:r>
        <w:t xml:space="preserve">, 1981-1984.</w:t>
      </w:r>
      <w:r>
        <w:t xml:space="preserve"> </w:t>
      </w:r>
      <w:hyperlink r:id="rId167">
        <w:r>
          <w:rPr>
            <w:rStyle w:val="Hyperlink"/>
          </w:rPr>
          <w:t xml:space="preserve">https://doi.org/10.1145/3299869.3320212</w:t>
        </w:r>
      </w:hyperlink>
    </w:p>
    <w:bookmarkEnd w:id="168"/>
    <w:bookmarkStart w:id="170" w:name="ref-reichstein2019"/>
    <w:p>
      <w:pPr>
        <w:pStyle w:val="Bibliography"/>
      </w:pPr>
      <w:r>
        <w:t xml:space="preserve">Reichstein, M., Camps-Valls, G., Stevens, B., Jung, M., Denzler, J., Carvalhais, N., &amp; Prabhat. (2019). Deep learning and process understanding for Earth system science.</w:t>
      </w:r>
      <w:r>
        <w:t xml:space="preserve"> </w:t>
      </w:r>
      <w:r>
        <w:rPr>
          <w:i/>
          <w:iCs/>
        </w:rPr>
        <w:t xml:space="preserve">Nature</w:t>
      </w:r>
      <w:r>
        <w:t xml:space="preserve">,</w:t>
      </w:r>
      <w:r>
        <w:t xml:space="preserve"> </w:t>
      </w:r>
      <w:r>
        <w:rPr>
          <w:i/>
          <w:iCs/>
        </w:rPr>
        <w:t xml:space="preserve">566</w:t>
      </w:r>
      <w:r>
        <w:t xml:space="preserve">(7743), 195-204.</w:t>
      </w:r>
      <w:r>
        <w:t xml:space="preserve"> </w:t>
      </w:r>
      <w:hyperlink r:id="rId169">
        <w:r>
          <w:rPr>
            <w:rStyle w:val="Hyperlink"/>
          </w:rPr>
          <w:t xml:space="preserve">https://doi.org/10.1038/s41586-019-0912-1</w:t>
        </w:r>
      </w:hyperlink>
    </w:p>
    <w:bookmarkEnd w:id="170"/>
    <w:bookmarkStart w:id="172" w:name="ref-roberts2017"/>
    <w:p>
      <w:pPr>
        <w:pStyle w:val="Bibliography"/>
      </w:pPr>
      <w:r>
        <w:t xml:space="preserve">Roberts, D. R., Bahn, V., Ciuti, S., Boyce, M. S., Elith, J., Guillera-Arroita, G., Hauenstein, S., Lahoz-Monfort, J. J., Schröder, B., Thuiller, W., Warton, D. I., Wintle, B. A., Hartig, F., &amp; Dormann, C. F. (2017). Cross-validation strategies for data with spatial, temporal, or phylogenetic structure.</w:t>
      </w:r>
      <w:r>
        <w:t xml:space="preserve"> </w:t>
      </w:r>
      <w:r>
        <w:rPr>
          <w:i/>
          <w:iCs/>
        </w:rPr>
        <w:t xml:space="preserve">Ecography</w:t>
      </w:r>
      <w:r>
        <w:t xml:space="preserve">,</w:t>
      </w:r>
      <w:r>
        <w:t xml:space="preserve"> </w:t>
      </w:r>
      <w:r>
        <w:rPr>
          <w:i/>
          <w:iCs/>
        </w:rPr>
        <w:t xml:space="preserve">40</w:t>
      </w:r>
      <w:r>
        <w:t xml:space="preserve">(8), 913-929.</w:t>
      </w:r>
      <w:r>
        <w:t xml:space="preserve"> </w:t>
      </w:r>
      <w:hyperlink r:id="rId171">
        <w:r>
          <w:rPr>
            <w:rStyle w:val="Hyperlink"/>
          </w:rPr>
          <w:t xml:space="preserve">https://doi.org/10.1111/ecog.02881</w:t>
        </w:r>
      </w:hyperlink>
    </w:p>
    <w:bookmarkEnd w:id="172"/>
    <w:bookmarkStart w:id="174" w:name="ref-rodrigues2014"/>
    <w:p>
      <w:pPr>
        <w:pStyle w:val="Bibliography"/>
      </w:pPr>
      <w:r>
        <w:t xml:space="preserve">Rodrigues, M., &amp; Riva, J. de la. (2014). An insight into machine-learning algorithms to model human-caused wildfire occurrence.</w:t>
      </w:r>
      <w:r>
        <w:t xml:space="preserve"> </w:t>
      </w:r>
      <w:r>
        <w:rPr>
          <w:i/>
          <w:iCs/>
        </w:rPr>
        <w:t xml:space="preserve">Environmental Modelling &amp; Software</w:t>
      </w:r>
      <w:r>
        <w:t xml:space="preserve">,</w:t>
      </w:r>
      <w:r>
        <w:t xml:space="preserve"> </w:t>
      </w:r>
      <w:r>
        <w:rPr>
          <w:i/>
          <w:iCs/>
        </w:rPr>
        <w:t xml:space="preserve">57</w:t>
      </w:r>
      <w:r>
        <w:t xml:space="preserve">, 192-201.</w:t>
      </w:r>
      <w:r>
        <w:t xml:space="preserve"> </w:t>
      </w:r>
      <w:hyperlink r:id="rId173">
        <w:r>
          <w:rPr>
            <w:rStyle w:val="Hyperlink"/>
          </w:rPr>
          <w:t xml:space="preserve">https://doi.org/10.1016/j.envsoft.2014.03.003</w:t>
        </w:r>
      </w:hyperlink>
    </w:p>
    <w:bookmarkEnd w:id="174"/>
    <w:bookmarkStart w:id="175" w:name="ref-rothermel1972"/>
    <w:p>
      <w:pPr>
        <w:pStyle w:val="Bibliography"/>
      </w:pPr>
      <w:r>
        <w:t xml:space="preserve">Rothermel, R. C. (1972).</w:t>
      </w:r>
      <w:r>
        <w:t xml:space="preserve"> </w:t>
      </w:r>
      <w:r>
        <w:rPr>
          <w:i/>
          <w:iCs/>
        </w:rPr>
        <w:t xml:space="preserve">A mathematical model for predicting fire spread in wildland fuels</w:t>
      </w:r>
      <w:r>
        <w:t xml:space="preserve"> </w:t>
      </w:r>
      <w:r>
        <w:t xml:space="preserve">(INT-115; USDA Forest Service Research Paper, pp. 1-40). Intermountain Forest; Range Experiment Station, Forest Service, U.S. Department of Agriculture.</w:t>
      </w:r>
    </w:p>
    <w:bookmarkEnd w:id="175"/>
    <w:bookmarkStart w:id="177" w:name="ref-roy2008"/>
    <w:p>
      <w:pPr>
        <w:pStyle w:val="Bibliography"/>
      </w:pPr>
      <w:r>
        <w:t xml:space="preserve">Roy, D. P., Boschetti, L., Justice, C. O., &amp; Ju, J. (2008). The Collection 5</w:t>
      </w:r>
      <w:r>
        <w:t xml:space="preserve"> </w:t>
      </w:r>
      <w:r>
        <w:t xml:space="preserve">MODIS</w:t>
      </w:r>
      <w:r>
        <w:t xml:space="preserve"> </w:t>
      </w:r>
      <w:r>
        <w:t xml:space="preserve">burned area product—Global evaluation by comparison with the Collection 4 product.</w:t>
      </w:r>
      <w:r>
        <w:t xml:space="preserve"> </w:t>
      </w:r>
      <w:r>
        <w:rPr>
          <w:i/>
          <w:iCs/>
        </w:rPr>
        <w:t xml:space="preserve">Remote Sensing of Environment</w:t>
      </w:r>
      <w:r>
        <w:t xml:space="preserve">,</w:t>
      </w:r>
      <w:r>
        <w:t xml:space="preserve"> </w:t>
      </w:r>
      <w:r>
        <w:rPr>
          <w:i/>
          <w:iCs/>
        </w:rPr>
        <w:t xml:space="preserve">112</w:t>
      </w:r>
      <w:r>
        <w:t xml:space="preserve">(9), 3690-3707.</w:t>
      </w:r>
      <w:r>
        <w:t xml:space="preserve"> </w:t>
      </w:r>
      <w:hyperlink r:id="rId176">
        <w:r>
          <w:rPr>
            <w:rStyle w:val="Hyperlink"/>
          </w:rPr>
          <w:t xml:space="preserve">https://doi.org/10.1016/j.rse.2008.05.013</w:t>
        </w:r>
      </w:hyperlink>
    </w:p>
    <w:bookmarkEnd w:id="177"/>
    <w:bookmarkStart w:id="179" w:name="ref-sanmiguel2012"/>
    <w:p>
      <w:pPr>
        <w:pStyle w:val="Bibliography"/>
      </w:pPr>
      <w:r>
        <w:t xml:space="preserve">San-Miguel-Ayanz, J., Schulte, E., Schmuck, G., Camia, A., Strobl, P., Liberta, G., Giovando, C., Boca, R., Sedano, F., Kempeneers, P., McInerney, D., &amp; Houston Durrant, T. (2012). Comprehensive Monitoring of Wildfires in Europe: The European Forest Fire Information System (</w:t>
      </w:r>
      <w:r>
        <w:t xml:space="preserve">EFFIS</w:t>
      </w:r>
      <w:r>
        <w:t xml:space="preserve">).</w:t>
      </w:r>
      <w:r>
        <w:t xml:space="preserve"> </w:t>
      </w:r>
      <w:r>
        <w:rPr>
          <w:i/>
          <w:iCs/>
        </w:rPr>
        <w:t xml:space="preserve">Approaches to Managing Disaster - Assessing Hazards, Emergencies and Disaster Impacts</w:t>
      </w:r>
      <w:r>
        <w:t xml:space="preserve">, 87-108.</w:t>
      </w:r>
      <w:r>
        <w:t xml:space="preserve"> </w:t>
      </w:r>
      <w:hyperlink r:id="rId178">
        <w:r>
          <w:rPr>
            <w:rStyle w:val="Hyperlink"/>
          </w:rPr>
          <w:t xml:space="preserve">https://doi.org/10.5772/28441</w:t>
        </w:r>
      </w:hyperlink>
    </w:p>
    <w:bookmarkEnd w:id="179"/>
    <w:bookmarkStart w:id="181" w:name="ref-sayad2019"/>
    <w:p>
      <w:pPr>
        <w:pStyle w:val="Bibliography"/>
      </w:pPr>
      <w:r>
        <w:t xml:space="preserve">Sayad, Y. O., Mousannif, H., &amp; Al Moatassime, H. (2019). Predictive modeling of wildland fires: A new dataset and machine learning approach.</w:t>
      </w:r>
      <w:r>
        <w:t xml:space="preserve"> </w:t>
      </w:r>
      <w:r>
        <w:rPr>
          <w:i/>
          <w:iCs/>
        </w:rPr>
        <w:t xml:space="preserve">Fire Safety Journal</w:t>
      </w:r>
      <w:r>
        <w:t xml:space="preserve">,</w:t>
      </w:r>
      <w:r>
        <w:t xml:space="preserve"> </w:t>
      </w:r>
      <w:r>
        <w:rPr>
          <w:i/>
          <w:iCs/>
        </w:rPr>
        <w:t xml:space="preserve">104</w:t>
      </w:r>
      <w:r>
        <w:t xml:space="preserve">, 130-146.</w:t>
      </w:r>
      <w:r>
        <w:t xml:space="preserve"> </w:t>
      </w:r>
      <w:hyperlink r:id="rId180">
        <w:r>
          <w:rPr>
            <w:rStyle w:val="Hyperlink"/>
          </w:rPr>
          <w:t xml:space="preserve">https://doi.org/10.1016/j.firesaf.2019.01.006</w:t>
        </w:r>
      </w:hyperlink>
    </w:p>
    <w:bookmarkEnd w:id="181"/>
    <w:bookmarkStart w:id="183" w:name="ref-schroeder2014"/>
    <w:p>
      <w:pPr>
        <w:pStyle w:val="Bibliography"/>
      </w:pPr>
      <w:r>
        <w:t xml:space="preserve">Schroeder, W., Oliva, P., Giglio, L., &amp; Csiszar, I. A. (2014). The New</w:t>
      </w:r>
      <w:r>
        <w:t xml:space="preserve"> </w:t>
      </w:r>
      <w:r>
        <w:t xml:space="preserve">VIIRS</w:t>
      </w:r>
      <w:r>
        <w:t xml:space="preserve"> </w:t>
      </w:r>
      <w:r>
        <w:t xml:space="preserve">375 m active fire detection data product: Algorithm description and initial assessment.</w:t>
      </w:r>
      <w:r>
        <w:t xml:space="preserve"> </w:t>
      </w:r>
      <w:r>
        <w:rPr>
          <w:i/>
          <w:iCs/>
        </w:rPr>
        <w:t xml:space="preserve">Remote Sensing of Environment</w:t>
      </w:r>
      <w:r>
        <w:t xml:space="preserve">,</w:t>
      </w:r>
      <w:r>
        <w:t xml:space="preserve"> </w:t>
      </w:r>
      <w:r>
        <w:rPr>
          <w:i/>
          <w:iCs/>
        </w:rPr>
        <w:t xml:space="preserve">143</w:t>
      </w:r>
      <w:r>
        <w:t xml:space="preserve">, 85-96.</w:t>
      </w:r>
      <w:r>
        <w:t xml:space="preserve"> </w:t>
      </w:r>
      <w:hyperlink r:id="rId182">
        <w:r>
          <w:rPr>
            <w:rStyle w:val="Hyperlink"/>
          </w:rPr>
          <w:t xml:space="preserve">https://doi.org/10.1016/j.rse.2013.12.008</w:t>
        </w:r>
      </w:hyperlink>
    </w:p>
    <w:bookmarkEnd w:id="183"/>
    <w:bookmarkStart w:id="185" w:name="ref-setzer2019"/>
    <w:p>
      <w:pPr>
        <w:pStyle w:val="Bibliography"/>
      </w:pPr>
      <w:r>
        <w:t xml:space="preserve">Setzer, A., Sismanoglu, F., Alberto, M. C., Silva, J., &amp; Morelli, F. (2019).</w:t>
      </w:r>
      <w:r>
        <w:t xml:space="preserve"> </w:t>
      </w:r>
      <w:r>
        <w:rPr>
          <w:i/>
          <w:iCs/>
        </w:rPr>
        <w:t xml:space="preserve">O M</w:t>
      </w:r>
      <w:r>
        <w:rPr>
          <w:i/>
          <w:iCs/>
        </w:rPr>
        <w:t xml:space="preserve">é</w:t>
      </w:r>
      <w:r>
        <w:rPr>
          <w:i/>
          <w:iCs/>
        </w:rPr>
        <w:t xml:space="preserve">todo de C</w:t>
      </w:r>
      <w:r>
        <w:rPr>
          <w:i/>
          <w:iCs/>
        </w:rPr>
        <w:t xml:space="preserve">á</w:t>
      </w:r>
      <w:r>
        <w:rPr>
          <w:i/>
          <w:iCs/>
        </w:rPr>
        <w:t xml:space="preserve">lculo do Risco de Fogo do</w:t>
      </w:r>
      <w:r>
        <w:rPr>
          <w:i/>
          <w:iCs/>
        </w:rPr>
        <w:t xml:space="preserve"> </w:t>
      </w:r>
      <w:r>
        <w:rPr>
          <w:i/>
          <w:iCs/>
        </w:rPr>
        <w:t xml:space="preserve">INPE</w:t>
      </w:r>
      <w:r>
        <w:rPr>
          <w:i/>
          <w:iCs/>
        </w:rPr>
        <w:t xml:space="preserve"> </w:t>
      </w:r>
      <w:r>
        <w:rPr>
          <w:i/>
          <w:iCs/>
        </w:rPr>
        <w:t xml:space="preserve">- Vers</w:t>
      </w:r>
      <w:r>
        <w:rPr>
          <w:i/>
          <w:iCs/>
        </w:rPr>
        <w:t xml:space="preserve">ã</w:t>
      </w:r>
      <w:r>
        <w:rPr>
          <w:i/>
          <w:iCs/>
        </w:rPr>
        <w:t xml:space="preserve">o 2019</w:t>
      </w:r>
      <w:r>
        <w:t xml:space="preserve">. Instituto Nacional de Pesquisas Espaciais (INPE).</w:t>
      </w:r>
      <w:r>
        <w:t xml:space="preserve"> </w:t>
      </w:r>
      <w:hyperlink r:id="rId184">
        <w:r>
          <w:rPr>
            <w:rStyle w:val="Hyperlink"/>
          </w:rPr>
          <w:t xml:space="preserve">http://queimadas.dgi.inpe.br</w:t>
        </w:r>
      </w:hyperlink>
    </w:p>
    <w:bookmarkEnd w:id="185"/>
    <w:bookmarkStart w:id="187" w:name="ref-stocks1989"/>
    <w:p>
      <w:pPr>
        <w:pStyle w:val="Bibliography"/>
      </w:pPr>
      <w:r>
        <w:t xml:space="preserve">Stocks, B. J., Lawson, B. D., Alexander, M. E., Van Wagner, C. E., McAlpine, R. S., Lynham, T. J., &amp; Dubé, D. E. (1989). The Canadian Forest Fire Danger Rating System: An overview.</w:t>
      </w:r>
      <w:r>
        <w:t xml:space="preserve"> </w:t>
      </w:r>
      <w:r>
        <w:rPr>
          <w:i/>
          <w:iCs/>
        </w:rPr>
        <w:t xml:space="preserve">The Forestry Chronicle</w:t>
      </w:r>
      <w:r>
        <w:t xml:space="preserve">,</w:t>
      </w:r>
      <w:r>
        <w:t xml:space="preserve"> </w:t>
      </w:r>
      <w:r>
        <w:rPr>
          <w:i/>
          <w:iCs/>
        </w:rPr>
        <w:t xml:space="preserve">65</w:t>
      </w:r>
      <w:r>
        <w:t xml:space="preserve">(4), 258-265.</w:t>
      </w:r>
      <w:r>
        <w:t xml:space="preserve"> </w:t>
      </w:r>
      <w:hyperlink r:id="rId186">
        <w:r>
          <w:rPr>
            <w:rStyle w:val="Hyperlink"/>
          </w:rPr>
          <w:t xml:space="preserve">https://doi.org/10.5558/tfc65258-4</w:t>
        </w:r>
      </w:hyperlink>
    </w:p>
    <w:bookmarkEnd w:id="187"/>
    <w:bookmarkStart w:id="189" w:name="ref-tobler1970"/>
    <w:p>
      <w:pPr>
        <w:pStyle w:val="Bibliography"/>
      </w:pPr>
      <w:r>
        <w:t xml:space="preserve">Tobler, W. R. (1970). A computer movie simulating urban growth in the Detroit region.</w:t>
      </w:r>
      <w:r>
        <w:t xml:space="preserve"> </w:t>
      </w:r>
      <w:r>
        <w:rPr>
          <w:i/>
          <w:iCs/>
        </w:rPr>
        <w:t xml:space="preserve">Economic Geography</w:t>
      </w:r>
      <w:r>
        <w:t xml:space="preserve">,</w:t>
      </w:r>
      <w:r>
        <w:t xml:space="preserve"> </w:t>
      </w:r>
      <w:r>
        <w:rPr>
          <w:i/>
          <w:iCs/>
        </w:rPr>
        <w:t xml:space="preserve">46</w:t>
      </w:r>
      <w:r>
        <w:t xml:space="preserve">(sup1), 234-240.</w:t>
      </w:r>
      <w:r>
        <w:t xml:space="preserve"> </w:t>
      </w:r>
      <w:hyperlink r:id="rId188">
        <w:r>
          <w:rPr>
            <w:rStyle w:val="Hyperlink"/>
          </w:rPr>
          <w:t xml:space="preserve">https://doi.org/10.2307/143141</w:t>
        </w:r>
      </w:hyperlink>
    </w:p>
    <w:bookmarkEnd w:id="189"/>
    <w:bookmarkStart w:id="191" w:name="ref-vallejos2015"/>
    <w:p>
      <w:pPr>
        <w:pStyle w:val="Bibliography"/>
      </w:pPr>
      <w:r>
        <w:t xml:space="preserve">Vallejos, M., Volante, J. N., Mosciaro, M. J., Vale, L. M., Bustamante, M. L., &amp; Paruelo, J. M. (2015). Transformation dynamics of the natural cover in the Dry Chaco ecoregion: A plot level geo-database from 1976 to 2012.</w:t>
      </w:r>
      <w:r>
        <w:t xml:space="preserve"> </w:t>
      </w:r>
      <w:r>
        <w:rPr>
          <w:i/>
          <w:iCs/>
        </w:rPr>
        <w:t xml:space="preserve">Journal of Arid Environments</w:t>
      </w:r>
      <w:r>
        <w:t xml:space="preserve">,</w:t>
      </w:r>
      <w:r>
        <w:t xml:space="preserve"> </w:t>
      </w:r>
      <w:r>
        <w:rPr>
          <w:i/>
          <w:iCs/>
        </w:rPr>
        <w:t xml:space="preserve">123</w:t>
      </w:r>
      <w:r>
        <w:t xml:space="preserve">, 3-11.</w:t>
      </w:r>
      <w:r>
        <w:t xml:space="preserve"> </w:t>
      </w:r>
      <w:hyperlink r:id="rId190">
        <w:r>
          <w:rPr>
            <w:rStyle w:val="Hyperlink"/>
          </w:rPr>
          <w:t xml:space="preserve">https://doi.org/10.1016/j.jaridenv.2014.11.009</w:t>
        </w:r>
      </w:hyperlink>
    </w:p>
    <w:bookmarkEnd w:id="191"/>
    <w:bookmarkStart w:id="192" w:name="ref-vanwagner1987"/>
    <w:p>
      <w:pPr>
        <w:pStyle w:val="Bibliography"/>
      </w:pPr>
      <w:r>
        <w:t xml:space="preserve">Van Wagner, C. E. (1987). Development and structure of the Canadian Forest Fire Weather Index System.</w:t>
      </w:r>
      <w:r>
        <w:t xml:space="preserve"> </w:t>
      </w:r>
      <w:r>
        <w:rPr>
          <w:i/>
          <w:iCs/>
        </w:rPr>
        <w:t xml:space="preserve">Canadian Forestry Service, Forestry Technical Report</w:t>
      </w:r>
      <w:r>
        <w:t xml:space="preserve">,</w:t>
      </w:r>
      <w:r>
        <w:t xml:space="preserve"> </w:t>
      </w:r>
      <w:r>
        <w:rPr>
          <w:i/>
          <w:iCs/>
        </w:rPr>
        <w:t xml:space="preserve">35</w:t>
      </w:r>
      <w:r>
        <w:t xml:space="preserve">, 1-37.</w:t>
      </w:r>
    </w:p>
    <w:bookmarkEnd w:id="192"/>
    <w:bookmarkStart w:id="194" w:name="ref-willard2022"/>
    <w:p>
      <w:pPr>
        <w:pStyle w:val="Bibliography"/>
      </w:pPr>
      <w:r>
        <w:t xml:space="preserve">Willard, J., Jia, X., Xu, S., Steinbach, M., &amp; Kumar, V. (2022). Integrating Scientific Knowledge with Machine Learning for Engineering and Environmental Systems.</w:t>
      </w:r>
      <w:r>
        <w:t xml:space="preserve"> </w:t>
      </w:r>
      <w:r>
        <w:rPr>
          <w:i/>
          <w:iCs/>
        </w:rPr>
        <w:t xml:space="preserve">ACM Computing Surveys</w:t>
      </w:r>
      <w:r>
        <w:t xml:space="preserve">,</w:t>
      </w:r>
      <w:r>
        <w:t xml:space="preserve"> </w:t>
      </w:r>
      <w:r>
        <w:rPr>
          <w:i/>
          <w:iCs/>
        </w:rPr>
        <w:t xml:space="preserve">55</w:t>
      </w:r>
      <w:r>
        <w:t xml:space="preserve">(4), 1-37.</w:t>
      </w:r>
      <w:r>
        <w:t xml:space="preserve"> </w:t>
      </w:r>
      <w:hyperlink r:id="rId193">
        <w:r>
          <w:rPr>
            <w:rStyle w:val="Hyperlink"/>
          </w:rPr>
          <w:t xml:space="preserve">https://doi.org/10.1145/3514228</w:t>
        </w:r>
      </w:hyperlink>
    </w:p>
    <w:bookmarkEnd w:id="194"/>
    <w:bookmarkStart w:id="196" w:name="ref-wooster2005"/>
    <w:p>
      <w:pPr>
        <w:pStyle w:val="Bibliography"/>
      </w:pPr>
      <w:r>
        <w:t xml:space="preserve">Wooster, M. J., Roberts, G., Perry, G. L. W., &amp; Kaufman, Y. J. (2005). Retrieval of biomass combustion rates and fuel consumption from multi-spectral satellite imagery (</w:t>
      </w:r>
      <w:r>
        <w:t xml:space="preserve">FRP</w:t>
      </w:r>
      <w:r>
        <w:t xml:space="preserve">): An update.</w:t>
      </w:r>
      <w:r>
        <w:t xml:space="preserve"> </w:t>
      </w:r>
      <w:r>
        <w:rPr>
          <w:i/>
          <w:iCs/>
        </w:rPr>
        <w:t xml:space="preserve">Journal of Geophysical Research: Atmospheres</w:t>
      </w:r>
      <w:r>
        <w:t xml:space="preserve">,</w:t>
      </w:r>
      <w:r>
        <w:t xml:space="preserve"> </w:t>
      </w:r>
      <w:r>
        <w:rPr>
          <w:i/>
          <w:iCs/>
        </w:rPr>
        <w:t xml:space="preserve">110</w:t>
      </w:r>
      <w:r>
        <w:t xml:space="preserve">(D24), D24311.</w:t>
      </w:r>
      <w:r>
        <w:t xml:space="preserve"> </w:t>
      </w:r>
      <w:hyperlink r:id="rId195">
        <w:r>
          <w:rPr>
            <w:rStyle w:val="Hyperlink"/>
          </w:rPr>
          <w:t xml:space="preserve">https://doi.org/10.1029/2005JD006318</w:t>
        </w:r>
      </w:hyperlink>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34" Target="media/rId34.png" /><Relationship Type="http://schemas.openxmlformats.org/officeDocument/2006/relationships/image" Id="rId50" Target="media/rId50.png" /><Relationship Type="http://schemas.openxmlformats.org/officeDocument/2006/relationships/image" Id="rId74" Target="media/rId74.png" /><Relationship Type="http://schemas.openxmlformats.org/officeDocument/2006/relationships/image" Id="rId69" Target="media/rId69.png" /><Relationship Type="http://schemas.openxmlformats.org/officeDocument/2006/relationships/image" Id="rId57" Target="media/rId57.png" /><Relationship Type="http://schemas.openxmlformats.org/officeDocument/2006/relationships/image" Id="rId100" Target="media/rId100.png" /><Relationship Type="http://schemas.openxmlformats.org/officeDocument/2006/relationships/image" Id="rId62" Target="media/rId62.png" /><Relationship Type="http://schemas.openxmlformats.org/officeDocument/2006/relationships/image" Id="rId85" Target="media/rId85.png" /><Relationship Type="http://schemas.openxmlformats.org/officeDocument/2006/relationships/hyperlink" Id="rId184" Target="http://queimadas.dgi.inpe.br" TargetMode="External" /><Relationship Type="http://schemas.openxmlformats.org/officeDocument/2006/relationships/hyperlink" Id="rId152" Target="https://chaco.mapbiomas.org/" TargetMode="External" /><Relationship Type="http://schemas.openxmlformats.org/officeDocument/2006/relationships/hyperlink" Id="rId135" Target="https://doi.org/10.1007/s10584-015-1521-0" TargetMode="External" /><Relationship Type="http://schemas.openxmlformats.org/officeDocument/2006/relationships/hyperlink" Id="rId145" Target="https://doi.org/10.1016/S0034-4257(02)00076-7" TargetMode="External" /><Relationship Type="http://schemas.openxmlformats.org/officeDocument/2006/relationships/hyperlink" Id="rId173" Target="https://doi.org/10.1016/j.envsoft.2014.03.003" TargetMode="External" /><Relationship Type="http://schemas.openxmlformats.org/officeDocument/2006/relationships/hyperlink" Id="rId180" Target="https://doi.org/10.1016/j.firesaf.2019.01.006" TargetMode="External" /><Relationship Type="http://schemas.openxmlformats.org/officeDocument/2006/relationships/hyperlink" Id="rId190" Target="https://doi.org/10.1016/j.jaridenv.2014.11.009" TargetMode="External" /><Relationship Type="http://schemas.openxmlformats.org/officeDocument/2006/relationships/hyperlink" Id="rId161" Target="https://doi.org/10.1016/j.pecon.2021.06.005" TargetMode="External" /><Relationship Type="http://schemas.openxmlformats.org/officeDocument/2006/relationships/hyperlink" Id="rId176" Target="https://doi.org/10.1016/j.rse.2008.05.013" TargetMode="External" /><Relationship Type="http://schemas.openxmlformats.org/officeDocument/2006/relationships/hyperlink" Id="rId182" Target="https://doi.org/10.1016/j.rse.2013.12.008" TargetMode="External" /><Relationship Type="http://schemas.openxmlformats.org/officeDocument/2006/relationships/hyperlink" Id="rId137" Target="https://doi.org/10.1016/j.rse.2016.02.054" TargetMode="External" /><Relationship Type="http://schemas.openxmlformats.org/officeDocument/2006/relationships/hyperlink" Id="rId139" Target="https://doi.org/10.1016/j.rse.2017.06.031" TargetMode="External" /><Relationship Type="http://schemas.openxmlformats.org/officeDocument/2006/relationships/hyperlink" Id="rId126" Target="https://doi.org/10.1016/j.rse.2019.02.013" TargetMode="External" /><Relationship Type="http://schemas.openxmlformats.org/officeDocument/2006/relationships/hyperlink" Id="rId195" Target="https://doi.org/10.1029/2005JD006318" TargetMode="External" /><Relationship Type="http://schemas.openxmlformats.org/officeDocument/2006/relationships/hyperlink" Id="rId143" Target="https://doi.org/10.1038/ncomms8537" TargetMode="External" /><Relationship Type="http://schemas.openxmlformats.org/officeDocument/2006/relationships/hyperlink" Id="rId164" Target="https://doi.org/10.1038/s41467-020-18321-y" TargetMode="External" /><Relationship Type="http://schemas.openxmlformats.org/officeDocument/2006/relationships/hyperlink" Id="rId169" Target="https://doi.org/10.1038/s41586-019-0912-1" TargetMode="External" /><Relationship Type="http://schemas.openxmlformats.org/officeDocument/2006/relationships/hyperlink" Id="rId118" Target="https://doi.org/10.1038/s41597-019-0312-2" TargetMode="External" /><Relationship Type="http://schemas.openxmlformats.org/officeDocument/2006/relationships/hyperlink" Id="rId150" Target="https://doi.org/10.1038/s42256-019-0138-9" TargetMode="External" /><Relationship Type="http://schemas.openxmlformats.org/officeDocument/2006/relationships/hyperlink" Id="rId133" Target="https://doi.org/10.1071/WF08187" TargetMode="External" /><Relationship Type="http://schemas.openxmlformats.org/officeDocument/2006/relationships/hyperlink" Id="rId116" Target="https://doi.org/10.1071/WF12167" TargetMode="External" /><Relationship Type="http://schemas.openxmlformats.org/officeDocument/2006/relationships/hyperlink" Id="rId128" Target="https://doi.org/10.1088/1748-9326/ab020e" TargetMode="External" /><Relationship Type="http://schemas.openxmlformats.org/officeDocument/2006/relationships/hyperlink" Id="rId154" Target="https://doi.org/10.1111/2041-210X.13650" TargetMode="External" /><Relationship Type="http://schemas.openxmlformats.org/officeDocument/2006/relationships/hyperlink" Id="rId171" Target="https://doi.org/10.1111/ecog.02881" TargetMode="External" /><Relationship Type="http://schemas.openxmlformats.org/officeDocument/2006/relationships/hyperlink" Id="rId122" Target="https://doi.org/10.1111/gcb.13521" TargetMode="External" /><Relationship Type="http://schemas.openxmlformats.org/officeDocument/2006/relationships/hyperlink" Id="rId130" Target="https://doi.org/10.1111/j.2007.0906-7590.05171.x" TargetMode="External" /><Relationship Type="http://schemas.openxmlformats.org/officeDocument/2006/relationships/hyperlink" Id="rId141" Target="https://doi.org/10.1139/er-2020-0019" TargetMode="External" /><Relationship Type="http://schemas.openxmlformats.org/officeDocument/2006/relationships/hyperlink" Id="rId158" Target="https://doi.org/10.1145/1102351.1102430" TargetMode="External" /><Relationship Type="http://schemas.openxmlformats.org/officeDocument/2006/relationships/hyperlink" Id="rId124" Target="https://doi.org/10.1145/2939672.2939785" TargetMode="External" /><Relationship Type="http://schemas.openxmlformats.org/officeDocument/2006/relationships/hyperlink" Id="rId167" Target="https://doi.org/10.1145/3299869.3320212" TargetMode="External" /><Relationship Type="http://schemas.openxmlformats.org/officeDocument/2006/relationships/hyperlink" Id="rId193" Target="https://doi.org/10.1145/3514228" TargetMode="External" /><Relationship Type="http://schemas.openxmlformats.org/officeDocument/2006/relationships/hyperlink" Id="rId188" Target="https://doi.org/10.2307/143141" TargetMode="External" /><Relationship Type="http://schemas.openxmlformats.org/officeDocument/2006/relationships/hyperlink" Id="rId148" Target="https://doi.org/10.2307/1939924" TargetMode="External" /><Relationship Type="http://schemas.openxmlformats.org/officeDocument/2006/relationships/hyperlink" Id="rId114" Target="https://doi.org/10.3390/rs10091438" TargetMode="External" /><Relationship Type="http://schemas.openxmlformats.org/officeDocument/2006/relationships/hyperlink" Id="rId120" Target="https://doi.org/10.3390/s20226442" TargetMode="External" /><Relationship Type="http://schemas.openxmlformats.org/officeDocument/2006/relationships/hyperlink" Id="rId156" Target="https://doi.org/10.5194/essd-13-4349-2021" TargetMode="External" /><Relationship Type="http://schemas.openxmlformats.org/officeDocument/2006/relationships/hyperlink" Id="rId108" Target="https://doi.org/10.5281/zenodo.23675105" TargetMode="External" /><Relationship Type="http://schemas.openxmlformats.org/officeDocument/2006/relationships/hyperlink" Id="rId109" Target="https://doi.org/10.5281/zenodo.23675279" TargetMode="External" /><Relationship Type="http://schemas.openxmlformats.org/officeDocument/2006/relationships/hyperlink" Id="rId186" Target="https://doi.org/10.5558/tfc65258-4" TargetMode="External" /><Relationship Type="http://schemas.openxmlformats.org/officeDocument/2006/relationships/hyperlink" Id="rId178" Target="https://doi.org/10.5772/28441" TargetMode="External" /><Relationship Type="http://schemas.openxmlformats.org/officeDocument/2006/relationships/hyperlink" Id="rId107" Target="https://github.com/sanchezmartin093-code/Incendios_PY" TargetMode="External" /></Relationships>
</file>

<file path=word/_rels/footnotes.xml.rels><?xml version="1.0" encoding="UTF-8"?><Relationships xmlns="http://schemas.openxmlformats.org/package/2006/relationships"><Relationship Type="http://schemas.openxmlformats.org/officeDocument/2006/relationships/hyperlink" Id="rId184" Target="http://queimadas.dgi.inpe.br" TargetMode="External" /><Relationship Type="http://schemas.openxmlformats.org/officeDocument/2006/relationships/hyperlink" Id="rId152" Target="https://chaco.mapbiomas.org/" TargetMode="External" /><Relationship Type="http://schemas.openxmlformats.org/officeDocument/2006/relationships/hyperlink" Id="rId135" Target="https://doi.org/10.1007/s10584-015-1521-0" TargetMode="External" /><Relationship Type="http://schemas.openxmlformats.org/officeDocument/2006/relationships/hyperlink" Id="rId145" Target="https://doi.org/10.1016/S0034-4257(02)00076-7" TargetMode="External" /><Relationship Type="http://schemas.openxmlformats.org/officeDocument/2006/relationships/hyperlink" Id="rId173" Target="https://doi.org/10.1016/j.envsoft.2014.03.003" TargetMode="External" /><Relationship Type="http://schemas.openxmlformats.org/officeDocument/2006/relationships/hyperlink" Id="rId180" Target="https://doi.org/10.1016/j.firesaf.2019.01.006" TargetMode="External" /><Relationship Type="http://schemas.openxmlformats.org/officeDocument/2006/relationships/hyperlink" Id="rId190" Target="https://doi.org/10.1016/j.jaridenv.2014.11.009" TargetMode="External" /><Relationship Type="http://schemas.openxmlformats.org/officeDocument/2006/relationships/hyperlink" Id="rId161" Target="https://doi.org/10.1016/j.pecon.2021.06.005" TargetMode="External" /><Relationship Type="http://schemas.openxmlformats.org/officeDocument/2006/relationships/hyperlink" Id="rId176" Target="https://doi.org/10.1016/j.rse.2008.05.013" TargetMode="External" /><Relationship Type="http://schemas.openxmlformats.org/officeDocument/2006/relationships/hyperlink" Id="rId182" Target="https://doi.org/10.1016/j.rse.2013.12.008" TargetMode="External" /><Relationship Type="http://schemas.openxmlformats.org/officeDocument/2006/relationships/hyperlink" Id="rId137" Target="https://doi.org/10.1016/j.rse.2016.02.054" TargetMode="External" /><Relationship Type="http://schemas.openxmlformats.org/officeDocument/2006/relationships/hyperlink" Id="rId139" Target="https://doi.org/10.1016/j.rse.2017.06.031" TargetMode="External" /><Relationship Type="http://schemas.openxmlformats.org/officeDocument/2006/relationships/hyperlink" Id="rId126" Target="https://doi.org/10.1016/j.rse.2019.02.013" TargetMode="External" /><Relationship Type="http://schemas.openxmlformats.org/officeDocument/2006/relationships/hyperlink" Id="rId195" Target="https://doi.org/10.1029/2005JD006318" TargetMode="External" /><Relationship Type="http://schemas.openxmlformats.org/officeDocument/2006/relationships/hyperlink" Id="rId143" Target="https://doi.org/10.1038/ncomms8537" TargetMode="External" /><Relationship Type="http://schemas.openxmlformats.org/officeDocument/2006/relationships/hyperlink" Id="rId164" Target="https://doi.org/10.1038/s41467-020-18321-y" TargetMode="External" /><Relationship Type="http://schemas.openxmlformats.org/officeDocument/2006/relationships/hyperlink" Id="rId169" Target="https://doi.org/10.1038/s41586-019-0912-1" TargetMode="External" /><Relationship Type="http://schemas.openxmlformats.org/officeDocument/2006/relationships/hyperlink" Id="rId118" Target="https://doi.org/10.1038/s41597-019-0312-2" TargetMode="External" /><Relationship Type="http://schemas.openxmlformats.org/officeDocument/2006/relationships/hyperlink" Id="rId150" Target="https://doi.org/10.1038/s42256-019-0138-9" TargetMode="External" /><Relationship Type="http://schemas.openxmlformats.org/officeDocument/2006/relationships/hyperlink" Id="rId133" Target="https://doi.org/10.1071/WF08187" TargetMode="External" /><Relationship Type="http://schemas.openxmlformats.org/officeDocument/2006/relationships/hyperlink" Id="rId116" Target="https://doi.org/10.1071/WF12167" TargetMode="External" /><Relationship Type="http://schemas.openxmlformats.org/officeDocument/2006/relationships/hyperlink" Id="rId128" Target="https://doi.org/10.1088/1748-9326/ab020e" TargetMode="External" /><Relationship Type="http://schemas.openxmlformats.org/officeDocument/2006/relationships/hyperlink" Id="rId154" Target="https://doi.org/10.1111/2041-210X.13650" TargetMode="External" /><Relationship Type="http://schemas.openxmlformats.org/officeDocument/2006/relationships/hyperlink" Id="rId171" Target="https://doi.org/10.1111/ecog.02881" TargetMode="External" /><Relationship Type="http://schemas.openxmlformats.org/officeDocument/2006/relationships/hyperlink" Id="rId122" Target="https://doi.org/10.1111/gcb.13521" TargetMode="External" /><Relationship Type="http://schemas.openxmlformats.org/officeDocument/2006/relationships/hyperlink" Id="rId130" Target="https://doi.org/10.1111/j.2007.0906-7590.05171.x" TargetMode="External" /><Relationship Type="http://schemas.openxmlformats.org/officeDocument/2006/relationships/hyperlink" Id="rId141" Target="https://doi.org/10.1139/er-2020-0019" TargetMode="External" /><Relationship Type="http://schemas.openxmlformats.org/officeDocument/2006/relationships/hyperlink" Id="rId158" Target="https://doi.org/10.1145/1102351.1102430" TargetMode="External" /><Relationship Type="http://schemas.openxmlformats.org/officeDocument/2006/relationships/hyperlink" Id="rId124" Target="https://doi.org/10.1145/2939672.2939785" TargetMode="External" /><Relationship Type="http://schemas.openxmlformats.org/officeDocument/2006/relationships/hyperlink" Id="rId167" Target="https://doi.org/10.1145/3299869.3320212" TargetMode="External" /><Relationship Type="http://schemas.openxmlformats.org/officeDocument/2006/relationships/hyperlink" Id="rId193" Target="https://doi.org/10.1145/3514228" TargetMode="External" /><Relationship Type="http://schemas.openxmlformats.org/officeDocument/2006/relationships/hyperlink" Id="rId188" Target="https://doi.org/10.2307/143141" TargetMode="External" /><Relationship Type="http://schemas.openxmlformats.org/officeDocument/2006/relationships/hyperlink" Id="rId148" Target="https://doi.org/10.2307/1939924" TargetMode="External" /><Relationship Type="http://schemas.openxmlformats.org/officeDocument/2006/relationships/hyperlink" Id="rId114" Target="https://doi.org/10.3390/rs10091438" TargetMode="External" /><Relationship Type="http://schemas.openxmlformats.org/officeDocument/2006/relationships/hyperlink" Id="rId120" Target="https://doi.org/10.3390/s20226442" TargetMode="External" /><Relationship Type="http://schemas.openxmlformats.org/officeDocument/2006/relationships/hyperlink" Id="rId156" Target="https://doi.org/10.5194/essd-13-4349-2021" TargetMode="External" /><Relationship Type="http://schemas.openxmlformats.org/officeDocument/2006/relationships/hyperlink" Id="rId108" Target="https://doi.org/10.5281/zenodo.23675105" TargetMode="External" /><Relationship Type="http://schemas.openxmlformats.org/officeDocument/2006/relationships/hyperlink" Id="rId109" Target="https://doi.org/10.5281/zenodo.23675279" TargetMode="External" /><Relationship Type="http://schemas.openxmlformats.org/officeDocument/2006/relationships/hyperlink" Id="rId186" Target="https://doi.org/10.5558/tfc65258-4" TargetMode="External" /><Relationship Type="http://schemas.openxmlformats.org/officeDocument/2006/relationships/hyperlink" Id="rId178" Target="https://doi.org/10.5772/28441" TargetMode="External" /><Relationship Type="http://schemas.openxmlformats.org/officeDocument/2006/relationships/hyperlink" Id="rId107" Target="https://github.com/sanchezmartin093-code/Incendios_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Desacoplando el Peligro Biofísico de Ignición y la Propagación Táctica de Incendios Forestales en el Gran Chaco mediante GeoAI Multiescala (2018–2025)</dc:title>
  <dc:creator/>
  <dc:language>es</dc:language>
  <cp:keywords/>
  <dcterms:created xsi:type="dcterms:W3CDTF">2026-10-26T20:45:50Z</dcterms:created>
  <dcterms:modified xsi:type="dcterms:W3CDTF">2026-10-26T20:45:50Z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date">
    <vt:lpwstr>2026-10-24</vt:lpwstr>
  </property>
  <property fmtid="{D5CDD505-2E9C-101B-9397-08002B2CF9AE}" pid="7" name="date-modified">
    <vt:lpwstr>2026-10-26</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Un marco computacional reproducible de dos etapas para el nowcasting diario de peligro y benchmarking internacional frente a Canadian FWI completo y INPE Risco de Fogo</vt:lpwstr>
  </property>
  <property fmtid="{D5CDD505-2E9C-101B-9397-08002B2CF9AE}" pid="14" name="tbl-cap-location">
    <vt:lpwstr>top</vt:lpwstr>
  </property>
  <property fmtid="{D5CDD505-2E9C-101B-9397-08002B2CF9AE}" pid="15" name="toc-title">
    <vt:lpwstr>Contenido del Manuscrito</vt:lpwstr>
  </property>
</Properties>
</file>