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full Canadian FWI y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full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0,7851/0,7485 (Chaco/Oriental), frente a 0,5185/0,5569 del FWI completo y 0,5386/0,4994 del INPE Risco de Fogo; la propagación alcanza 0,8989/0,7799.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27,54 %/29,67 % y 84,94 %/62,42 %; en población caen a 0,062 %/0,206 % y 9,96 %/4,49 %. En holdout espacial, M3 cae a 0,6243/0,5754 y M1 obtiene 0,6338/0,6176: la ventaja híbrida es temporal. El pipeline se midió en ~1,569 s y ~2,18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0.7851/0.7485 (Chaco/Oriental), versus 0.5185/0.5569 for full FWI and 0.5386/0.4994 for INPE; propagation reaches 0.8989/0.7799.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27.54 %/29.67 % and 84.94 %/62.42 %; population precision drops to 0.062 %/0.206 % and 9.96 %/4.49 %. In spatial holdout, M3 drops to 0.6243/0.5754 while M1 reaches 0.6338/0.6176: the hybrid advantage is temporal. The pipeline measured ~1.569 s and ~2.18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10.5281/zenodo.23675105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10.5281/zenodo.23675279</w:t>
        </w:r>
      </w:hyperlink>
    </w:p>
    <w:bookmarkEnd w:id="23"/>
    <w:bookmarkStart w:id="27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6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están archivados en Zenodo bajo licencia CC BY 4.0:</w:t>
      </w:r>
      <w:r>
        <w:t xml:space="preserve"> </w:t>
      </w:r>
      <w:hyperlink r:id="rId22">
        <w:r>
          <w:rPr>
            <w:rStyle w:val="Hyperlink"/>
          </w:rPr>
          <w:t xml:space="preserve">10.5281/zenodo.23675279</w:t>
        </w:r>
      </w:hyperlink>
      <w:r>
        <w:t xml:space="preserve">.</w:t>
      </w:r>
    </w:p>
    <w:bookmarkEnd w:id="27"/>
    <w:bookmarkStart w:id="28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8"/>
    <w:bookmarkStart w:id="29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9"/>
    <w:bookmarkStart w:id="30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5" TargetMode="External" /><Relationship Type="http://schemas.openxmlformats.org/officeDocument/2006/relationships/hyperlink" Id="rId22" Target="https://doi.org/10.5281/zenodo.23675279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5" TargetMode="External" /><Relationship Type="http://schemas.openxmlformats.org/officeDocument/2006/relationships/hyperlink" Id="rId22" Target="https://doi.org/10.5281/zenodo.23675279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2026-10-26T20:45:46Z</dcterms:created>
  <dcterms:modified xsi:type="dcterms:W3CDTF">2026-10-26T20:45:46Z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