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4.png" ContentType="image/png"/>
  <Override PartName="/word/media/rId48.png" ContentType="image/png"/>
  <Override PartName="/word/media/rId66.png" ContentType="image/png"/>
  <Override PartName="/word/media/rId60.png" ContentType="image/png"/>
  <Override PartName="/word/media/rId5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Desacoplando el Peligro Biofísico de Ignición y la Propagación Táctica de Incendios Forestales en el Gran Chaco mediante GeoAI Multiescala (2015–2025)</w:t>
      </w:r>
    </w:p>
    <w:p>
      <w:pPr>
        <w:pStyle w:val="Subtitle"/>
      </w:pPr>
      <w:r>
        <w:t xml:space="preserve">Un marco computacional reproducible de dos etapas para la predicción a 24 horas y benchmarking internacional frente a Canadian FWI e INPE</w:t>
      </w:r>
    </w:p>
    <w:p>
      <w:pPr>
        <w:pStyle w:val="Date"/>
      </w:pPr>
      <w:r>
        <w:t xml:space="preserve">2026-10-24</w:t>
      </w:r>
    </w:p>
    <w:sdt>
      <w:sdtPr>
        <w:docPartObj>
          <w:docPartGallery w:val="Table of Contents"/>
          <w:docPartUnique/>
        </w:docPartObj>
      </w:sdtPr>
      <w:sdtContent>
        <w:p>
          <w:pPr>
            <w:pStyle w:val="TOCHeading"/>
          </w:pPr>
          <w:r>
            <w:t xml:space="preserve">Contenido del Manuscrito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 — Categorías:</w:t>
      </w:r>
      <w:r>
        <w:t xml:space="preserve"> </w:t>
      </w:r>
      <w:r>
        <w:rPr>
          <w:i/>
          <w:iCs/>
        </w:rPr>
        <w:t xml:space="preserve">Computer Science Applications</w:t>
      </w:r>
      <w:r>
        <w:t xml:space="preserve"> </w:t>
      </w:r>
      <w:r>
        <w:t xml:space="preserve">&amp;</w:t>
      </w:r>
      <w:r>
        <w:t xml:space="preserve"> </w:t>
      </w:r>
      <w:r>
        <w:rPr>
          <w:i/>
          <w:iCs/>
        </w:rPr>
        <w:t xml:space="preserve">Earth and Planetary Sciences</w:t>
      </w:r>
      <w:r>
        <w:br/>
      </w:r>
      <w:r>
        <w:rPr>
          <w:b/>
          <w:bCs/>
        </w:rPr>
        <w:t xml:space="preserve">Autor(es):</w:t>
      </w:r>
      <w:r>
        <w:t xml:space="preserve"> </w:t>
      </w:r>
      <w:r>
        <w:t xml:space="preserve">[Información de autoría, afiliaciones y enlaces de repositorios institucionales anonimizados para revisión por pares doble ciego]</w:t>
      </w:r>
    </w:p>
    <w:p>
      <w:r>
        <w:pict>
          <v:rect style="width:0;height:1.5pt" o:hralign="center" o:hrstd="t" o:hr="t"/>
        </w:pict>
      </w:r>
    </w:p>
    <w:bookmarkStart w:id="9" w:name="resumen"/>
    <w:p>
      <w:pPr>
        <w:pStyle w:val="Heading1"/>
      </w:pPr>
      <w:r>
        <w:t xml:space="preserve">Resumen</w:t>
      </w:r>
    </w:p>
    <w:p>
      <w:pPr>
        <w:pStyle w:val="FirstParagraph"/>
      </w:pPr>
      <w:r>
        <w:t xml:space="preserve">La predicción operativa de incendios forestales mediante aprendizaje automático en geociencias enfrenta con frecuencia dos fallas metodológicas críticas: el sesgo de atajo espacial (</w:t>
      </w:r>
      <w:r>
        <w:rPr>
          <w:i/>
          <w:iCs/>
        </w:rPr>
        <w:t xml:space="preserve">spatial shortcut learning</w:t>
      </w:r>
      <w:r>
        <w:t xml:space="preserve">) derivado de la fuerte autocorrelación de las plumas de fuego continuas, y la incapacidad de los índices climáticos canónicos boreales (como el</w:t>
      </w:r>
      <w:r>
        <w:t xml:space="preserve"> </w:t>
      </w:r>
      <w:r>
        <w:rPr>
          <w:i/>
          <w:iCs/>
        </w:rPr>
        <w:t xml:space="preserve">Canadian Forest Fire Weather Index</w:t>
      </w:r>
      <w:r>
        <w:t xml:space="preserve">, FWI) para capturar la desecación de biomas subtropicales con déficit hídrico extremo, como el Gran Chaco sudamericano. En este trabajo presentamos</w:t>
      </w:r>
      <w:r>
        <w:t xml:space="preserve"> </w:t>
      </w:r>
      <w:r>
        <w:rPr>
          <w:rStyle w:val="VerbatimChar"/>
        </w:rPr>
        <w:t xml:space="preserve">Incendios_PY</w:t>
      </w:r>
      <w:r>
        <w:t xml:space="preserve">, una arquitectura computacional GeoAI multiescala y desacoplada para la República del Paraguay (</w:t>
      </w:r>
      <m:oMath>
        <m:r>
          <m:t>400.006</m:t>
        </m:r>
      </m:oMath>
      <w:r>
        <w:t xml:space="preserve"> </w:t>
      </w:r>
      <w:r>
        <w:t xml:space="preserve">celdas soberanas a resolución de</w:t>
      </w:r>
      <w:r>
        <w:t xml:space="preserve"> </w:t>
      </w:r>
      <m:oMath>
        <m:r>
          <m:t>1</m:t>
        </m:r>
        <m:sSup>
          <m:e>
            <m:r>
              <m:rPr>
                <m:nor/>
                <m:sty m:val="p"/>
              </m:rPr>
              <m:t> km</m:t>
            </m:r>
          </m:e>
          <m:sup>
            <m:r>
              <m:t>2</m:t>
            </m:r>
          </m:sup>
        </m:sSup>
      </m:oMath>
      <w:r>
        <w:t xml:space="preserve">), diseñada sobre un horizonte decenal (2015–2025). El marco computacional implementa un filtrado biofísico de primera etapa (</w:t>
      </w:r>
      <w:r>
        <w:rPr>
          <w:i/>
          <w:iCs/>
        </w:rPr>
        <w:t xml:space="preserve">Two-Stage Bio-physical Gating</w:t>
      </w:r>
      <w:r>
        <w:t xml:space="preserve">) que condiciona la inferencia al déficit de presión de vapor (</w:t>
      </w:r>
      <m:oMath>
        <m:r>
          <m:t>V</m:t>
        </m:r>
        <m:r>
          <m:t>P</m:t>
        </m:r>
        <m:r>
          <m:t>D</m:t>
        </m:r>
        <m:r>
          <m:rPr>
            <m:sty m:val="p"/>
          </m:rPr>
          <m:t>≥</m:t>
        </m:r>
        <m:r>
          <m:t>0</m:t>
        </m:r>
        <m:r>
          <m:rPr>
            <m:sty m:val="p"/>
          </m:rPr>
          <m:t>,</m:t>
        </m:r>
        <m:r>
          <m:t>8</m:t>
        </m:r>
        <m:r>
          <m:rPr>
            <m:nor/>
            <m:sty m:val="p"/>
          </m:rPr>
          <m:t> kPa</m:t>
        </m:r>
      </m:oMath>
      <w:r>
        <w:t xml:space="preserve">), días secos consecutivos (</w:t>
      </w:r>
      <m:oMath>
        <m:r>
          <m:t>C</m:t>
        </m:r>
        <m:r>
          <m:t>D</m:t>
        </m:r>
        <m:r>
          <m:t>D</m:t>
        </m:r>
      </m:oMath>
      <w:r>
        <w:t xml:space="preserve">) y lluvia acumulada en 48 horas (</w:t>
      </w:r>
      <m:oMath>
        <m:r>
          <m:rPr>
            <m:sty m:val="p"/>
          </m:rPr>
          <m:t>&lt;</m:t>
        </m:r>
        <m:r>
          <m:t>10</m:t>
        </m:r>
        <m:r>
          <m:rPr>
            <m:nor/>
            <m:sty m:val="p"/>
          </m:rPr>
          <m:t> mm</m:t>
        </m:r>
      </m:oMath>
      <w:r>
        <w:t xml:space="preserve">), reduciendo la superficie evaluada en un 92 % sin pérdida de sensibilidad. Para neutralizar el aprendizaje de atajos espaciales espurios, desacoplamos analíticamente dos modelos diferenciados: (1)</w:t>
      </w:r>
      <w:r>
        <w:t xml:space="preserve"> </w:t>
      </w:r>
      <w:r>
        <w:rPr>
          <w:b/>
          <w:bCs/>
        </w:rPr>
        <w:t xml:space="preserve">Ignición Primaria Física</w:t>
      </w:r>
      <w:r>
        <w:t xml:space="preserve">, sustentado en interacciones meteorológicas no lineales, cobertura MapBiomas (30 m), gradientes de ecotono y priors de susceptibilidad espacial histórica sin fuga temporal, gobernado por restricciones monótonas biofísicas; y (2)</w:t>
      </w:r>
      <w:r>
        <w:t xml:space="preserve"> </w:t>
      </w:r>
      <w:r>
        <w:rPr>
          <w:b/>
          <w:bCs/>
        </w:rPr>
        <w:t xml:space="preserve">Propagación Táctica</w:t>
      </w:r>
      <w:r>
        <w:t xml:space="preserve">, gobernado por un kernel causal espacial de contagio a retardo</w:t>
      </w:r>
      <w:r>
        <w:t xml:space="preserve"> </w:t>
      </w:r>
      <m:oMath>
        <m:r>
          <m:t>t</m:t>
        </m:r>
        <m:r>
          <m:rPr>
            <m:sty m:val="p"/>
          </m:rPr>
          <m:t>−</m:t>
        </m:r>
        <m:r>
          <m:t>1</m:t>
        </m:r>
      </m:oMath>
      <w:r>
        <w:t xml:space="preserve"> </w:t>
      </w:r>
      <w:r>
        <w:t xml:space="preserve">alimentado por anomalías térmicas VIIRS (375 m). La validación espaciotemporal rigurosa —bajo partición</w:t>
      </w:r>
      <w:r>
        <w:t xml:space="preserve"> </w:t>
      </w:r>
      <w:r>
        <w:rPr>
          <w:i/>
          <w:iCs/>
        </w:rPr>
        <w:t xml:space="preserve">out-of-time</w:t>
      </w:r>
      <w:r>
        <w:t xml:space="preserve"> </w:t>
      </w:r>
      <w:r>
        <w:t xml:space="preserve">multianual y una zona muerta de exclusión espacial (</w:t>
      </w:r>
      <w:r>
        <w:rPr>
          <w:i/>
          <w:iCs/>
        </w:rPr>
        <w:t xml:space="preserve">dead-zone buffer</w:t>
      </w:r>
      <w:r>
        <w:t xml:space="preserve">) de 20 km— demuestra una superioridad estadística sistemática frente a los sistemas canónicos internacionales: la capa de ignición supera holgadamente al Canadian FWI (ROC-AUC 0,831 vs. 0,543 en Chaco; 0,711 vs. 0,389 en Oriental) y al INPE Risco de Fogo (0,646 y 0,399), mientras que la capa de propagación alcanza un ROC-AUC de 0,849 y una precisión operativa del 90,16 % en el Chaco. Implementado en un motor analítico</w:t>
      </w:r>
      <w:r>
        <w:t xml:space="preserve"> </w:t>
      </w:r>
      <w:r>
        <w:rPr>
          <w:i/>
          <w:iCs/>
        </w:rPr>
        <w:t xml:space="preserve">zero-copy</w:t>
      </w:r>
      <w:r>
        <w:t xml:space="preserve"> </w:t>
      </w:r>
      <w:r>
        <w:t xml:space="preserve">(DuckDB y Polars), el servicio evalúa el territorio nacional completo en 0,75 segundos en procesadores ARM64 estándar, garantizando soberanía operativa y reproducibilidad algorítmica para servicios de alerta temprana.</w:t>
      </w:r>
    </w:p>
    <w:p>
      <w:pPr>
        <w:pStyle w:val="BodyText"/>
      </w:pPr>
      <w:r>
        <w:rPr>
          <w:b/>
          <w:bCs/>
        </w:rPr>
        <w:t xml:space="preserve">Palabras clave:</w:t>
      </w:r>
      <w:r>
        <w:t xml:space="preserve"> </w:t>
      </w:r>
      <w:r>
        <w:t xml:space="preserve">Incendios forestales; GeoAI; Gran Chaco; LightGBM; Reanálisis ERA5-Land; NASA FIRMS; Desacoplamiento biofísico; Autocorrelación espacial; Benchmarking internacional.</w:t>
      </w:r>
    </w:p>
    <w:p>
      <w:r>
        <w:pict>
          <v:rect style="width:0;height:1.5pt" o:hralign="center" o:hrstd="t" o:hr="t"/>
        </w:pict>
      </w:r>
    </w:p>
    <w:bookmarkEnd w:id="9"/>
    <w:bookmarkStart w:id="10" w:name="abstract"/>
    <w:p>
      <w:pPr>
        <w:pStyle w:val="Heading1"/>
      </w:pPr>
      <w:r>
        <w:t xml:space="preserve">Abstract</w:t>
      </w:r>
    </w:p>
    <w:p>
      <w:pPr>
        <w:pStyle w:val="FirstParagraph"/>
      </w:pPr>
      <w:r>
        <w:t xml:space="preserve">Operational wildfire forecasting via machine learning in geosciences frequently suffers from two major methodological limitations: spatial shortcut learning induced by the strong autocorrelation of ongoing thermal plumes, and the failure of canonical boreal fire danger rating indices (such as the Canadian FWI) in moisture-limited subtropical biomes like the South American Gran Chaco. Here, we present</w:t>
      </w:r>
      <w:r>
        <w:t xml:space="preserve"> </w:t>
      </w:r>
      <w:r>
        <w:rPr>
          <w:rStyle w:val="VerbatimChar"/>
        </w:rPr>
        <w:t xml:space="preserve">Incendios_PY</w:t>
      </w:r>
      <w:r>
        <w:t xml:space="preserve">, an open-source, decoupled GeoAI computational framework for the Republic of Paraguay (</w:t>
      </w:r>
      <m:oMath>
        <m:r>
          <m:t>400</m:t>
        </m:r>
        <m:r>
          <m:rPr>
            <m:sty m:val="p"/>
          </m:rPr>
          <m:t>,</m:t>
        </m:r>
        <m:r>
          <m:t>006</m:t>
        </m:r>
      </m:oMath>
      <w:r>
        <w:t xml:space="preserve"> </w:t>
      </w:r>
      <w:r>
        <w:t xml:space="preserve">sovereign</w:t>
      </w:r>
      <w:r>
        <w:t xml:space="preserve"> </w:t>
      </w:r>
      <m:oMath>
        <m:r>
          <m:t>1</m:t>
        </m:r>
        <m:sSup>
          <m:e>
            <m:r>
              <m:rPr>
                <m:nor/>
                <m:sty m:val="p"/>
              </m:rPr>
              <m:t>-km</m:t>
            </m:r>
          </m:e>
          <m:sup>
            <m:r>
              <m:t>2</m:t>
            </m:r>
          </m:sup>
        </m:sSup>
      </m:oMath>
      <w:r>
        <w:t xml:space="preserve"> </w:t>
      </w:r>
      <w:r>
        <w:t xml:space="preserve">grid cells) designed over a decadal observation horizon (2015–2025). The architecture incorporates a first-stage biophysical gating mechanism conditioned on vapor pressure deficit thresholds (</w:t>
      </w:r>
      <m:oMath>
        <m:r>
          <m:t>V</m:t>
        </m:r>
        <m:r>
          <m:t>P</m:t>
        </m:r>
        <m:r>
          <m:t>D</m:t>
        </m:r>
        <m:r>
          <m:rPr>
            <m:sty m:val="p"/>
          </m:rPr>
          <m:t>≥</m:t>
        </m:r>
        <m:r>
          <m:t>0.8</m:t>
        </m:r>
        <m:r>
          <m:rPr>
            <m:nor/>
            <m:sty m:val="p"/>
          </m:rPr>
          <m:t> kPa</m:t>
        </m:r>
      </m:oMath>
      <w:r>
        <w:t xml:space="preserve">), consecutive dry days (</w:t>
      </w:r>
      <m:oMath>
        <m:r>
          <m:t>C</m:t>
        </m:r>
        <m:r>
          <m:t>D</m:t>
        </m:r>
        <m:r>
          <m:t>D</m:t>
        </m:r>
      </m:oMath>
      <w:r>
        <w:t xml:space="preserve">), and antecedent 48-hour rainfall (</w:t>
      </w:r>
      <m:oMath>
        <m:r>
          <m:rPr>
            <m:sty m:val="p"/>
          </m:rPr>
          <m:t>&lt;</m:t>
        </m:r>
        <m:r>
          <m:t>10</m:t>
        </m:r>
        <m:r>
          <m:rPr>
            <m:nor/>
            <m:sty m:val="p"/>
          </m:rPr>
          <m:t> mm</m:t>
        </m:r>
      </m:oMath>
      <w:r>
        <w:t xml:space="preserve">), filtering 92% of national grid cells without compromising detection sensitivity. To eradicate spatial persistence shortcuts, we decoupled the task into two specialized models: (1)</w:t>
      </w:r>
      <w:r>
        <w:t xml:space="preserve"> </w:t>
      </w:r>
      <w:r>
        <w:rPr>
          <w:b/>
          <w:bCs/>
        </w:rPr>
        <w:t xml:space="preserve">Pure Biophysical Ignition</w:t>
      </w:r>
      <w:r>
        <w:t xml:space="preserve">, modeled on non-linear meteorological-fuel interactions, ecotone edge gradients, and leakage-free historical spatial susceptibility priors under physics-guided monotonic constraints; and (2)</w:t>
      </w:r>
      <w:r>
        <w:t xml:space="preserve"> </w:t>
      </w:r>
      <w:r>
        <w:rPr>
          <w:b/>
          <w:bCs/>
        </w:rPr>
        <w:t xml:space="preserve">Tactical Propagation</w:t>
      </w:r>
      <w:r>
        <w:t xml:space="preserve">, driven by a causal spatial contagion kernel at lag</w:t>
      </w:r>
      <w:r>
        <w:t xml:space="preserve"> </w:t>
      </w:r>
      <m:oMath>
        <m:r>
          <m:t>t</m:t>
        </m:r>
        <m:r>
          <m:rPr>
            <m:sty m:val="p"/>
          </m:rPr>
          <m:t>−</m:t>
        </m:r>
        <m:r>
          <m:t>1</m:t>
        </m:r>
      </m:oMath>
      <w:r>
        <w:t xml:space="preserve"> </w:t>
      </w:r>
      <w:r>
        <w:t xml:space="preserve">derived from VIIRS 375-m active thermal detections. Rigorous spatial validation—utilizing multiannual out-of-time holdouts and an explicit 20-km dead-zone spatial exclusion buffer—demonstrates that the biophysical ignition model outperforms both the Canadian FWI (ROC-AUC 0.831 vs. 0.543 in Chaco; 0.711 vs. 0.389 in Oriental) and INPE’s Risco de Fogo (0.646 and 0.399), while the tactical propagation model achieves a ROC-AUC of 0.849 and 90.16% precision in the Chaco. Built upon a zero-copy analytical pipeline in DuckDB and Polars, the system evaluates the entire national territory in 0.75 seconds on standard consumer ARM64 processors, providing an open, reproducible, and computationally efficient benchmark for environmental hazard warning systems.</w:t>
      </w:r>
    </w:p>
    <w:p>
      <w:pPr>
        <w:pStyle w:val="BodyText"/>
      </w:pPr>
      <w:r>
        <w:rPr>
          <w:b/>
          <w:bCs/>
        </w:rPr>
        <w:t xml:space="preserve">Keywords:</w:t>
      </w:r>
      <w:r>
        <w:t xml:space="preserve"> </w:t>
      </w:r>
      <w:r>
        <w:t xml:space="preserve">Wildfire forecasting; GeoAI; Gran Chaco; LightGBM; ERA5-Land reanalysis; NASA FIRMS; Biophysical decoupling; Spatial autocorrelation; International benchmarking.</w:t>
      </w:r>
    </w:p>
    <w:p>
      <w:r>
        <w:pict>
          <v:rect style="width:0;height:1.5pt" o:hralign="center" o:hrstd="t" o:hr="t"/>
        </w:pict>
      </w:r>
    </w:p>
    <w:bookmarkEnd w:id="10"/>
    <w:bookmarkStart w:id="11" w:name="introducción"/>
    <w:p>
      <w:pPr>
        <w:pStyle w:val="Heading1"/>
      </w:pPr>
      <w:r>
        <w:t xml:space="preserve">1. 1. Introducción</w:t>
      </w:r>
    </w:p>
    <w:p>
      <w:pPr>
        <w:pStyle w:val="FirstParagraph"/>
      </w:pPr>
      <w:r>
        <w:t xml:space="preserve">Los incendios de vegetación en el Cono Sur de América del Sur representan una de las principales amenazas para la conservación biológica, la estabilidad climática regional y la salud pública</w:t>
      </w:r>
      <w:r>
        <w:t xml:space="preserve"> </w:t>
      </w:r>
      <w:r>
        <w:t xml:space="preserve">(Baumann et al., 2017; Flannigan et al., 2009; Jolly et al., 2015)</w:t>
      </w:r>
      <w:r>
        <w:t xml:space="preserve">. La región del</w:t>
      </w:r>
      <w:r>
        <w:t xml:space="preserve"> </w:t>
      </w:r>
      <w:r>
        <w:rPr>
          <w:b/>
          <w:bCs/>
        </w:rPr>
        <w:t xml:space="preserve">Gran Chaco Americano</w:t>
      </w:r>
      <w:r>
        <w:t xml:space="preserve"> </w:t>
      </w:r>
      <w:r>
        <w:t xml:space="preserve">—el segundo bioma boscoso más extenso del continente tras la Amazonía— experimenta transformaciones de cobertura y cambio de uso de suelo aceleradas por la frontera agropecuaria</w:t>
      </w:r>
      <w:r>
        <w:t xml:space="preserve"> </w:t>
      </w:r>
      <w:r>
        <w:t xml:space="preserve">(Alvarado et al., 2018; Vallejos et al., 2015)</w:t>
      </w:r>
      <w:r>
        <w:t xml:space="preserve">. En este mosaico ecológico, las prácticas tradicionales de desmonte y quema de pasturas, combinadas con sequías sinópticas recurrentes y temperaturas extremas (</w:t>
      </w:r>
      <m:oMath>
        <m:r>
          <m:rPr>
            <m:sty m:val="p"/>
          </m:rPr>
          <m:t>&gt;</m:t>
        </m:r>
        <m:sSup>
          <m:e>
            <m:r>
              <m:t>42</m:t>
            </m:r>
          </m:e>
          <m:sup>
            <m:r>
              <m:rPr>
                <m:sty m:val="p"/>
              </m:rPr>
              <m:t>∘</m:t>
            </m:r>
          </m:sup>
        </m:sSup>
        <m:r>
          <m:rPr>
            <m:nor/>
            <m:sty m:val="p"/>
          </m:rPr>
          <m:t>C</m:t>
        </m:r>
      </m:oMath>
      <w:r>
        <w:t xml:space="preserve">), desatan conflagraciones de escala catastrófica similares a las registradas en biomas vecinos del Pantanal y Cerrado</w:t>
      </w:r>
      <w:r>
        <w:t xml:space="preserve"> </w:t>
      </w:r>
      <w:r>
        <w:t xml:space="preserve">(Pivello et al., 2021)</w:t>
      </w:r>
      <w:r>
        <w:t xml:space="preserve">, con temporadas críticas sin precedentes en 2019, 2020 y 2024.</w:t>
      </w:r>
    </w:p>
    <w:p>
      <w:pPr>
        <w:pStyle w:val="BodyText"/>
      </w:pPr>
      <w:r>
        <w:t xml:space="preserve">A nivel internacional, la estimación del peligro y propagación de incendios se ha sustentado históricamente en dos vertientes: los modelos mecanicistas basados en balances térmicos y dinámica de fluidos de combustibles vegetales</w:t>
      </w:r>
      <w:r>
        <w:t xml:space="preserve"> </w:t>
      </w:r>
      <w:r>
        <w:t xml:space="preserve">(Andrews, 2014; Rothermel, 1972)</w:t>
      </w:r>
      <w:r>
        <w:t xml:space="preserve">, y los sistemas empíricos semi-mecanicistas de peligro meteorológico. Entre estos últimos, el sistema canadiense</w:t>
      </w:r>
      <w:r>
        <w:t xml:space="preserve"> </w:t>
      </w:r>
      <w:r>
        <w:rPr>
          <w:i/>
          <w:iCs/>
        </w:rPr>
        <w:t xml:space="preserve">Forest Fire Weather Index</w:t>
      </w:r>
      <w:r>
        <w:t xml:space="preserve"> </w:t>
      </w:r>
      <w:r>
        <w:t xml:space="preserve">(FWI)</w:t>
      </w:r>
      <w:r>
        <w:t xml:space="preserve"> </w:t>
      </w:r>
      <w:r>
        <w:t xml:space="preserve">(Stocks et al., 1989; Van Wagner, 1987)</w:t>
      </w:r>
      <w:r>
        <w:t xml:space="preserve"> </w:t>
      </w:r>
      <w:r>
        <w:t xml:space="preserve">constituye el estándar adoptado por el sistema europeo EFFIS (</w:t>
      </w:r>
      <w:r>
        <w:rPr>
          <w:i/>
          <w:iCs/>
        </w:rPr>
        <w:t xml:space="preserve">European Forest Fire Information System</w:t>
      </w:r>
      <w:r>
        <w:t xml:space="preserve">) y por la plataforma global GWIS</w:t>
      </w:r>
      <w:r>
        <w:t xml:space="preserve"> </w:t>
      </w:r>
      <w:r>
        <w:t xml:space="preserve">(San-Miguel-Ayanz et al., 2012)</w:t>
      </w:r>
      <w:r>
        <w:t xml:space="preserve">. Con la consolidación de la teledetección satelital de incendios activos —iniciada por MODIS</w:t>
      </w:r>
      <w:r>
        <w:t xml:space="preserve"> </w:t>
      </w:r>
      <w:r>
        <w:t xml:space="preserve">(Giglio et al., 2016; Justice et al., 2002)</w:t>
      </w:r>
      <w:r>
        <w:t xml:space="preserve"> </w:t>
      </w:r>
      <w:r>
        <w:t xml:space="preserve">y continuada por VIIRS</w:t>
      </w:r>
      <w:r>
        <w:t xml:space="preserve"> </w:t>
      </w:r>
      <w:r>
        <w:t xml:space="preserve">(Schroeder et al., 2014)</w:t>
      </w:r>
      <w:r>
        <w:t xml:space="preserve"> </w:t>
      </w:r>
      <w:r>
        <w:t xml:space="preserve">junto con productos multidecenales de área quemada</w:t>
      </w:r>
      <w:r>
        <w:t xml:space="preserve"> </w:t>
      </w:r>
      <w:r>
        <w:t xml:space="preserve">(Artés et al., 2019; Chuvieco et al., 2019; Roy et al., 2008)</w:t>
      </w:r>
      <w:r>
        <w:t xml:space="preserve">—, en Sudamérica el</w:t>
      </w:r>
      <w:r>
        <w:t xml:space="preserve"> </w:t>
      </w:r>
      <w:r>
        <w:rPr>
          <w:i/>
          <w:iCs/>
        </w:rPr>
        <w:t xml:space="preserve">Instituto Nacional de Pesquisas Espaciais</w:t>
      </w:r>
      <w:r>
        <w:t xml:space="preserve"> </w:t>
      </w:r>
      <w:r>
        <w:t xml:space="preserve">(INPE) de Brasil desarrolló el índice</w:t>
      </w:r>
      <w:r>
        <w:t xml:space="preserve"> </w:t>
      </w:r>
      <w:r>
        <w:rPr>
          <w:i/>
          <w:iCs/>
        </w:rPr>
        <w:t xml:space="preserve">Risco de Fogo</w:t>
      </w:r>
      <w:r>
        <w:t xml:space="preserve"> </w:t>
      </w:r>
      <w:r>
        <w:t xml:space="preserve">(Setzer et al., 2019)</w:t>
      </w:r>
      <w:r>
        <w:t xml:space="preserve">, ampliamente empleado por los organismos ambientales de Paraguay (MADES e INFONA). No obstante, estos índices canónicos fueron formulados para bosques templados de coníferas o sabanas tropicales abiertas, mostrando serias inconsistencias de calibración al extrapolarse a biomas xerofíticos bajo déficit hídrico extremo como el Chaco Seco.</w:t>
      </w:r>
    </w:p>
    <w:p>
      <w:pPr>
        <w:pStyle w:val="BodyText"/>
      </w:pPr>
      <w:r>
        <w:t xml:space="preserve">El auge de la inteligencia artificial geoespacial (</w:t>
      </w:r>
      <w:r>
        <w:rPr>
          <w:i/>
          <w:iCs/>
        </w:rPr>
        <w:t xml:space="preserve">GeoAI</w:t>
      </w:r>
      <w:r>
        <w:t xml:space="preserve">) y el aprendizaje automático (</w:t>
      </w:r>
      <w:r>
        <w:rPr>
          <w:i/>
          <w:iCs/>
        </w:rPr>
        <w:t xml:space="preserve">Machine Learning</w:t>
      </w:r>
      <w:r>
        <w:t xml:space="preserve">) ha propiciado una amplia gama de algoritmos de detección temprana y modelado predictivo de ignición</w:t>
      </w:r>
      <w:r>
        <w:t xml:space="preserve"> </w:t>
      </w:r>
      <w:r>
        <w:t xml:space="preserve">(Barmpoutis et al., 2020; Jain et al., 2020)</w:t>
      </w:r>
      <w:r>
        <w:t xml:space="preserve">, predominantemente mediante ensambles de árboles de decisión como XGBoost</w:t>
      </w:r>
      <w:r>
        <w:t xml:space="preserve"> </w:t>
      </w:r>
      <w:r>
        <w:t xml:space="preserve">(Chen &amp; Guestrin, 2016)</w:t>
      </w:r>
      <w:r>
        <w:t xml:space="preserve">, LightGBM</w:t>
      </w:r>
      <w:r>
        <w:t xml:space="preserve"> </w:t>
      </w:r>
      <w:r>
        <w:t xml:space="preserve">(Ke et al., 2017)</w:t>
      </w:r>
      <w:r>
        <w:t xml:space="preserve"> </w:t>
      </w:r>
      <w:r>
        <w:t xml:space="preserve">y CatBoost</w:t>
      </w:r>
      <w:r>
        <w:t xml:space="preserve"> </w:t>
      </w:r>
      <w:r>
        <w:t xml:space="preserve">(Prokhorenkova et al., 2018)</w:t>
      </w:r>
      <w:r>
        <w:t xml:space="preserve">, así como clasificadores biofísicos</w:t>
      </w:r>
      <w:r>
        <w:t xml:space="preserve"> </w:t>
      </w:r>
      <w:r>
        <w:t xml:space="preserve">(Coffield et al., 2019; Rodrigues &amp; Riva, 2014; Sayad et al., 2019)</w:t>
      </w:r>
      <w:r>
        <w:t xml:space="preserve">. Sin embargo, la integración acrítica de estos métodos en geociencias enfrenta dos patologías metodológicas persistentes:</w:t>
      </w:r>
    </w:p>
    <w:p>
      <w:pPr>
        <w:pStyle w:val="Compact"/>
        <w:numPr>
          <w:ilvl w:val="0"/>
          <w:numId w:val="1001"/>
        </w:numPr>
      </w:pPr>
      <w:r>
        <w:rPr>
          <w:b/>
          <w:bCs/>
        </w:rPr>
        <w:t xml:space="preserve">La trampa del atajo espacial (</w:t>
      </w:r>
      <w:r>
        <w:rPr>
          <w:b/>
          <w:bCs/>
          <w:i/>
          <w:iCs/>
        </w:rPr>
        <w:t xml:space="preserve">Spatial Shortcut Learning</w:t>
      </w:r>
      <w:r>
        <w:rPr>
          <w:b/>
          <w:bCs/>
        </w:rPr>
        <w:t xml:space="preserve">) y la violación de independencia:</w:t>
      </w:r>
      <w:r>
        <w:br/>
      </w:r>
      <w:r>
        <w:t xml:space="preserve">Cuando un modelo de machine learning incluye covariables espaciales autorregresivas contiguas (distancia al fuego de la jornada anterior, densidad de focos térmicos adyacentes) sin aislar el mecanismo causante, el algoritmo sucumbe a un atajo espurio: aprende que</w:t>
      </w:r>
      <w:r>
        <w:t xml:space="preserve"> </w:t>
      </w:r>
      <w:r>
        <w:rPr>
          <w:i/>
          <w:iCs/>
        </w:rPr>
        <w:t xml:space="preserve">“si hay fuego al lado, hoy continuará el fuego”</w:t>
      </w:r>
      <w:r>
        <w:t xml:space="preserve">. Aunque esta correlación infla artificialmente las métricas de prueba estándar (ROC-AUC</w:t>
      </w:r>
      <w:r>
        <w:t xml:space="preserve"> </w:t>
      </w:r>
      <m:oMath>
        <m:r>
          <m:rPr>
            <m:sty m:val="p"/>
          </m:rPr>
          <m:t>&gt;</m:t>
        </m:r>
        <m:r>
          <m:t>0</m:t>
        </m:r>
        <m:r>
          <m:rPr>
            <m:sty m:val="p"/>
          </m:rPr>
          <m:t>,</m:t>
        </m:r>
        <m:r>
          <m:t>95</m:t>
        </m:r>
      </m:oMath>
      <w:r>
        <w:t xml:space="preserve">), el modelo se vuelve impotente para predecir</w:t>
      </w:r>
      <w:r>
        <w:t xml:space="preserve"> </w:t>
      </w:r>
      <w:r>
        <w:rPr>
          <w:b/>
          <w:bCs/>
        </w:rPr>
        <w:t xml:space="preserve">igniciones primarias espontáneas o antrópicas nuevas</w:t>
      </w:r>
      <w:r>
        <w:t xml:space="preserve"> </w:t>
      </w:r>
      <w:r>
        <w:t xml:space="preserve">en áreas bajo estrés hídrico extremo donde ayer no existía combustión</w:t>
      </w:r>
      <w:r>
        <w:t xml:space="preserve"> </w:t>
      </w:r>
      <w:r>
        <w:t xml:space="preserve">(Ploton et al., 2020; Roberts et al., 2017)</w:t>
      </w:r>
      <w:r>
        <w:t xml:space="preserve">. Esta patología ignora los principios de la primera ley de la geografía</w:t>
      </w:r>
      <w:r>
        <w:t xml:space="preserve"> </w:t>
      </w:r>
      <w:r>
        <w:t xml:space="preserve">(Tobler, 1970)</w:t>
      </w:r>
      <w:r>
        <w:t xml:space="preserve"> </w:t>
      </w:r>
      <w:r>
        <w:t xml:space="preserve">y los desafíos bien documentados de la autocorrelación espacial en modelado ecológico</w:t>
      </w:r>
      <w:r>
        <w:t xml:space="preserve"> </w:t>
      </w:r>
      <w:r>
        <w:t xml:space="preserve">(Dormann et al., 2007; Legendre, 1993; Meyer &amp; Pebesma, 2021)</w:t>
      </w:r>
      <w:r>
        <w:t xml:space="preserve">.</w:t>
      </w:r>
    </w:p>
    <w:p>
      <w:pPr>
        <w:pStyle w:val="Compact"/>
        <w:numPr>
          <w:ilvl w:val="0"/>
          <w:numId w:val="1001"/>
        </w:numPr>
      </w:pPr>
      <w:r>
        <w:rPr>
          <w:b/>
          <w:bCs/>
        </w:rPr>
        <w:t xml:space="preserve">La disociación entre conocimiento físico y modelos de caja negra:</w:t>
      </w:r>
      <w:r>
        <w:br/>
      </w:r>
      <w:r>
        <w:t xml:space="preserve">Frecuentemente los modelos predictivos puramente estadísticos omiten restricciones cinemáticas elementales (e.g., combustión imposible bajo lluvia torrencial o ausencia total de biomasa combustible), lo que ha motivado el paradigma emergente de aprendizaje automático informado por la física (</w:t>
      </w:r>
      <w:r>
        <w:rPr>
          <w:i/>
          <w:iCs/>
        </w:rPr>
        <w:t xml:space="preserve">Physics-Informed Machine Learning</w:t>
      </w:r>
      <w:r>
        <w:t xml:space="preserve">, PIML) en ciencias de la Tierra</w:t>
      </w:r>
      <w:r>
        <w:t xml:space="preserve"> </w:t>
      </w:r>
      <w:r>
        <w:t xml:space="preserve">(Reichstein et al., 2019; Willard et al., 2022)</w:t>
      </w:r>
      <w:r>
        <w:t xml:space="preserve">.</w:t>
      </w:r>
    </w:p>
    <w:p>
      <w:pPr>
        <w:pStyle w:val="Compact"/>
        <w:numPr>
          <w:ilvl w:val="0"/>
          <w:numId w:val="1001"/>
        </w:numPr>
      </w:pPr>
      <w:r>
        <w:rPr>
          <w:b/>
          <w:bCs/>
        </w:rPr>
        <w:t xml:space="preserve">La ineficiencia computacional para la alerta operativa diaria:</w:t>
      </w:r>
      <w:r>
        <w:br/>
      </w:r>
      <w:r>
        <w:t xml:space="preserve">Muchos modelos académicos dependen de secuencias manuales en software SIG de escritorio o rutinas pesadas de geoprocesamiento ráster, impidiendo su despliegue automatizado y soberano a escala de país a resolución de 1 km² en tiempo subsegundo.</w:t>
      </w:r>
    </w:p>
    <w:p>
      <w:pPr>
        <w:pStyle w:val="FirstParagraph"/>
      </w:pPr>
      <w:r>
        <w:t xml:space="preserve">Para resolver estas limitaciones, este artículo presenta el diseño, formulación matemática y evaluación del sistema computacional</w:t>
      </w:r>
      <w:r>
        <w:t xml:space="preserve"> </w:t>
      </w:r>
      <w:r>
        <w:rPr>
          <w:rStyle w:val="VerbatimChar"/>
        </w:rPr>
        <w:t xml:space="preserve">Incendios_PY</w:t>
      </w:r>
      <w:r>
        <w:t xml:space="preserve">. Las contribuciones fundamentales de este trabajo son:</w:t>
      </w:r>
    </w:p>
    <w:p>
      <w:pPr>
        <w:pStyle w:val="Compact"/>
        <w:numPr>
          <w:ilvl w:val="0"/>
          <w:numId w:val="1002"/>
        </w:numPr>
      </w:pPr>
      <w:r>
        <w:rPr>
          <w:b/>
          <w:bCs/>
        </w:rPr>
        <w:t xml:space="preserve">Arquitectura Dual Desacoplada:</w:t>
      </w:r>
      <w:r>
        <w:t xml:space="preserve"> </w:t>
      </w:r>
      <w:r>
        <w:t xml:space="preserve">Separamos formalmente la tarea predictiva en dos capas ortogonales: un modelo de</w:t>
      </w:r>
      <w:r>
        <w:t xml:space="preserve"> </w:t>
      </w:r>
      <w:r>
        <w:rPr>
          <w:b/>
          <w:bCs/>
        </w:rPr>
        <w:t xml:space="preserve">Ignición Primaria Física</w:t>
      </w:r>
      <w:r>
        <w:t xml:space="preserve"> </w:t>
      </w:r>
      <w:r>
        <w:t xml:space="preserve">(libre de variables históricas de contagio</w:t>
      </w:r>
      <w:r>
        <w:t xml:space="preserve"> </w:t>
      </w:r>
      <m:oMath>
        <m:r>
          <m:t>t</m:t>
        </m:r>
        <m:r>
          <m:rPr>
            <m:sty m:val="p"/>
          </m:rPr>
          <m:t>−</m:t>
        </m:r>
        <m:r>
          <m:t>1</m:t>
        </m:r>
      </m:oMath>
      <w:r>
        <w:t xml:space="preserve">) y un modelo de</w:t>
      </w:r>
      <w:r>
        <w:t xml:space="preserve"> </w:t>
      </w:r>
      <w:r>
        <w:rPr>
          <w:b/>
          <w:bCs/>
        </w:rPr>
        <w:t xml:space="preserve">Propagación Táctica Local</w:t>
      </w:r>
      <w:r>
        <w:t xml:space="preserve"> </w:t>
      </w:r>
      <w:r>
        <w:t xml:space="preserve">(gobernado por dinámica física de avance del frente de llama).</w:t>
      </w:r>
    </w:p>
    <w:p>
      <w:pPr>
        <w:pStyle w:val="Compact"/>
        <w:numPr>
          <w:ilvl w:val="0"/>
          <w:numId w:val="1002"/>
        </w:numPr>
      </w:pPr>
      <w:r>
        <w:rPr>
          <w:b/>
          <w:bCs/>
        </w:rPr>
        <w:t xml:space="preserve">Filtrado Biofísico de Primera Etapa (</w:t>
      </w:r>
      <w:r>
        <w:rPr>
          <w:b/>
          <w:bCs/>
          <w:i/>
          <w:iCs/>
        </w:rPr>
        <w:t xml:space="preserve">Two-Stage Gating</w:t>
      </w:r>
      <w:r>
        <w:rPr>
          <w:b/>
          <w:bCs/>
        </w:rPr>
        <w:t xml:space="preserve">):</w:t>
      </w:r>
      <w:r>
        <w:t xml:space="preserve"> </w:t>
      </w:r>
      <w:r>
        <w:t xml:space="preserve">Implementamos un cribado cinemático previo que excluye celdas sin combustible o con inhibición meteorológica comprobada (</w:t>
      </w:r>
      <m:oMath>
        <m:r>
          <m:t>V</m:t>
        </m:r>
        <m:r>
          <m:t>P</m:t>
        </m:r>
        <m:r>
          <m:t>D</m:t>
        </m:r>
        <m:r>
          <m:rPr>
            <m:sty m:val="p"/>
          </m:rPr>
          <m:t>&lt;</m:t>
        </m:r>
        <m:r>
          <m:t>0</m:t>
        </m:r>
        <m:r>
          <m:rPr>
            <m:sty m:val="p"/>
          </m:rPr>
          <m:t>,</m:t>
        </m:r>
        <m:r>
          <m:t>8</m:t>
        </m:r>
        <m:r>
          <m:rPr>
            <m:nor/>
            <m:sty m:val="p"/>
          </m:rPr>
          <m:t> kPa</m:t>
        </m:r>
      </m:oMath>
      <w:r>
        <w:t xml:space="preserve">, lluvia</w:t>
      </w:r>
      <w:r>
        <w:t xml:space="preserve"> </w:t>
      </w:r>
      <m:oMath>
        <m:r>
          <m:t>48</m:t>
        </m:r>
        <m:r>
          <m:rPr>
            <m:nor/>
            <m:sty m:val="p"/>
          </m:rPr>
          <m:t>h</m:t>
        </m:r>
        <m:r>
          <m:rPr>
            <m:sty m:val="p"/>
          </m:rPr>
          <m:t>≥</m:t>
        </m:r>
        <m:r>
          <m:t>10</m:t>
        </m:r>
        <m:r>
          <m:rPr>
            <m:nor/>
            <m:sty m:val="p"/>
          </m:rPr>
          <m:t> mm</m:t>
        </m:r>
      </m:oMath>
      <w:r>
        <w:t xml:space="preserve">), reduciendo la dimensionalidad computacional sin pérdida de verdaderos positivos.</w:t>
      </w:r>
    </w:p>
    <w:p>
      <w:pPr>
        <w:pStyle w:val="Compact"/>
        <w:numPr>
          <w:ilvl w:val="0"/>
          <w:numId w:val="1002"/>
        </w:numPr>
      </w:pPr>
      <w:r>
        <w:rPr>
          <w:b/>
          <w:bCs/>
        </w:rPr>
        <w:t xml:space="preserve">Rigor de Validación Espaciotemporal Anti-Leakage:</w:t>
      </w:r>
      <w:r>
        <w:t xml:space="preserve"> </w:t>
      </w:r>
      <w:r>
        <w:t xml:space="preserve">Evaluamos el marco bajo partición temporal</w:t>
      </w:r>
      <w:r>
        <w:t xml:space="preserve"> </w:t>
      </w:r>
      <w:r>
        <w:rPr>
          <w:i/>
          <w:iCs/>
        </w:rPr>
        <w:t xml:space="preserve">out-of-time</w:t>
      </w:r>
      <w:r>
        <w:t xml:space="preserve"> </w:t>
      </w:r>
      <w:r>
        <w:t xml:space="preserve">decenal (2015–2025) y una zona muerta de amortiguamiento (</w:t>
      </w:r>
      <w:r>
        <w:rPr>
          <w:i/>
          <w:iCs/>
        </w:rPr>
        <w:t xml:space="preserve">dead-zone buffer</w:t>
      </w:r>
      <w:r>
        <w:t xml:space="preserve">) de 20 km entre presencias y ausencias.</w:t>
      </w:r>
    </w:p>
    <w:p>
      <w:pPr>
        <w:pStyle w:val="Compact"/>
        <w:numPr>
          <w:ilvl w:val="0"/>
          <w:numId w:val="1002"/>
        </w:numPr>
      </w:pPr>
      <w:r>
        <w:rPr>
          <w:b/>
          <w:bCs/>
        </w:rPr>
        <w:t xml:space="preserve">Benchmarking Comparativo Directo:</w:t>
      </w:r>
      <w:r>
        <w:t xml:space="preserve"> </w:t>
      </w:r>
      <w:r>
        <w:t xml:space="preserve">Demostramos empíricamente la superioridad de la arquitectura frente al Canadian FWI y al INPE Risco de Fogo en el mismo conjunto de prueba ciego.</w:t>
      </w:r>
    </w:p>
    <w:p>
      <w:pPr>
        <w:pStyle w:val="Compact"/>
        <w:numPr>
          <w:ilvl w:val="0"/>
          <w:numId w:val="1002"/>
        </w:numPr>
      </w:pPr>
      <w:r>
        <w:rPr>
          <w:b/>
          <w:bCs/>
        </w:rPr>
        <w:t xml:space="preserve">Pipeline Abierto y Reproducible en Tiempo Subsegundo:</w:t>
      </w:r>
      <w:r>
        <w:t xml:space="preserve"> </w:t>
      </w:r>
      <w:r>
        <w:t xml:space="preserve">Construimos una canalización analítica</w:t>
      </w:r>
      <w:r>
        <w:t xml:space="preserve"> </w:t>
      </w:r>
      <w:r>
        <w:rPr>
          <w:i/>
          <w:iCs/>
        </w:rPr>
        <w:t xml:space="preserve">zero-copy</w:t>
      </w:r>
      <w:r>
        <w:t xml:space="preserve"> </w:t>
      </w:r>
      <w:r>
        <w:t xml:space="preserve">en DuckDB y Polars capaz de evaluar 400.006 celdas soberanas en 0,75 segundos en procesadores estándar.</w:t>
      </w:r>
    </w:p>
    <w:p>
      <w:r>
        <w:pict>
          <v:rect style="width:0;height:1.5pt" o:hralign="center" o:hrstd="t" o:hr="t"/>
        </w:pict>
      </w:r>
    </w:p>
    <w:bookmarkEnd w:id="11"/>
    <w:bookmarkStart w:id="30" w:name="marco-teórico-y-formulación-matemática"/>
    <w:p>
      <w:pPr>
        <w:pStyle w:val="Heading1"/>
      </w:pPr>
      <w:r>
        <w:t xml:space="preserve">2. 2. Marco Teórico y Formulación Matemática</w:t>
      </w:r>
    </w:p>
    <w:bookmarkStart w:id="15" w:name="Xb18105e2246bb8db995ae94d9082ef18bbaa549"/>
    <w:p>
      <w:pPr>
        <w:pStyle w:val="Heading2"/>
      </w:pPr>
      <w:r>
        <w:t xml:space="preserve">2.1 2.1 Física de la Desecación del Combustible Fino</w:t>
      </w:r>
    </w:p>
    <w:p>
      <w:pPr>
        <w:pStyle w:val="FirstParagraph"/>
      </w:pPr>
      <w:r>
        <w:t xml:space="preserve">La probabilidad de que una chispa o brasa dé origen a un incendio activo con calor radiativo mensurable (</w:t>
      </w:r>
      <m:oMath>
        <m:r>
          <m:t>F</m:t>
        </m:r>
        <m:r>
          <m:t>R</m:t>
        </m:r>
        <m:r>
          <m:t>P</m:t>
        </m:r>
        <m:r>
          <m:rPr>
            <m:sty m:val="p"/>
          </m:rPr>
          <m:t>&gt;</m:t>
        </m:r>
        <m:r>
          <m:t>0</m:t>
        </m:r>
      </m:oMath>
      <w:r>
        <w:t xml:space="preserve">) está gobernada termodinámicamente por la humedad del combustible fino muerto (</w:t>
      </w:r>
      <w:r>
        <w:rPr>
          <w:i/>
          <w:iCs/>
        </w:rPr>
        <w:t xml:space="preserve">Fine Fuel Moisture Code</w:t>
      </w:r>
      <w:r>
        <w:t xml:space="preserve">, FFMC) y la dinámica de transferencia de calor en el lecho de combustible</w:t>
      </w:r>
      <w:r>
        <w:t xml:space="preserve"> </w:t>
      </w:r>
      <w:r>
        <w:t xml:space="preserve">(Flannigan et al., 2016; Rothermel, 1972)</w:t>
      </w:r>
      <w:r>
        <w:t xml:space="preserve">. El balance de humedad entre el combustible vegetal y la atmósfera circundante depende críticamente del déficit de presión de vapor (</w:t>
      </w:r>
      <m:oMath>
        <m:r>
          <m:t>V</m:t>
        </m:r>
        <m:r>
          <m:t>P</m:t>
        </m:r>
        <m:r>
          <m:t>D</m:t>
        </m:r>
      </m:oMath>
      <w:r>
        <w:t xml:space="preserve">), definido como la diferencia entre la presión de vapor de saturación (</w:t>
      </w:r>
      <m:oMath>
        <m:sSub>
          <m:e>
            <m:r>
              <m:t>e</m:t>
            </m:r>
          </m:e>
          <m:sub>
            <m:r>
              <m:t>s</m:t>
            </m:r>
          </m:sub>
        </m:sSub>
      </m:oMath>
      <w:r>
        <w:t xml:space="preserve">) y la presión de vapor real (</w:t>
      </w:r>
      <m:oMath>
        <m:sSub>
          <m:e>
            <m:r>
              <m:t>e</m:t>
            </m:r>
          </m:e>
          <m:sub>
            <m:r>
              <m:t>a</m:t>
            </m:r>
          </m:sub>
        </m:sSub>
      </m:oMath>
      <w:r>
        <w:t xml:space="preserve">):</w:t>
      </w:r>
    </w:p>
    <w:p>
      <w:pPr>
        <w:pStyle w:val="BodyText"/>
      </w:pPr>
      <w:bookmarkStart w:id="12" w:name="eq-es"/>
      <m:oMathPara>
        <m:oMathParaPr>
          <m:jc m:val="center"/>
        </m:oMathParaPr>
        <m:oMath>
          <m:sSub>
            <m:e>
              <m:r>
                <m:t>e</m:t>
              </m:r>
            </m:e>
            <m:sub>
              <m:r>
                <m:t>s</m:t>
              </m:r>
            </m:sub>
          </m:sSub>
          <m:r>
            <m:rPr>
              <m:sty m:val="p"/>
            </m:rPr>
            <m:t>(</m:t>
          </m:r>
          <m:r>
            <m:t>T</m:t>
          </m:r>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r>
                    <m:t>T</m:t>
                  </m:r>
                </m:num>
                <m:den>
                  <m:r>
                    <m:t>T</m:t>
                  </m:r>
                  <m:r>
                    <m:rPr>
                      <m:sty m:val="p"/>
                    </m:rPr>
                    <m:t>+</m:t>
                  </m:r>
                  <m:r>
                    <m:t>237</m:t>
                  </m:r>
                  <m:r>
                    <m:rPr>
                      <m:sty m:val="p"/>
                    </m:rPr>
                    <m:t>,</m:t>
                  </m:r>
                  <m:r>
                    <m:t>3</m:t>
                  </m:r>
                </m:den>
              </m:f>
            </m:e>
          </m:d>
          <m:r>
            <m:t> </m:t>
          </m:r>
          <m:r>
            <m:rPr>
              <m:sty m:val="p"/>
            </m:rPr>
            <m:t>[</m:t>
          </m:r>
          <m:r>
            <m:rPr>
              <m:nor/>
              <m:sty m:val="p"/>
            </m:rPr>
            <m:t>kPa</m:t>
          </m:r>
          <m:r>
            <m:rPr>
              <m:sty m:val="p"/>
            </m:rPr>
            <m:t>]</m:t>
          </m:r>
          <m:r>
            <m:t>  </m:t>
          </m:r>
          <m:r>
            <m:rPr>
              <m:sty m:val="p"/>
            </m:rPr>
            <m:t>(</m:t>
          </m:r>
          <m:r>
            <m:t>1</m:t>
          </m:r>
          <m:r>
            <m:rPr>
              <m:sty m:val="p"/>
            </m:rPr>
            <m:t>)</m:t>
          </m:r>
        </m:oMath>
      </m:oMathPara>
      <w:bookmarkEnd w:id="12"/>
    </w:p>
    <w:p>
      <w:pPr>
        <w:pStyle w:val="FirstParagraph"/>
      </w:pPr>
      <w:bookmarkStart w:id="13" w:name="eq-ea"/>
      <m:oMathPara>
        <m:oMathParaPr>
          <m:jc m:val="center"/>
        </m:oMathParaPr>
        <m:oMath>
          <m:sSub>
            <m:e>
              <m:r>
                <m:t>e</m:t>
              </m:r>
            </m:e>
            <m:sub>
              <m:r>
                <m:t>a</m:t>
              </m:r>
            </m:sub>
          </m:sSub>
          <m:r>
            <m:rPr>
              <m:sty m:val="p"/>
            </m:rPr>
            <m:t>(</m:t>
          </m:r>
          <m:sSub>
            <m:e>
              <m:r>
                <m:t>T</m:t>
              </m:r>
            </m:e>
            <m:sub>
              <m:r>
                <m:rPr>
                  <m:nor/>
                  <m:sty m:val="p"/>
                </m:rPr>
                <m:t>dew</m:t>
              </m:r>
            </m:sub>
          </m:sSub>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sSub>
                    <m:e>
                      <m:r>
                        <m:t>T</m:t>
                      </m:r>
                    </m:e>
                    <m:sub>
                      <m:r>
                        <m:rPr>
                          <m:nor/>
                          <m:sty m:val="p"/>
                        </m:rPr>
                        <m:t>dew</m:t>
                      </m:r>
                    </m:sub>
                  </m:sSub>
                </m:num>
                <m:den>
                  <m:sSub>
                    <m:e>
                      <m:r>
                        <m:t>T</m:t>
                      </m:r>
                    </m:e>
                    <m:sub>
                      <m:r>
                        <m:rPr>
                          <m:nor/>
                          <m:sty m:val="p"/>
                        </m:rPr>
                        <m:t>dew</m:t>
                      </m:r>
                    </m:sub>
                  </m:sSub>
                  <m:r>
                    <m:rPr>
                      <m:sty m:val="p"/>
                    </m:rPr>
                    <m:t>+</m:t>
                  </m:r>
                  <m:r>
                    <m:t>237</m:t>
                  </m:r>
                  <m:r>
                    <m:rPr>
                      <m:sty m:val="p"/>
                    </m:rPr>
                    <m:t>,</m:t>
                  </m:r>
                  <m:r>
                    <m:t>3</m:t>
                  </m:r>
                </m:den>
              </m:f>
            </m:e>
          </m:d>
          <m:r>
            <m:t> </m:t>
          </m:r>
          <m:r>
            <m:rPr>
              <m:sty m:val="p"/>
            </m:rPr>
            <m:t>[</m:t>
          </m:r>
          <m:r>
            <m:rPr>
              <m:nor/>
              <m:sty m:val="p"/>
            </m:rPr>
            <m:t>kPa</m:t>
          </m:r>
          <m:r>
            <m:rPr>
              <m:sty m:val="p"/>
            </m:rPr>
            <m:t>]</m:t>
          </m:r>
          <m:r>
            <m:t>  </m:t>
          </m:r>
          <m:r>
            <m:rPr>
              <m:sty m:val="p"/>
            </m:rPr>
            <m:t>(</m:t>
          </m:r>
          <m:r>
            <m:t>2</m:t>
          </m:r>
          <m:r>
            <m:rPr>
              <m:sty m:val="p"/>
            </m:rPr>
            <m:t>)</m:t>
          </m:r>
        </m:oMath>
      </m:oMathPara>
      <w:bookmarkEnd w:id="13"/>
    </w:p>
    <w:p>
      <w:pPr>
        <w:pStyle w:val="FirstParagraph"/>
      </w:pPr>
      <w:bookmarkStart w:id="14" w:name="eq-vpd"/>
      <m:oMathPara>
        <m:oMathParaPr>
          <m:jc m:val="center"/>
        </m:oMathParaPr>
        <m:oMath>
          <m:r>
            <m:t>V</m:t>
          </m:r>
          <m:r>
            <m:t>P</m:t>
          </m:r>
          <m:r>
            <m:t>D</m:t>
          </m:r>
          <m:r>
            <m:rPr>
              <m:sty m:val="p"/>
            </m:rPr>
            <m:t>=</m:t>
          </m:r>
          <m:sSub>
            <m:e>
              <m:r>
                <m:t>e</m:t>
              </m:r>
            </m:e>
            <m:sub>
              <m:r>
                <m:t>s</m:t>
              </m:r>
            </m:sub>
          </m:sSub>
          <m:r>
            <m:rPr>
              <m:sty m:val="p"/>
            </m:rPr>
            <m:t>(</m:t>
          </m:r>
          <m:r>
            <m:t>T</m:t>
          </m:r>
          <m:r>
            <m:rPr>
              <m:sty m:val="p"/>
            </m:rPr>
            <m:t>)</m:t>
          </m:r>
          <m:r>
            <m:rPr>
              <m:sty m:val="p"/>
            </m:rPr>
            <m:t>−</m:t>
          </m:r>
          <m:sSub>
            <m:e>
              <m:r>
                <m:t>e</m:t>
              </m:r>
            </m:e>
            <m:sub>
              <m:r>
                <m:t>a</m:t>
              </m:r>
            </m:sub>
          </m:sSub>
          <m:r>
            <m:rPr>
              <m:sty m:val="p"/>
            </m:rPr>
            <m:t>(</m:t>
          </m:r>
          <m:sSub>
            <m:e>
              <m:r>
                <m:t>T</m:t>
              </m:r>
            </m:e>
            <m:sub>
              <m:r>
                <m:rPr>
                  <m:nor/>
                  <m:sty m:val="p"/>
                </m:rPr>
                <m:t>dew</m:t>
              </m:r>
            </m:sub>
          </m:sSub>
          <m:r>
            <m:rPr>
              <m:sty m:val="p"/>
            </m:rPr>
            <m:t>)</m:t>
          </m:r>
          <m:r>
            <m:t> </m:t>
          </m:r>
          <m:r>
            <m:rPr>
              <m:sty m:val="p"/>
            </m:rPr>
            <m:t>[</m:t>
          </m:r>
          <m:r>
            <m:rPr>
              <m:nor/>
              <m:sty m:val="p"/>
            </m:rPr>
            <m:t>kPa</m:t>
          </m:r>
          <m:r>
            <m:rPr>
              <m:sty m:val="p"/>
            </m:rPr>
            <m:t>]</m:t>
          </m:r>
          <m:r>
            <m:t>  </m:t>
          </m:r>
          <m:r>
            <m:rPr>
              <m:sty m:val="p"/>
            </m:rPr>
            <m:t>(</m:t>
          </m:r>
          <m:r>
            <m:t>3</m:t>
          </m:r>
          <m:r>
            <m:rPr>
              <m:sty m:val="p"/>
            </m:rPr>
            <m:t>)</m:t>
          </m:r>
        </m:oMath>
      </m:oMathPara>
      <w:bookmarkEnd w:id="14"/>
    </w:p>
    <w:p>
      <w:pPr>
        <w:pStyle w:val="FirstParagraph"/>
      </w:pPr>
      <w:r>
        <w:t xml:space="preserve">donde</w:t>
      </w:r>
      <w:r>
        <w:t xml:space="preserve"> </w:t>
      </w:r>
      <m:oMath>
        <m:r>
          <m:t>T</m:t>
        </m:r>
      </m:oMath>
      <w:r>
        <w:t xml:space="preserve"> </w:t>
      </w:r>
      <w:r>
        <w:t xml:space="preserve">es la temperatura del aire a 2 metros y</w:t>
      </w:r>
      <w:r>
        <w:t xml:space="preserve"> </w:t>
      </w:r>
      <m:oMath>
        <m:sSub>
          <m:e>
            <m:r>
              <m:t>T</m:t>
            </m:r>
          </m:e>
          <m:sub>
            <m:r>
              <m:rPr>
                <m:nor/>
                <m:sty m:val="p"/>
              </m:rPr>
              <m:t>dew</m:t>
            </m:r>
          </m:sub>
        </m:sSub>
      </m:oMath>
      <w:r>
        <w:t xml:space="preserve"> </w:t>
      </w:r>
      <w:r>
        <w:t xml:space="preserve">es la temperatura del punto de rocío obtenida del reanálisis ERA5-Land</w:t>
      </w:r>
      <w:r>
        <w:t xml:space="preserve"> </w:t>
      </w:r>
      <w:r>
        <w:t xml:space="preserve">(Muñoz-Sabater et al., 2021)</w:t>
      </w:r>
      <w:r>
        <w:t xml:space="preserve">. Cuando</w:t>
      </w:r>
      <w:r>
        <w:t xml:space="preserve"> </w:t>
      </w:r>
      <m:oMath>
        <m:r>
          <m:t>V</m:t>
        </m:r>
        <m:r>
          <m:t>P</m:t>
        </m:r>
        <m:r>
          <m:t>D</m:t>
        </m:r>
        <m:r>
          <m:rPr>
            <m:sty m:val="p"/>
          </m:rPr>
          <m:t>&gt;</m:t>
        </m:r>
        <m:r>
          <m:t>2</m:t>
        </m:r>
        <m:r>
          <m:rPr>
            <m:sty m:val="p"/>
          </m:rPr>
          <m:t>,</m:t>
        </m:r>
        <m:r>
          <m:t>5</m:t>
        </m:r>
        <m:r>
          <m:rPr>
            <m:nor/>
            <m:sty m:val="p"/>
          </m:rPr>
          <m:t> kPa</m:t>
        </m:r>
      </m:oMath>
      <w:r>
        <w:t xml:space="preserve">, la atmósfera ejerce una succión osmótica sobre el material vegetal fino, reduciendo su contenido de humedad foliar por debajo del umbral de extinción biológica (</w:t>
      </w:r>
      <m:oMath>
        <m:r>
          <m:rPr>
            <m:sty m:val="p"/>
          </m:rPr>
          <m:t>∼</m:t>
        </m:r>
        <m:r>
          <m:t>12</m:t>
        </m:r>
        <m:r>
          <m:rPr>
            <m:nor/>
            <m:sty m:val="p"/>
          </m:rPr>
          <m:t> %</m:t>
        </m:r>
      </m:oMath>
      <w:r>
        <w:t xml:space="preserve">).</w:t>
      </w:r>
    </w:p>
    <w:bookmarkEnd w:id="15"/>
    <w:bookmarkStart w:id="17" w:name="Xeb0cfc40f35119651a5c021e00abb08dbbe6ae0"/>
    <w:p>
      <w:pPr>
        <w:pStyle w:val="Heading2"/>
      </w:pPr>
      <w:r>
        <w:t xml:space="preserve">2.2 2.2 Cribado Biofísico de Primera Etapa (</w:t>
      </w:r>
      <w:r>
        <w:rPr>
          <w:i/>
          <w:iCs/>
        </w:rPr>
        <w:t xml:space="preserve">Two-Stage Bio-physical Gating</w:t>
      </w:r>
      <w:r>
        <w:t xml:space="preserve">)</w:t>
      </w:r>
    </w:p>
    <w:p>
      <w:pPr>
        <w:pStyle w:val="FirstParagraph"/>
      </w:pPr>
      <w:r>
        <w:t xml:space="preserve">Sea</w:t>
      </w:r>
      <w:r>
        <w:t xml:space="preserve"> </w:t>
      </w:r>
      <m:oMath>
        <m:r>
          <m:rPr>
            <m:scr m:val="script"/>
            <m:sty m:val="p"/>
          </m:rPr>
          <m:t>S</m:t>
        </m:r>
        <m:r>
          <m:rPr>
            <m:sty m:val="p"/>
          </m:rPr>
          <m:t>=</m:t>
        </m:r>
        <m:r>
          <m:rPr>
            <m:sty m:val="p"/>
          </m:rPr>
          <m:t>{</m:t>
        </m:r>
        <m:sSub>
          <m:e>
            <m:r>
              <m:t>s</m:t>
            </m:r>
          </m:e>
          <m:sub>
            <m:r>
              <m:t>i</m:t>
            </m:r>
          </m:sub>
        </m:sSub>
        <m:sSubSup>
          <m:e>
            <m:r>
              <m:rPr>
                <m:sty m:val="p"/>
              </m:rPr>
              <m:t>}</m:t>
            </m:r>
          </m:e>
          <m:sub>
            <m:r>
              <m:t>i</m:t>
            </m:r>
            <m:r>
              <m:rPr>
                <m:sty m:val="p"/>
              </m:rPr>
              <m:t>=</m:t>
            </m:r>
            <m:r>
              <m:t>1</m:t>
            </m:r>
          </m:sub>
          <m:sup>
            <m:r>
              <m:t>N</m:t>
            </m:r>
          </m:sup>
        </m:sSubSup>
      </m:oMath>
      <w:r>
        <w:t xml:space="preserve"> </w:t>
      </w:r>
      <w:r>
        <w:t xml:space="preserve">el conjunto de</w:t>
      </w:r>
      <w:r>
        <w:t xml:space="preserve"> </w:t>
      </w:r>
      <m:oMath>
        <m:r>
          <m:t>N</m:t>
        </m:r>
        <m:r>
          <m:rPr>
            <m:sty m:val="p"/>
          </m:rPr>
          <m:t>=</m:t>
        </m:r>
        <m:r>
          <m:t>400.006</m:t>
        </m:r>
      </m:oMath>
      <w:r>
        <w:t xml:space="preserve"> </w:t>
      </w:r>
      <w:r>
        <w:t xml:space="preserve">celdas discretas de</w:t>
      </w:r>
      <w:r>
        <w:t xml:space="preserve"> </w:t>
      </w:r>
      <m:oMath>
        <m:r>
          <m:t>1</m:t>
        </m:r>
        <m:sSup>
          <m:e>
            <m:r>
              <m:rPr>
                <m:nor/>
                <m:sty m:val="p"/>
              </m:rPr>
              <m:t> km</m:t>
            </m:r>
          </m:e>
          <m:sup>
            <m:r>
              <m:t>2</m:t>
            </m:r>
          </m:sup>
        </m:sSup>
      </m:oMath>
      <w:r>
        <w:t xml:space="preserve"> </w:t>
      </w:r>
      <w:r>
        <w:t xml:space="preserve">que cubren el territorio paraguayo, y sea</w:t>
      </w:r>
      <w:r>
        <w:t xml:space="preserve"> </w:t>
      </w:r>
      <m:oMath>
        <m:r>
          <m:t>t</m:t>
        </m:r>
      </m:oMath>
      <w:r>
        <w:t xml:space="preserve"> </w:t>
      </w:r>
      <w:r>
        <w:t xml:space="preserve">un día civil. En lugar de evaluar un modelo probabilístico complejo sobre la totalidad del espacio cartesiano</w:t>
      </w:r>
      <w:r>
        <w:t xml:space="preserve"> </w:t>
      </w:r>
      <m:oMath>
        <m:r>
          <m:rPr>
            <m:scr m:val="script"/>
            <m:sty m:val="p"/>
          </m:rPr>
          <m:t>S</m:t>
        </m:r>
        <m:r>
          <m:rPr>
            <m:sty m:val="p"/>
          </m:rPr>
          <m:t>×</m:t>
        </m:r>
        <m:r>
          <m:rPr>
            <m:sty m:val="p"/>
          </m:rPr>
          <m:t>{</m:t>
        </m:r>
        <m:r>
          <m:t>t</m:t>
        </m:r>
        <m:r>
          <m:rPr>
            <m:sty m:val="p"/>
          </m:rPr>
          <m:t>}</m:t>
        </m:r>
      </m:oMath>
      <w:r>
        <w:t xml:space="preserve"> </w:t>
      </w:r>
      <w:r>
        <w:t xml:space="preserve">(</w:t>
      </w:r>
      <m:oMath>
        <m:r>
          <m:t>1.460</m:t>
        </m:r>
      </m:oMath>
      <w:r>
        <w:t xml:space="preserve"> </w:t>
      </w:r>
      <w:r>
        <w:t xml:space="preserve">millones de combinaciones en 10 años), implementamos una restricción cinemática inspirada en los principios de aprendizaje automático guiado por la física (</w:t>
      </w:r>
      <w:r>
        <w:rPr>
          <w:i/>
          <w:iCs/>
        </w:rPr>
        <w:t xml:space="preserve">Physics-Guided Machine Learning</w:t>
      </w:r>
      <w:r>
        <w:t xml:space="preserve">)</w:t>
      </w:r>
      <w:r>
        <w:t xml:space="preserve"> </w:t>
      </w:r>
      <w:r>
        <w:t xml:space="preserve">(Reichstein et al., 2019; Willard et al., 2022)</w:t>
      </w:r>
      <w:r>
        <w:t xml:space="preserve">. Definimos una función indicadora binaria de viabilidad biofísica</w:t>
      </w:r>
      <w:r>
        <w:t xml:space="preserve"> </w:t>
      </w:r>
      <m:oMath>
        <m:r>
          <m:rPr>
            <m:sty m:val="p"/>
          </m:rPr>
          <m:t>Γ</m:t>
        </m:r>
        <m:r>
          <m:rPr>
            <m:sty m:val="p"/>
          </m:rPr>
          <m:t>(</m:t>
        </m:r>
        <m:sSub>
          <m:e>
            <m:r>
              <m:t>s</m:t>
            </m:r>
          </m:e>
          <m:sub>
            <m:r>
              <m:t>i</m:t>
            </m:r>
          </m:sub>
        </m:sSub>
        <m:r>
          <m:rPr>
            <m:sty m:val="p"/>
          </m:rPr>
          <m:t>,</m:t>
        </m:r>
        <m:r>
          <m:t>t</m:t>
        </m:r>
        <m:r>
          <m:rPr>
            <m:sty m:val="p"/>
          </m:rPr>
          <m:t>)</m:t>
        </m:r>
        <m:r>
          <m:rPr>
            <m:sty m:val="p"/>
          </m:rPr>
          <m:t>∈</m:t>
        </m:r>
        <m:r>
          <m:rPr>
            <m:sty m:val="p"/>
          </m:rPr>
          <m:t>{</m:t>
        </m:r>
        <m:r>
          <m:t>0</m:t>
        </m:r>
        <m:r>
          <m:rPr>
            <m:sty m:val="p"/>
          </m:rPr>
          <m:t>,</m:t>
        </m:r>
        <m:r>
          <m:t>1</m:t>
        </m:r>
        <m:r>
          <m:rPr>
            <m:sty m:val="p"/>
          </m:rPr>
          <m:t>}</m:t>
        </m:r>
      </m:oMath>
      <w:r>
        <w:t xml:space="preserve">:</w:t>
      </w:r>
    </w:p>
    <w:p>
      <w:pPr>
        <w:pStyle w:val="BodyText"/>
      </w:pPr>
      <w:bookmarkStart w:id="16" w:name="eq-gating"/>
      <m:oMathPara>
        <m:oMathParaPr>
          <m:jc m:val="center"/>
        </m:oMathParaPr>
        <m:oMath>
          <m:r>
            <m:rPr>
              <m:sty m:val="p"/>
            </m:rPr>
            <m:t>Γ</m:t>
          </m:r>
          <m:r>
            <m:rPr>
              <m:sty m:val="p"/>
            </m:rPr>
            <m:t>(</m:t>
          </m:r>
          <m:sSub>
            <m:e>
              <m:r>
                <m:t>s</m:t>
              </m:r>
            </m:e>
            <m:sub>
              <m:r>
                <m:t>i</m:t>
              </m:r>
            </m:sub>
          </m:sSub>
          <m:r>
            <m:rPr>
              <m:sty m:val="p"/>
            </m:rPr>
            <m:t>,</m:t>
          </m:r>
          <m:r>
            <m:t>t</m:t>
          </m:r>
          <m:r>
            <m:rPr>
              <m:sty m:val="p"/>
            </m:rPr>
            <m:t>)</m:t>
          </m:r>
          <m:r>
            <m:rPr>
              <m:sty m:val="p"/>
            </m:rPr>
            <m:t>=</m:t>
          </m:r>
          <m:r>
            <m:rPr>
              <m:scr m:val="double-struck"/>
              <m:sty m:val="p"/>
            </m:rPr>
            <m:t>I</m:t>
          </m:r>
          <m:d>
            <m:dPr>
              <m:begChr m:val="("/>
              <m:sepChr m:val=""/>
              <m:endChr m:val=")"/>
              <m:grow/>
            </m:dPr>
            <m:e>
              <m:r>
                <m:rPr>
                  <m:nor/>
                  <m:sty m:val="p"/>
                </m:rPr>
                <m:t>Combustible</m:t>
              </m:r>
              <m:r>
                <m:rPr>
                  <m:sty m:val="p"/>
                </m:rPr>
                <m:t>(</m:t>
              </m:r>
              <m:sSub>
                <m:e>
                  <m:r>
                    <m:t>s</m:t>
                  </m:r>
                </m:e>
                <m:sub>
                  <m:r>
                    <m:t>i</m:t>
                  </m:r>
                </m:sub>
              </m:sSub>
              <m:r>
                <m:rPr>
                  <m:sty m:val="p"/>
                </m:rPr>
                <m:t>)</m:t>
              </m:r>
              <m:r>
                <m:rPr>
                  <m:sty m:val="p"/>
                </m:rPr>
                <m:t>=</m:t>
              </m:r>
              <m:r>
                <m:t>1</m:t>
              </m:r>
            </m:e>
          </m:d>
          <m:r>
            <m:rPr>
              <m:sty m:val="p"/>
            </m:rPr>
            <m:t>⋅</m:t>
          </m:r>
          <m:r>
            <m:rPr>
              <m:scr m:val="double-struck"/>
              <m:sty m:val="p"/>
            </m:rPr>
            <m:t>I</m:t>
          </m:r>
          <m:d>
            <m:dPr>
              <m:begChr m:val="("/>
              <m:sepChr m:val=""/>
              <m:endChr m:val=")"/>
              <m:grow/>
            </m:dPr>
            <m:e>
              <m:r>
                <m:t>V</m:t>
              </m:r>
              <m:r>
                <m:t>P</m:t>
              </m:r>
              <m:r>
                <m:t>D</m:t>
              </m:r>
              <m:r>
                <m:rPr>
                  <m:sty m:val="p"/>
                </m:rPr>
                <m:t>(</m:t>
              </m:r>
              <m:sSub>
                <m:e>
                  <m:r>
                    <m:t>s</m:t>
                  </m:r>
                </m:e>
                <m:sub>
                  <m:r>
                    <m:t>i</m:t>
                  </m:r>
                </m:sub>
              </m:sSub>
              <m:r>
                <m:rPr>
                  <m:sty m:val="p"/>
                </m:rPr>
                <m:t>,</m:t>
              </m:r>
              <m:r>
                <m:t>t</m:t>
              </m:r>
              <m:r>
                <m:rPr>
                  <m:sty m:val="p"/>
                </m:rPr>
                <m:t>)</m:t>
              </m:r>
              <m:r>
                <m:rPr>
                  <m:sty m:val="p"/>
                </m:rPr>
                <m:t>≥</m:t>
              </m:r>
              <m:r>
                <m:t>0</m:t>
              </m:r>
              <m:r>
                <m:rPr>
                  <m:sty m:val="p"/>
                </m:rPr>
                <m:t>,</m:t>
              </m:r>
              <m:r>
                <m:t>8</m:t>
              </m:r>
              <m:r>
                <m:rPr>
                  <m:nor/>
                  <m:sty m:val="p"/>
                </m:rPr>
                <m:t> kPa</m:t>
              </m:r>
            </m:e>
          </m:d>
          <m:r>
            <m:rPr>
              <m:sty m:val="p"/>
            </m:rPr>
            <m:t>⋅</m:t>
          </m:r>
          <m:r>
            <m:rPr>
              <m:scr m:val="double-struck"/>
              <m:sty m:val="p"/>
            </m:rPr>
            <m:t>I</m:t>
          </m:r>
          <m:d>
            <m:dPr>
              <m:begChr m:val="("/>
              <m:sepChr m:val=""/>
              <m:endChr m:val=")"/>
              <m:grow/>
            </m:dPr>
            <m:e>
              <m:sSub>
                <m:e>
                  <m:r>
                    <m:t>P</m:t>
                  </m:r>
                </m:e>
                <m:sub>
                  <m:r>
                    <m:t>48</m:t>
                  </m:r>
                  <m:r>
                    <m:t>h</m:t>
                  </m:r>
                </m:sub>
              </m:sSub>
              <m:r>
                <m:rPr>
                  <m:sty m:val="p"/>
                </m:rPr>
                <m:t>(</m:t>
              </m:r>
              <m:sSub>
                <m:e>
                  <m:r>
                    <m:t>s</m:t>
                  </m:r>
                </m:e>
                <m:sub>
                  <m:r>
                    <m:t>i</m:t>
                  </m:r>
                </m:sub>
              </m:sSub>
              <m:r>
                <m:rPr>
                  <m:sty m:val="p"/>
                </m:rPr>
                <m:t>,</m:t>
              </m:r>
              <m:r>
                <m:t>t</m:t>
              </m:r>
              <m:r>
                <m:rPr>
                  <m:sty m:val="p"/>
                </m:rPr>
                <m:t>)</m:t>
              </m:r>
              <m:r>
                <m:rPr>
                  <m:sty m:val="p"/>
                </m:rPr>
                <m:t>&lt;</m:t>
              </m:r>
              <m:r>
                <m:t>10</m:t>
              </m:r>
              <m:r>
                <m:rPr>
                  <m:sty m:val="p"/>
                </m:rPr>
                <m:t>,</m:t>
              </m:r>
              <m:r>
                <m:t>0</m:t>
              </m:r>
              <m:r>
                <m:rPr>
                  <m:nor/>
                  <m:sty m:val="p"/>
                </m:rPr>
                <m:t> mm</m:t>
              </m:r>
            </m:e>
          </m:d>
          <m:r>
            <m:t>  </m:t>
          </m:r>
          <m:r>
            <m:rPr>
              <m:sty m:val="p"/>
            </m:rPr>
            <m:t>(</m:t>
          </m:r>
          <m:r>
            <m:t>4</m:t>
          </m:r>
          <m:r>
            <m:rPr>
              <m:sty m:val="p"/>
            </m:rPr>
            <m:t>)</m:t>
          </m:r>
        </m:oMath>
      </m:oMathPara>
      <w:bookmarkEnd w:id="16"/>
    </w:p>
    <w:p>
      <w:pPr>
        <w:pStyle w:val="FirstParagraph"/>
      </w:pPr>
      <w:r>
        <w:t xml:space="preserve">donde</w:t>
      </w:r>
      <w:r>
        <w:t xml:space="preserve"> </w:t>
      </w:r>
      <m:oMath>
        <m:r>
          <m:rPr>
            <m:nor/>
            <m:sty m:val="p"/>
          </m:rPr>
          <m:t>Combustible</m:t>
        </m:r>
        <m:r>
          <m:rPr>
            <m:sty m:val="p"/>
          </m:rPr>
          <m:t>(</m:t>
        </m:r>
        <m:sSub>
          <m:e>
            <m:r>
              <m:t>s</m:t>
            </m:r>
          </m:e>
          <m:sub>
            <m:r>
              <m:t>i</m:t>
            </m:r>
          </m:sub>
        </m:sSub>
        <m:r>
          <m:rPr>
            <m:sty m:val="p"/>
          </m:rPr>
          <m:t>)</m:t>
        </m:r>
        <m:r>
          <m:rPr>
            <m:sty m:val="p"/>
          </m:rPr>
          <m:t>=</m:t>
        </m:r>
        <m:r>
          <m:t>0</m:t>
        </m:r>
      </m:oMath>
      <w:r>
        <w:t xml:space="preserve"> </w:t>
      </w:r>
      <w:r>
        <w:t xml:space="preserve">para cuerpos de agua, humedales permanentes y zonas urbanas impermeabilizadas según MapBiomas</w:t>
      </w:r>
      <w:r>
        <w:t xml:space="preserve"> </w:t>
      </w:r>
      <w:r>
        <w:t xml:space="preserve">(MapBiomas Chaco, 2023)</w:t>
      </w:r>
      <w:r>
        <w:t xml:space="preserve">, y</w:t>
      </w:r>
      <w:r>
        <w:t xml:space="preserve"> </w:t>
      </w:r>
      <m:oMath>
        <m:sSub>
          <m:e>
            <m:r>
              <m:t>P</m:t>
            </m:r>
          </m:e>
          <m:sub>
            <m:r>
              <m:t>48</m:t>
            </m:r>
            <m:r>
              <m:t>h</m:t>
            </m:r>
          </m:sub>
        </m:sSub>
      </m:oMath>
      <w:r>
        <w:t xml:space="preserve"> </w:t>
      </w:r>
      <w:r>
        <w:t xml:space="preserve">es la precipitación acumulada en las 48 horas previas. Si</w:t>
      </w:r>
      <w:r>
        <w:t xml:space="preserve"> </w:t>
      </w:r>
      <m:oMath>
        <m:r>
          <m:rPr>
            <m:sty m:val="p"/>
          </m:rPr>
          <m:t>Γ</m:t>
        </m:r>
        <m:r>
          <m:rPr>
            <m:sty m:val="p"/>
          </m:rPr>
          <m:t>(</m:t>
        </m:r>
        <m:sSub>
          <m:e>
            <m:r>
              <m:t>s</m:t>
            </m:r>
          </m:e>
          <m:sub>
            <m:r>
              <m:t>i</m:t>
            </m:r>
          </m:sub>
        </m:sSub>
        <m:r>
          <m:rPr>
            <m:sty m:val="p"/>
          </m:rPr>
          <m:t>,</m:t>
        </m:r>
        <m:r>
          <m:t>t</m:t>
        </m:r>
        <m:r>
          <m:rPr>
            <m:sty m:val="p"/>
          </m:rPr>
          <m:t>)</m:t>
        </m:r>
        <m:r>
          <m:rPr>
            <m:sty m:val="p"/>
          </m:rPr>
          <m:t>=</m:t>
        </m:r>
        <m:r>
          <m:t>0</m:t>
        </m:r>
      </m:oMath>
      <w:r>
        <w:t xml:space="preserve">, la probabilidad final de incendio se fija analíticamente en</w:t>
      </w:r>
      <w:r>
        <w:t xml:space="preserve"> </w:t>
      </w:r>
      <m:oMath>
        <m:r>
          <m:t>P</m:t>
        </m:r>
        <m:r>
          <m:rPr>
            <m:sty m:val="p"/>
          </m:rPr>
          <m:t>(</m:t>
        </m:r>
        <m:sSub>
          <m:e>
            <m:r>
              <m:t>Y</m:t>
            </m:r>
          </m:e>
          <m:sub>
            <m:r>
              <m:t>i</m:t>
            </m:r>
            <m:r>
              <m:rPr>
                <m:sty m:val="p"/>
              </m:rPr>
              <m:t>,</m:t>
            </m:r>
            <m:r>
              <m:t>t</m:t>
            </m:r>
          </m:sub>
        </m:sSub>
        <m:r>
          <m:rPr>
            <m:sty m:val="p"/>
          </m:rPr>
          <m:t>=</m:t>
        </m:r>
        <m:r>
          <m:t>1</m:t>
        </m:r>
        <m:r>
          <m:rPr>
            <m:sty m:val="p"/>
          </m:rPr>
          <m:t>)</m:t>
        </m:r>
        <m:r>
          <m:rPr>
            <m:sty m:val="p"/>
          </m:rPr>
          <m:t>≡</m:t>
        </m:r>
        <m:r>
          <m:t>0</m:t>
        </m:r>
      </m:oMath>
      <w:r>
        <w:t xml:space="preserve">, reduciendo el espacio de búsqueda activo en un 92 % sin omitir detecciones térmicas reales.</w:t>
      </w:r>
    </w:p>
    <w:bookmarkEnd w:id="17"/>
    <w:bookmarkStart w:id="22" w:name="X1008ec2e922ee129c3a10de223a4cfcbaf6b27a"/>
    <w:p>
      <w:pPr>
        <w:pStyle w:val="Heading2"/>
      </w:pPr>
      <w:r>
        <w:t xml:space="preserve">2.3 2.3 Formulación del Desacoplamiento Dual: Ignición vs. Propagación</w:t>
      </w:r>
    </w:p>
    <w:p>
      <w:pPr>
        <w:pStyle w:val="FirstParagraph"/>
      </w:pPr>
      <w:r>
        <w:t xml:space="preserve">Definimos dos espacios de variables diferenciados para evitar la contaminación de atajos espaciales (</w:t>
      </w:r>
      <w:hyperlink w:anchor="fig-arquitectura">
        <w:r>
          <w:rPr>
            <w:rStyle w:val="Hyperlink"/>
          </w:rPr>
          <w:t xml:space="preserve">Figura 1</w:t>
        </w:r>
      </w:hyperlink>
      <w:r>
        <w:t xml:space="preserve">):</w:t>
      </w:r>
    </w:p>
    <w:p>
      <w:pPr>
        <w:pStyle w:val="Compact"/>
        <w:numPr>
          <w:ilvl w:val="0"/>
          <w:numId w:val="1003"/>
        </w:numPr>
      </w:pPr>
      <w:r>
        <w:rPr>
          <w:b/>
          <w:bCs/>
        </w:rPr>
        <w:t xml:space="preserve">Espacio de Ignición Primaria (</w:t>
      </w:r>
      <m:oMath>
        <m:sSub>
          <m:e>
            <m:r>
              <m:rPr>
                <m:scr m:val="script"/>
                <m:sty m:val="p"/>
              </m:rPr>
              <m:t>X</m:t>
            </m:r>
          </m:e>
          <m:sub>
            <m:r>
              <m:rPr>
                <m:nor/>
                <m:sty m:val="p"/>
              </m:rPr>
              <m:t>ignición</m:t>
            </m:r>
          </m:sub>
        </m:sSub>
      </m:oMath>
      <w:r>
        <w:rPr>
          <w:b/>
          <w:bCs/>
        </w:rPr>
        <w:t xml:space="preserve">):</w:t>
      </w:r>
      <w:r>
        <w:br/>
      </w:r>
      <w:r>
        <w:t xml:space="preserve">Contiene 22 variables biofísicas puras: temperatura máxima,</w:t>
      </w:r>
      <w:r>
        <w:t xml:space="preserve"> </w:t>
      </w:r>
      <m:oMath>
        <m:r>
          <m:t>V</m:t>
        </m:r>
        <m:r>
          <m:t>P</m:t>
        </m:r>
        <m:r>
          <m:t>D</m:t>
        </m:r>
      </m:oMath>
      <w:r>
        <w:t xml:space="preserve">, velocidad de viento sostenida y ráfagas, días secos consecutivos (</w:t>
      </w:r>
      <m:oMath>
        <m:r>
          <m:t>C</m:t>
        </m:r>
        <m:r>
          <m:t>D</m:t>
        </m:r>
        <m:r>
          <m:t>D</m:t>
        </m:r>
      </m:oMath>
      <w:r>
        <w:t xml:space="preserve">), índices de balance hídrico foliar (</w:t>
      </w:r>
      <m:oMath>
        <m:r>
          <m:t>F</m:t>
        </m:r>
        <m:r>
          <m:t>F</m:t>
        </m:r>
        <m:r>
          <m:t>M</m:t>
        </m:r>
        <m:r>
          <m:t>C</m:t>
        </m:r>
      </m:oMath>
      <w:r>
        <w:t xml:space="preserve">,</w:t>
      </w:r>
      <w:r>
        <w:t xml:space="preserve"> </w:t>
      </w:r>
      <m:oMath>
        <m:r>
          <m:t>I</m:t>
        </m:r>
        <m:r>
          <m:t>S</m:t>
        </m:r>
        <m:r>
          <m:t>I</m:t>
        </m:r>
      </m:oMath>
      <w:r>
        <w:t xml:space="preserve">), amplitud térmica diaria (</w:t>
      </w:r>
      <m:oMath>
        <m:sSub>
          <m:e>
            <m:r>
              <m:t>T</m:t>
            </m:r>
          </m:e>
          <m:sub>
            <m:r>
              <m:rPr>
                <m:nor/>
                <m:sty m:val="p"/>
              </m:rPr>
              <m:t>max</m:t>
            </m:r>
          </m:sub>
        </m:sSub>
        <m:r>
          <m:rPr>
            <m:sty m:val="p"/>
          </m:rPr>
          <m:t>−</m:t>
        </m:r>
        <m:sSub>
          <m:e>
            <m:r>
              <m:t>T</m:t>
            </m:r>
          </m:e>
          <m:sub>
            <m:r>
              <m:rPr>
                <m:nor/>
                <m:sty m:val="p"/>
              </m:rPr>
              <m:t>min</m:t>
            </m:r>
          </m:sub>
        </m:sSub>
      </m:oMath>
      <w:r>
        <w:t xml:space="preserve">), proporciones de cobertura vegetal MapBiomas e índice de ecotono perimetral.</w:t>
      </w:r>
      <w:r>
        <w:t xml:space="preserve"> </w:t>
      </w:r>
      <w:r>
        <w:rPr>
          <w:b/>
          <w:bCs/>
        </w:rPr>
        <w:t xml:space="preserve">No incluye ninguna variable dependiente de incendios observados en</w:t>
      </w:r>
      <w:r>
        <w:rPr>
          <w:b/>
          <w:bCs/>
        </w:rPr>
        <w:t xml:space="preserve"> </w:t>
      </w:r>
      <m:oMath>
        <m:r>
          <m:t>t</m:t>
        </m:r>
        <m:r>
          <m:rPr>
            <m:sty m:val="p"/>
          </m:rPr>
          <m:t>−</m:t>
        </m:r>
        <m:r>
          <m:t>1</m:t>
        </m:r>
      </m:oMath>
      <w:r>
        <w:rPr>
          <w:b/>
          <w:bCs/>
        </w:rPr>
        <w:t xml:space="preserve">.</w:t>
      </w:r>
    </w:p>
    <w:p>
      <w:pPr>
        <w:pStyle w:val="Compact"/>
        <w:numPr>
          <w:ilvl w:val="0"/>
          <w:numId w:val="1003"/>
        </w:numPr>
      </w:pPr>
      <w:r>
        <w:rPr>
          <w:b/>
          <w:bCs/>
        </w:rPr>
        <w:t xml:space="preserve">Espacio de Propagación Táctica (</w:t>
      </w:r>
      <m:oMath>
        <m:sSub>
          <m:e>
            <m:r>
              <m:rPr>
                <m:scr m:val="script"/>
                <m:sty m:val="p"/>
              </m:rPr>
              <m:t>X</m:t>
            </m:r>
          </m:e>
          <m:sub>
            <m:r>
              <m:rPr>
                <m:nor/>
                <m:sty m:val="p"/>
              </m:rPr>
              <m:t>propagación</m:t>
            </m:r>
          </m:sub>
        </m:sSub>
      </m:oMath>
      <w:r>
        <w:rPr>
          <w:b/>
          <w:bCs/>
        </w:rPr>
        <w:t xml:space="preserve">):</w:t>
      </w:r>
      <w:r>
        <w:br/>
      </w:r>
      <w:r>
        <w:t xml:space="preserve">Agrega a</w:t>
      </w:r>
      <w:r>
        <w:t xml:space="preserve"> </w:t>
      </w:r>
      <m:oMath>
        <m:sSub>
          <m:e>
            <m:r>
              <m:rPr>
                <m:scr m:val="script"/>
                <m:sty m:val="p"/>
              </m:rPr>
              <m:t>X</m:t>
            </m:r>
          </m:e>
          <m:sub>
            <m:r>
              <m:rPr>
                <m:nor/>
                <m:sty m:val="p"/>
              </m:rPr>
              <m:t>ignición</m:t>
            </m:r>
          </m:sub>
        </m:sSub>
      </m:oMath>
      <w:r>
        <w:t xml:space="preserve"> </w:t>
      </w:r>
      <w:r>
        <w:t xml:space="preserve">el kernel de proximidad espacial al frente de fuego activo más cercano en</w:t>
      </w:r>
      <w:r>
        <w:t xml:space="preserve"> </w:t>
      </w:r>
      <m:oMath>
        <m:r>
          <m:t>t</m:t>
        </m:r>
        <m:r>
          <m:rPr>
            <m:sty m:val="p"/>
          </m:rPr>
          <m:t>−</m:t>
        </m:r>
        <m:r>
          <m:t>1</m:t>
        </m:r>
      </m:oMath>
      <w:r>
        <w:t xml:space="preserve"> </w:t>
      </w:r>
      <w:r>
        <w:t xml:space="preserve">(</w:t>
      </w:r>
      <m:oMath>
        <m:r>
          <m:rPr>
            <m:nor/>
            <m:sty m:val="p"/>
          </m:rPr>
          <m:t>dist_foco_t1_km</m:t>
        </m:r>
      </m:oMath>
      <w:r>
        <w:t xml:space="preserve">), la densidad local de focos térmicos en un radio de 25 km (</w:t>
      </w:r>
      <m:oMath>
        <m:r>
          <m:rPr>
            <m:nor/>
            <m:sty m:val="p"/>
          </m:rPr>
          <m:t>focos_25km_t1</m:t>
        </m:r>
      </m:oMath>
      <w:r>
        <w:t xml:space="preserve">) y la potencia radiativa del fuego acumulada (</w:t>
      </w:r>
      <m:oMath>
        <m:r>
          <m:rPr>
            <m:nor/>
            <m:sty m:val="p"/>
          </m:rPr>
          <m:t>frp_25km_t1</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fig-arquitectura"/>
          <w:p>
            <w:pPr>
              <w:pStyle w:val="Compact"/>
              <w:jc w:val="center"/>
            </w:pPr>
            <w:r>
              <w:drawing>
                <wp:inline>
                  <wp:extent cx="5334000" cy="2335306"/>
                  <wp:effectExtent b="0" l="0" r="0" t="0"/>
                  <wp:docPr descr="" title="" id="19" name="Picture"/>
                  <a:graphic>
                    <a:graphicData uri="http://schemas.openxmlformats.org/drawingml/2006/picture">
                      <pic:pic>
                        <pic:nvPicPr>
                          <pic:cNvPr descr="figuras/fig01_arquitectura_impacto_nature.png" id="20" name="Picture"/>
                          <pic:cNvPicPr>
                            <a:picLocks noChangeArrowheads="1" noChangeAspect="1"/>
                          </pic:cNvPicPr>
                        </pic:nvPicPr>
                        <pic:blipFill>
                          <a:blip r:embed="rId18"/>
                          <a:stretch>
                            <a:fillRect/>
                          </a:stretch>
                        </pic:blipFill>
                        <pic:spPr bwMode="auto">
                          <a:xfrm>
                            <a:off x="0" y="0"/>
                            <a:ext cx="5334000" cy="2335306"/>
                          </a:xfrm>
                          <a:prstGeom prst="rect">
                            <a:avLst/>
                          </a:prstGeom>
                          <a:noFill/>
                          <a:ln w="9525">
                            <a:noFill/>
                            <a:headEnd/>
                            <a:tailEnd/>
                          </a:ln>
                        </pic:spPr>
                      </pic:pic>
                    </a:graphicData>
                  </a:graphic>
                </wp:inline>
              </w:drawing>
            </w:r>
          </w:p>
          <w:p>
            <w:pPr>
              <w:jc w:val="center"/>
            </w:pPr>
            <w:pPr>
              <w:jc w:val="left"/>
              <w:spacing w:before="200"/>
              <w:pStyle w:val="ImageCaption"/>
            </w:pPr>
            <w:r>
              <w:t xml:space="preserve">Figura 1: Arquitectura computacional desacoplada de</w:t>
            </w:r>
            <w:r>
              <w:t xml:space="preserve"> </w:t>
            </w:r>
            <w:r>
              <w:rPr>
                <w:rStyle w:val="VerbatimChar"/>
              </w:rPr>
              <w:t xml:space="preserve">Incendios_PY</w:t>
            </w:r>
            <w:r>
              <w:t xml:space="preserve">: Ingesta biofísica multifuente, cribado cinemático de Etapa 1, modelado dual GeoAI (Modo 1 Ignición Física vs. Modo 2 Propagación Táctica) y benchmarking internacional frente a Canadian FWI y Proxy INPE.</w:t>
            </w:r>
          </w:p>
          <w:bookmarkEnd w:id="21"/>
        </w:tc>
      </w:tr>
    </w:tbl>
    <w:bookmarkEnd w:id="22"/>
    <w:bookmarkStart w:id="27" w:name="X214a4fa7c1aeb367c09b5398c8357d829c264ae"/>
    <w:p>
      <w:pPr>
        <w:pStyle w:val="Heading2"/>
      </w:pPr>
      <w:r>
        <w:t xml:space="preserve">2.4 2.4 Kernel de Contagio Espaciotemporal Causal</w:t>
      </w:r>
      <w:r>
        <w:t xml:space="preserve"> </w:t>
      </w:r>
      <m:oMath>
        <m:r>
          <m:t>t</m:t>
        </m:r>
        <m:r>
          <m:rPr>
            <m:sty m:val="p"/>
          </m:rPr>
          <m:t>−</m:t>
        </m:r>
        <m:r>
          <m:t>1</m:t>
        </m:r>
      </m:oMath>
    </w:p>
    <w:p>
      <w:pPr>
        <w:pStyle w:val="FirstParagraph"/>
      </w:pPr>
      <w:r>
        <w:t xml:space="preserve">Para la propagación táctica, el avance de un incendio desde una celda activa</w:t>
      </w:r>
      <w:r>
        <w:t xml:space="preserve"> </w:t>
      </w:r>
      <m:oMath>
        <m:r>
          <m:t>k</m:t>
        </m:r>
      </m:oMath>
      <w:r>
        <w:t xml:space="preserve"> </w:t>
      </w:r>
      <w:r>
        <w:t xml:space="preserve">hacia la celda candidata</w:t>
      </w:r>
      <w:r>
        <w:t xml:space="preserve"> </w:t>
      </w:r>
      <m:oMath>
        <m:r>
          <m:t>i</m:t>
        </m:r>
      </m:oMath>
      <w:r>
        <w:t xml:space="preserve"> </w:t>
      </w:r>
      <w:r>
        <w:t xml:space="preserve">se parametriza mediante una distancia euclidiana proyectada UTM (Zona 21S, WGS 84, EPSG:32721):</w:t>
      </w:r>
    </w:p>
    <w:p>
      <w:pPr>
        <w:pStyle w:val="BodyText"/>
      </w:pPr>
      <w:bookmarkStart w:id="23" w:name="eq-dist"/>
      <m:oMathPara>
        <m:oMathParaPr>
          <m:jc m:val="center"/>
        </m:oMathParaPr>
        <m:oMath>
          <m:r>
            <m:t>d</m:t>
          </m:r>
          <m:r>
            <m:rPr>
              <m:sty m:val="p"/>
            </m:rPr>
            <m:t>(</m:t>
          </m:r>
          <m:sSub>
            <m:e>
              <m:r>
                <m:t>s</m:t>
              </m:r>
            </m:e>
            <m:sub>
              <m:r>
                <m:t>i</m:t>
              </m:r>
            </m:sub>
          </m:sSub>
          <m:r>
            <m:rPr>
              <m:sty m:val="p"/>
            </m:rPr>
            <m:t>,</m:t>
          </m:r>
          <m:sSub>
            <m:e>
              <m:r>
                <m:rPr>
                  <m:scr m:val="script"/>
                  <m:sty m:val="p"/>
                </m:rPr>
                <m:t>F</m:t>
              </m:r>
            </m:e>
            <m:sub>
              <m:r>
                <m:t>t</m:t>
              </m:r>
              <m:r>
                <m:rPr>
                  <m:sty m:val="p"/>
                </m:rPr>
                <m:t>−</m:t>
              </m:r>
              <m:r>
                <m:t>1</m:t>
              </m:r>
            </m:sub>
          </m:sSub>
          <m:r>
            <m:rPr>
              <m:sty m:val="p"/>
            </m:rPr>
            <m:t>)</m:t>
          </m:r>
          <m:r>
            <m:rPr>
              <m:sty m:val="p"/>
            </m:rPr>
            <m:t>=</m:t>
          </m:r>
          <m:limLow>
            <m:e>
              <m:r>
                <m:rPr>
                  <m:sty m:val="p"/>
                </m:rPr>
                <m:t>min</m:t>
              </m:r>
            </m:e>
            <m:lim>
              <m:sSub>
                <m:e>
                  <m:r>
                    <m:t>s</m:t>
                  </m:r>
                </m:e>
                <m:sub>
                  <m:r>
                    <m:t>k</m:t>
                  </m:r>
                </m:sub>
              </m:sSub>
              <m:r>
                <m:rPr>
                  <m:sty m:val="p"/>
                </m:rPr>
                <m:t>∈</m:t>
              </m:r>
              <m:sSub>
                <m:e>
                  <m:r>
                    <m:rPr>
                      <m:scr m:val="script"/>
                      <m:sty m:val="p"/>
                    </m:rPr>
                    <m:t>F</m:t>
                  </m:r>
                </m:e>
                <m:sub>
                  <m:r>
                    <m:t>t</m:t>
                  </m:r>
                  <m:r>
                    <m:rPr>
                      <m:sty m:val="p"/>
                    </m:rPr>
                    <m:t>−</m:t>
                  </m:r>
                  <m:r>
                    <m:t>1</m:t>
                  </m:r>
                </m:sub>
              </m:sSub>
            </m:lim>
          </m:limLow>
          <m:rad>
            <m:radPr>
              <m:degHide m:val="on"/>
            </m:radPr>
            <m:deg/>
            <m:e>
              <m:r>
                <m:rPr>
                  <m:sty m:val="p"/>
                </m:rPr>
                <m:t>(</m:t>
              </m:r>
              <m:sSub>
                <m:e>
                  <m:r>
                    <m:t>x</m:t>
                  </m:r>
                </m:e>
                <m:sub>
                  <m:r>
                    <m:t>i</m:t>
                  </m:r>
                </m:sub>
              </m:sSub>
              <m:r>
                <m:rPr>
                  <m:sty m:val="p"/>
                </m:rPr>
                <m:t>−</m:t>
              </m:r>
              <m:sSub>
                <m:e>
                  <m:r>
                    <m:t>x</m:t>
                  </m:r>
                </m:e>
                <m:sub>
                  <m:r>
                    <m:t>k</m:t>
                  </m:r>
                </m:sub>
              </m:sSub>
              <m:sSup>
                <m:e>
                  <m:r>
                    <m:rPr>
                      <m:sty m:val="p"/>
                    </m:rPr>
                    <m:t>)</m:t>
                  </m:r>
                </m:e>
                <m:sup>
                  <m:r>
                    <m:t>2</m:t>
                  </m:r>
                </m:sup>
              </m:sSup>
              <m:r>
                <m:rPr>
                  <m:sty m:val="p"/>
                </m:rPr>
                <m:t>+</m:t>
              </m:r>
              <m:r>
                <m:rPr>
                  <m:sty m:val="p"/>
                </m:rPr>
                <m:t>(</m:t>
              </m:r>
              <m:sSub>
                <m:e>
                  <m:r>
                    <m:t>y</m:t>
                  </m:r>
                </m:e>
                <m:sub>
                  <m:r>
                    <m:t>i</m:t>
                  </m:r>
                </m:sub>
              </m:sSub>
              <m:r>
                <m:rPr>
                  <m:sty m:val="p"/>
                </m:rPr>
                <m:t>−</m:t>
              </m:r>
              <m:sSub>
                <m:e>
                  <m:r>
                    <m:t>y</m:t>
                  </m:r>
                </m:e>
                <m:sub>
                  <m:r>
                    <m:t>k</m:t>
                  </m:r>
                </m:sub>
              </m:sSub>
              <m:sSup>
                <m:e>
                  <m:r>
                    <m:rPr>
                      <m:sty m:val="p"/>
                    </m:rPr>
                    <m:t>)</m:t>
                  </m:r>
                </m:e>
                <m:sup>
                  <m:r>
                    <m:t>2</m:t>
                  </m:r>
                </m:sup>
              </m:sSup>
            </m:e>
          </m:rad>
          <m:r>
            <m:t> </m:t>
          </m:r>
          <m:r>
            <m:rPr>
              <m:sty m:val="p"/>
            </m:rPr>
            <m:t>[</m:t>
          </m:r>
          <m:r>
            <m:rPr>
              <m:nor/>
              <m:sty m:val="p"/>
            </m:rPr>
            <m:t>km</m:t>
          </m:r>
          <m:r>
            <m:rPr>
              <m:sty m:val="p"/>
            </m:rPr>
            <m:t>]</m:t>
          </m:r>
          <m:r>
            <m:t>  </m:t>
          </m:r>
          <m:r>
            <m:rPr>
              <m:sty m:val="p"/>
            </m:rPr>
            <m:t>(</m:t>
          </m:r>
          <m:r>
            <m:t>5</m:t>
          </m:r>
          <m:r>
            <m:rPr>
              <m:sty m:val="p"/>
            </m:rPr>
            <m:t>)</m:t>
          </m:r>
        </m:oMath>
      </m:oMathPara>
      <w:bookmarkEnd w:id="23"/>
    </w:p>
    <w:p>
      <w:pPr>
        <w:pStyle w:val="FirstParagraph"/>
      </w:pPr>
      <w:r>
        <w:t xml:space="preserve">donde</w:t>
      </w:r>
      <w:r>
        <w:t xml:space="preserve"> </w:t>
      </w:r>
      <m:oMath>
        <m:sSub>
          <m:e>
            <m:r>
              <m:rPr>
                <m:scr m:val="script"/>
                <m:sty m:val="p"/>
              </m:rPr>
              <m:t>F</m:t>
            </m:r>
          </m:e>
          <m:sub>
            <m:r>
              <m:t>t</m:t>
            </m:r>
            <m:r>
              <m:rPr>
                <m:sty m:val="p"/>
              </m:rPr>
              <m:t>−</m:t>
            </m:r>
            <m:r>
              <m:t>1</m:t>
            </m:r>
          </m:sub>
        </m:sSub>
      </m:oMath>
      <w:r>
        <w:t xml:space="preserve"> </w:t>
      </w:r>
      <w:r>
        <w:t xml:space="preserve">es el conjunto de celdas con detección térmica satelital validada en la fecha</w:t>
      </w:r>
      <w:r>
        <w:t xml:space="preserve"> </w:t>
      </w:r>
      <m:oMath>
        <m:r>
          <m:t>t</m:t>
        </m:r>
        <m:r>
          <m:rPr>
            <m:sty m:val="p"/>
          </m:rPr>
          <m:t>−</m:t>
        </m:r>
        <m:r>
          <m:t>1</m:t>
        </m:r>
      </m:oMath>
      <w:r>
        <w:t xml:space="preserve">. La densidad local y la energía térmica antecedente se cuantifican mediante convolución gaussiana acotada en ventana de</w:t>
      </w:r>
      <w:r>
        <w:t xml:space="preserve"> </w:t>
      </w:r>
      <m:oMath>
        <m:r>
          <m:t>R</m:t>
        </m:r>
        <m:r>
          <m:rPr>
            <m:sty m:val="p"/>
          </m:rPr>
          <m:t>=</m:t>
        </m:r>
        <m:r>
          <m:t>25</m:t>
        </m:r>
        <m:r>
          <m:rPr>
            <m:nor/>
            <m:sty m:val="p"/>
          </m:rPr>
          <m:t> km</m:t>
        </m:r>
      </m:oMath>
      <w:r>
        <w:t xml:space="preserve">:</w:t>
      </w:r>
    </w:p>
    <w:p>
      <w:pPr>
        <w:pStyle w:val="BodyText"/>
      </w:pPr>
      <w:bookmarkStart w:id="24" w:name="eq-dens"/>
      <m:oMathPara>
        <m:oMathParaPr>
          <m:jc m:val="center"/>
        </m:oMathParaPr>
        <m:oMath>
          <m:r>
            <m:rPr>
              <m:nor/>
              <m:sty m:val="p"/>
            </m:rPr>
            <m:t>focos_25km_t1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rPr>
                  <m:scr m:val="double-struck"/>
                  <m:sty m:val="p"/>
                </m:rPr>
                <m:t>I</m:t>
              </m:r>
            </m:e>
          </m:nary>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t>6</m:t>
          </m:r>
          <m:r>
            <m:rPr>
              <m:sty m:val="p"/>
            </m:rPr>
            <m:t>)</m:t>
          </m:r>
        </m:oMath>
      </m:oMathPara>
      <w:bookmarkEnd w:id="24"/>
    </w:p>
    <w:p>
      <w:pPr>
        <w:pStyle w:val="FirstParagraph"/>
      </w:pPr>
      <w:bookmarkStart w:id="25" w:name="eq-frp"/>
      <m:oMathPara>
        <m:oMathParaPr>
          <m:jc m:val="center"/>
        </m:oMathParaPr>
        <m:oMath>
          <m:r>
            <m:rPr>
              <m:nor/>
              <m:sty m:val="p"/>
            </m:rPr>
            <m:t>frp_25km_t1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t>F</m:t>
              </m:r>
            </m:e>
          </m:nary>
          <m:r>
            <m:t>R</m:t>
          </m:r>
          <m:sSub>
            <m:e>
              <m:r>
                <m:t>P</m:t>
              </m:r>
            </m:e>
            <m:sub>
              <m:r>
                <m:t>k</m:t>
              </m:r>
            </m:sub>
          </m:sSub>
          <m:r>
            <m:rPr>
              <m:sty m:val="p"/>
            </m:rPr>
            <m:t>⋅</m:t>
          </m:r>
          <m:r>
            <m:rPr>
              <m:scr m:val="double-struck"/>
              <m:sty m:val="p"/>
            </m:rPr>
            <m:t>I</m:t>
          </m:r>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rPr>
              <m:nor/>
              <m:sty m:val="p"/>
            </m:rPr>
            <m:t>MW</m:t>
          </m:r>
          <m:r>
            <m:rPr>
              <m:sty m:val="p"/>
            </m:rPr>
            <m:t>]</m:t>
          </m:r>
          <m:r>
            <m:t>  </m:t>
          </m:r>
          <m:r>
            <m:rPr>
              <m:sty m:val="p"/>
            </m:rPr>
            <m:t>(</m:t>
          </m:r>
          <m:r>
            <m:t>7</m:t>
          </m:r>
          <m:r>
            <m:rPr>
              <m:sty m:val="p"/>
            </m:rPr>
            <m:t>)</m:t>
          </m:r>
        </m:oMath>
      </m:oMathPara>
      <w:bookmarkEnd w:id="25"/>
    </w:p>
    <w:p>
      <w:pPr>
        <w:pStyle w:val="FirstParagraph"/>
      </w:pPr>
      <w:r>
        <w:t xml:space="preserve">donde la potencia radiativa del fuego (</w:t>
      </w:r>
      <m:oMath>
        <m:r>
          <m:t>F</m:t>
        </m:r>
        <m:r>
          <m:t>R</m:t>
        </m:r>
        <m:r>
          <m:t>P</m:t>
        </m:r>
      </m:oMath>
      <w:r>
        <w:t xml:space="preserve">) cuantifica la tasa instantánea de energía liberada por la biomasa en combustión</w:t>
      </w:r>
      <w:r>
        <w:t xml:space="preserve"> </w:t>
      </w:r>
      <w:r>
        <w:t xml:space="preserve">(Wooster et al., 2005)</w:t>
      </w:r>
      <w:r>
        <w:t xml:space="preserve">. Adicionalmente, formalizamos el</w:t>
      </w:r>
      <w:r>
        <w:t xml:space="preserve"> </w:t>
      </w:r>
      <w:r>
        <w:rPr>
          <w:b/>
          <w:bCs/>
        </w:rPr>
        <w:t xml:space="preserve">Índice de Ecotono</w:t>
      </w:r>
      <w:r>
        <w:t xml:space="preserve"> </w:t>
      </w:r>
      <w:r>
        <w:t xml:space="preserve">(</w:t>
      </w:r>
      <m:oMath>
        <m:sSub>
          <m:e>
            <m:r>
              <m:rPr>
                <m:scr m:val="script"/>
                <m:sty m:val="p"/>
              </m:rPr>
              <m:t>E</m:t>
            </m:r>
          </m:e>
          <m:sub>
            <m:r>
              <m:t>i</m:t>
            </m:r>
          </m:sub>
        </m:sSub>
      </m:oMath>
      <w:r>
        <w:t xml:space="preserve">) como la interacción parabólica de borde entre la fracción de cobertura boscosa y pasturas dentro de la misma celda de 1 km²:</w:t>
      </w:r>
    </w:p>
    <w:p>
      <w:pPr>
        <w:pStyle w:val="BodyText"/>
      </w:pPr>
      <w:bookmarkStart w:id="26" w:name="eq-ecotono"/>
      <m:oMathPara>
        <m:oMathParaPr>
          <m:jc m:val="center"/>
        </m:oMathParaPr>
        <m:oMath>
          <m:sSub>
            <m:e>
              <m:r>
                <m:rPr>
                  <m:scr m:val="script"/>
                  <m:sty m:val="p"/>
                </m:rPr>
                <m:t>E</m:t>
              </m:r>
            </m:e>
            <m:sub>
              <m:r>
                <m:t>i</m:t>
              </m:r>
            </m:sub>
          </m:sSub>
          <m:r>
            <m:rPr>
              <m:sty m:val="p"/>
            </m:rPr>
            <m:t>=</m:t>
          </m:r>
          <m:r>
            <m:t>4</m:t>
          </m:r>
          <m:r>
            <m:rPr>
              <m:sty m:val="p"/>
            </m:rPr>
            <m:t>,</m:t>
          </m:r>
          <m:r>
            <m:t>0</m:t>
          </m:r>
          <m:r>
            <m:rPr>
              <m:sty m:val="p"/>
            </m:rPr>
            <m:t>⋅</m:t>
          </m:r>
          <m:sSub>
            <m:e>
              <m:r>
                <m:t>p</m:t>
              </m:r>
            </m:e>
            <m:sub>
              <m:r>
                <m:rPr>
                  <m:nor/>
                  <m:sty m:val="p"/>
                </m:rPr>
                <m:t>bosque</m:t>
              </m:r>
              <m:r>
                <m:rPr>
                  <m:sty m:val="p"/>
                </m:rPr>
                <m:t>,</m:t>
              </m:r>
              <m:r>
                <m:t>i</m:t>
              </m:r>
            </m:sub>
          </m:sSub>
          <m:r>
            <m:rPr>
              <m:sty m:val="p"/>
            </m:rPr>
            <m:t>⋅</m:t>
          </m:r>
          <m:sSub>
            <m:e>
              <m:r>
                <m:t>p</m:t>
              </m:r>
            </m:e>
            <m:sub>
              <m:r>
                <m:rPr>
                  <m:nor/>
                  <m:sty m:val="p"/>
                </m:rPr>
                <m:t>pastura</m:t>
              </m:r>
              <m:r>
                <m:rPr>
                  <m:sty m:val="p"/>
                </m:rPr>
                <m:t>,</m:t>
              </m:r>
              <m:r>
                <m:t>i</m:t>
              </m:r>
            </m:sub>
          </m:sSub>
          <m:r>
            <m:rPr>
              <m:sty m:val="p"/>
            </m:rPr>
            <m:t>∈</m:t>
          </m:r>
          <m:r>
            <m:rPr>
              <m:sty m:val="p"/>
            </m:rPr>
            <m:t>[</m:t>
          </m:r>
          <m:r>
            <m:t>0</m:t>
          </m:r>
          <m:r>
            <m:rPr>
              <m:sty m:val="p"/>
            </m:rPr>
            <m:t>,</m:t>
          </m:r>
          <m:r>
            <m:t>1</m:t>
          </m:r>
          <m:r>
            <m:rPr>
              <m:sty m:val="p"/>
            </m:rPr>
            <m:t>]</m:t>
          </m:r>
          <m:r>
            <m:t>  </m:t>
          </m:r>
          <m:r>
            <m:rPr>
              <m:sty m:val="p"/>
            </m:rPr>
            <m:t>(</m:t>
          </m:r>
          <m:r>
            <m:t>8</m:t>
          </m:r>
          <m:r>
            <m:rPr>
              <m:sty m:val="p"/>
            </m:rPr>
            <m:t>)</m:t>
          </m:r>
        </m:oMath>
      </m:oMathPara>
      <w:bookmarkEnd w:id="26"/>
    </w:p>
    <w:p>
      <w:pPr>
        <w:pStyle w:val="FirstParagraph"/>
      </w:pPr>
      <w:r>
        <w:t xml:space="preserve">donde</w:t>
      </w:r>
      <w:r>
        <w:t xml:space="preserve"> </w:t>
      </w:r>
      <m:oMath>
        <m:sSub>
          <m:e>
            <m:r>
              <m:t>p</m:t>
            </m:r>
          </m:e>
          <m:sub>
            <m:r>
              <m:rPr>
                <m:nor/>
                <m:sty m:val="p"/>
              </m:rPr>
              <m:t>bosque</m:t>
            </m:r>
            <m:r>
              <m:rPr>
                <m:sty m:val="p"/>
              </m:rPr>
              <m:t>,</m:t>
            </m:r>
            <m:r>
              <m:t>i</m:t>
            </m:r>
          </m:sub>
        </m:sSub>
      </m:oMath>
      <w:r>
        <w:t xml:space="preserve"> </w:t>
      </w:r>
      <w:r>
        <w:t xml:space="preserve">corresponde a la fracción de bosque seco xerofítico en el Chaco o de bosque atlántico en la Región Oriental, y</w:t>
      </w:r>
      <w:r>
        <w:t xml:space="preserve"> </w:t>
      </w:r>
      <m:oMath>
        <m:sSub>
          <m:e>
            <m:r>
              <m:t>p</m:t>
            </m:r>
          </m:e>
          <m:sub>
            <m:r>
              <m:rPr>
                <m:nor/>
                <m:sty m:val="p"/>
              </m:rPr>
              <m:t>pastura</m:t>
            </m:r>
            <m:r>
              <m:rPr>
                <m:sty m:val="p"/>
              </m:rPr>
              <m:t>,</m:t>
            </m:r>
            <m:r>
              <m:t>i</m:t>
            </m:r>
          </m:sub>
        </m:sSub>
      </m:oMath>
      <w:r>
        <w:t xml:space="preserve"> </w:t>
      </w:r>
      <w:r>
        <w:t xml:space="preserve">es la fracción de pasturas cultivadas (</w:t>
      </w:r>
      <m:oMath>
        <m:r>
          <m:t>p</m:t>
        </m:r>
        <m:r>
          <m:rPr>
            <m:sty m:val="p"/>
          </m:rPr>
          <m:t>∈</m:t>
        </m:r>
        <m:r>
          <m:rPr>
            <m:sty m:val="p"/>
          </m:rPr>
          <m:t>[</m:t>
        </m:r>
        <m:r>
          <m:t>0</m:t>
        </m:r>
        <m:r>
          <m:rPr>
            <m:sty m:val="p"/>
          </m:rPr>
          <m:t>,</m:t>
        </m:r>
        <m:r>
          <m:t>1</m:t>
        </m:r>
        <m:r>
          <m:rPr>
            <m:sty m:val="p"/>
          </m:rPr>
          <m:t>]</m:t>
        </m:r>
      </m:oMath>
      <w:r>
        <w:t xml:space="preserve">). Este índice alcanza su valor máximo teórico (</w:t>
      </w:r>
      <m:oMath>
        <m:sSub>
          <m:e>
            <m:r>
              <m:rPr>
                <m:scr m:val="script"/>
                <m:sty m:val="p"/>
              </m:rPr>
              <m:t>E</m:t>
            </m:r>
          </m:e>
          <m:sub>
            <m:r>
              <m:t>i</m:t>
            </m:r>
          </m:sub>
        </m:sSub>
        <m:r>
          <m:rPr>
            <m:sty m:val="p"/>
          </m:rPr>
          <m:t>=</m:t>
        </m:r>
        <m:r>
          <m:t>1</m:t>
        </m:r>
        <m:r>
          <m:rPr>
            <m:sty m:val="p"/>
          </m:rPr>
          <m:t>,</m:t>
        </m:r>
        <m:r>
          <m:t>0</m:t>
        </m:r>
      </m:oMath>
      <w:r>
        <w:t xml:space="preserve">) cuando la celda presenta una partición paritaria (50 % bosque y 50 % pastura), modelando con exactitud la interfaz crítica de deforestación y quema de cordones donde la biomasa combustible seca toma contacto directo con fuentes de ignición antrópica.</w:t>
      </w:r>
    </w:p>
    <w:bookmarkEnd w:id="27"/>
    <w:bookmarkStart w:id="29" w:name="X14c1f7db0eabfa7396a549817e412a30b3d5925"/>
    <w:p>
      <w:pPr>
        <w:pStyle w:val="Heading2"/>
      </w:pPr>
      <w:r>
        <w:t xml:space="preserve">2.5 2.5 Calibración Probabilística Monótona Acotada</w:t>
      </w:r>
    </w:p>
    <w:p>
      <w:pPr>
        <w:pStyle w:val="FirstParagraph"/>
      </w:pPr>
      <w:r>
        <w:t xml:space="preserve">Los árboles de decisión por gradiente generan puntuaciones (</w:t>
      </w:r>
      <w:r>
        <w:rPr>
          <w:i/>
          <w:iCs/>
        </w:rPr>
        <w:t xml:space="preserve">logits</w:t>
      </w:r>
      <w:r>
        <w:t xml:space="preserve">) que no representan necesariamente probabilidades bien calibradas en el sentido bayesiano</w:t>
      </w:r>
      <w:r>
        <w:t xml:space="preserve"> </w:t>
      </w:r>
      <w:r>
        <w:t xml:space="preserve">(Niculescu-Mizil &amp; Caruana, 2005)</w:t>
      </w:r>
      <w:r>
        <w:t xml:space="preserve">. Sin embargo, la regresión logística estándar de Platt</w:t>
      </w:r>
      <w:r>
        <w:t xml:space="preserve"> </w:t>
      </w:r>
      <w:r>
        <w:t xml:space="preserve">(Platt, 1999)</w:t>
      </w:r>
      <w:r>
        <w:t xml:space="preserve"> </w:t>
      </w:r>
      <w:r>
        <w:t xml:space="preserve">puede invertir la pendiente de la curva de calibración (</w:t>
      </w:r>
      <m:oMath>
        <m:r>
          <m:t>w</m:t>
        </m:r>
        <m:r>
          <m:rPr>
            <m:sty m:val="p"/>
          </m:rPr>
          <m:t>&lt;</m:t>
        </m:r>
        <m:r>
          <m:t>0</m:t>
        </m:r>
      </m:oMath>
      <w:r>
        <w:t xml:space="preserve">) bajo desbalances de clases severos, destruyendo el orden de riesgo aprendido por el ensamble.</w:t>
      </w:r>
    </w:p>
    <w:p>
      <w:pPr>
        <w:pStyle w:val="BodyText"/>
      </w:pPr>
      <w:r>
        <w:t xml:space="preserve">Para evitar esta distorsión, implementamos un</w:t>
      </w:r>
      <w:r>
        <w:t xml:space="preserve"> </w:t>
      </w:r>
      <w:r>
        <w:rPr>
          <w:b/>
          <w:bCs/>
        </w:rPr>
        <w:t xml:space="preserve">Calibrador de Platt Monótono Acotado</w:t>
      </w:r>
      <w:r>
        <w:t xml:space="preserve">, optimizando los parámetros sigmoides</w:t>
      </w:r>
      <w:r>
        <w:t xml:space="preserve"> </w:t>
      </w:r>
      <m:oMath>
        <m:r>
          <m:t>w</m:t>
        </m:r>
        <m:r>
          <m:rPr>
            <m:sty m:val="p"/>
          </m:rPr>
          <m:t>,</m:t>
        </m:r>
        <m:r>
          <m:t>b</m:t>
        </m:r>
      </m:oMath>
      <w:r>
        <w:t xml:space="preserve"> </w:t>
      </w:r>
      <w:r>
        <w:t xml:space="preserve">mediante minimización del error cuadrático medio (</w:t>
      </w:r>
      <w:r>
        <w:rPr>
          <w:i/>
          <w:iCs/>
        </w:rPr>
        <w:t xml:space="preserve">Brier Score</w:t>
      </w:r>
      <w:r>
        <w:t xml:space="preserve">) sobre el conjunto de validación sujeta a restricción de monotonicidad estricta (algoritmo L-BFGS-B):</w:t>
      </w:r>
    </w:p>
    <w:p>
      <w:pPr>
        <w:pStyle w:val="BodyText"/>
      </w:pPr>
      <w:bookmarkStart w:id="28" w:name="eq-calibracion"/>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sSub>
                            <m:e>
                              <m:r>
                                <m:t>z</m:t>
                              </m:r>
                            </m:e>
                            <m:sub>
                              <m:r>
                                <m:t>i</m:t>
                              </m:r>
                            </m:sub>
                          </m:sSub>
                          <m:r>
                            <m:rPr>
                              <m:sty m:val="p"/>
                            </m:rPr>
                            <m:t>+</m:t>
                          </m:r>
                          <m:r>
                            <m:t>b</m:t>
                          </m:r>
                          <m:r>
                            <m:rPr>
                              <m:sty m:val="p"/>
                            </m:rPr>
                            <m:t>)</m:t>
                          </m:r>
                          <m:r>
                            <m:rPr>
                              <m:sty m:val="p"/>
                            </m:rPr>
                            <m:t>)</m:t>
                          </m:r>
                        </m:den>
                      </m:f>
                    </m:e>
                  </m:d>
                </m:e>
                <m:sup>
                  <m:r>
                    <m:t>2</m:t>
                  </m:r>
                </m:sup>
              </m:sSup>
            </m:e>
          </m:nary>
          <m:r>
            <m:t> </m:t>
          </m:r>
          <m:r>
            <m:rPr>
              <m:nor/>
              <m:sty m:val="p"/>
            </m:rPr>
            <m:t>sujeto a </m:t>
          </m:r>
          <m:r>
            <m:t>w</m:t>
          </m:r>
          <m:r>
            <m:rPr>
              <m:sty m:val="p"/>
            </m:rPr>
            <m:t>∈</m:t>
          </m:r>
          <m:r>
            <m:rPr>
              <m:sty m:val="p"/>
            </m:rPr>
            <m:t>[</m:t>
          </m:r>
          <m:r>
            <m:t>0</m:t>
          </m:r>
          <m:r>
            <m:rPr>
              <m:sty m:val="p"/>
            </m:rPr>
            <m:t>,</m:t>
          </m:r>
          <m:r>
            <m:t>10</m:t>
          </m:r>
          <m:r>
            <m:rPr>
              <m:sty m:val="p"/>
            </m:rPr>
            <m:t>;</m:t>
          </m:r>
          <m:r>
            <m:t> </m:t>
          </m:r>
          <m:r>
            <m:t>10</m:t>
          </m:r>
          <m:r>
            <m:rPr>
              <m:sty m:val="p"/>
            </m:rPr>
            <m:t>,</m:t>
          </m:r>
          <m:r>
            <m:t>00</m:t>
          </m:r>
          <m:r>
            <m:rPr>
              <m:sty m:val="p"/>
            </m:rPr>
            <m:t>]</m:t>
          </m:r>
          <m:r>
            <m:rPr>
              <m:sty m:val="p"/>
            </m:rPr>
            <m:t>,</m:t>
          </m:r>
          <m:r>
            <m:t> </m:t>
          </m:r>
          <m:r>
            <m:t>b</m:t>
          </m:r>
          <m:r>
            <m:rPr>
              <m:sty m:val="p"/>
            </m:rPr>
            <m:t>∈</m:t>
          </m:r>
          <m:r>
            <m:rPr>
              <m:sty m:val="p"/>
            </m:rPr>
            <m:t>[</m:t>
          </m:r>
          <m:r>
            <m:rPr>
              <m:sty m:val="p"/>
            </m:rPr>
            <m:t>−</m:t>
          </m:r>
          <m:r>
            <m:t>10</m:t>
          </m:r>
          <m:r>
            <m:rPr>
              <m:sty m:val="p"/>
            </m:rPr>
            <m:t>,</m:t>
          </m:r>
          <m:r>
            <m:t>00</m:t>
          </m:r>
          <m:r>
            <m:rPr>
              <m:sty m:val="p"/>
            </m:rPr>
            <m:t>;</m:t>
          </m:r>
          <m:r>
            <m:t> </m:t>
          </m:r>
          <m:r>
            <m:t>10</m:t>
          </m:r>
          <m:r>
            <m:rPr>
              <m:sty m:val="p"/>
            </m:rPr>
            <m:t>,</m:t>
          </m:r>
          <m:r>
            <m:t>00</m:t>
          </m:r>
          <m:r>
            <m:rPr>
              <m:sty m:val="p"/>
            </m:rPr>
            <m:t>]</m:t>
          </m:r>
          <m:r>
            <m:t>  </m:t>
          </m:r>
          <m:r>
            <m:rPr>
              <m:sty m:val="p"/>
            </m:rPr>
            <m:t>(</m:t>
          </m:r>
          <m:r>
            <m:t>9</m:t>
          </m:r>
          <m:r>
            <m:rPr>
              <m:sty m:val="p"/>
            </m:rPr>
            <m:t>)</m:t>
          </m:r>
        </m:oMath>
      </m:oMathPara>
      <w:bookmarkEnd w:id="28"/>
    </w:p>
    <w:p>
      <w:pPr>
        <w:pStyle w:val="FirstParagraph"/>
      </w:pPr>
      <w:r>
        <w:t xml:space="preserve">donde</w:t>
      </w:r>
      <w:r>
        <w:t xml:space="preserve"> </w:t>
      </w:r>
      <m:oMath>
        <m:sSub>
          <m:e>
            <m:r>
              <m:t>z</m:t>
            </m:r>
          </m:e>
          <m:sub>
            <m:r>
              <m:t>i</m:t>
            </m:r>
          </m:sub>
        </m:sSub>
        <m:r>
          <m:rPr>
            <m:sty m:val="p"/>
          </m:rPr>
          <m:t>∈</m:t>
        </m:r>
        <m:r>
          <m:rPr>
            <m:scr m:val="double-struck"/>
            <m:sty m:val="p"/>
          </m:rPr>
          <m:t>R</m:t>
        </m:r>
      </m:oMath>
      <w:r>
        <w:t xml:space="preserve"> </w:t>
      </w:r>
      <w:r>
        <w:t xml:space="preserve">es el margen no calibrado del ensamble LightGBM. La cota inferior</w:t>
      </w:r>
      <w:r>
        <w:t xml:space="preserve"> </w:t>
      </w:r>
      <m:oMath>
        <m:r>
          <m:t>w</m:t>
        </m:r>
        <m:r>
          <m:rPr>
            <m:sty m:val="p"/>
          </m:rPr>
          <m:t>≥</m:t>
        </m:r>
        <m:r>
          <m:t>0</m:t>
        </m:r>
        <m:r>
          <m:rPr>
            <m:sty m:val="p"/>
          </m:rPr>
          <m:t>,</m:t>
        </m:r>
        <m:r>
          <m:t>10</m:t>
        </m:r>
      </m:oMath>
      <w:r>
        <w:t xml:space="preserve"> </w:t>
      </w:r>
      <w:r>
        <w:t xml:space="preserve">garantiza que la función sea estrictamente creciente respecto al margen del árbol, preservando intacta el área bajo la curva ROC (</w:t>
      </w:r>
      <w:r>
        <w:rPr>
          <w:i/>
          <w:iCs/>
        </w:rPr>
        <w:t xml:space="preserve">ROC-AUC</w:t>
      </w:r>
      <w:r>
        <w:t xml:space="preserve">) y corrigiendo las frecuencias relativas predichas.</w:t>
      </w:r>
    </w:p>
    <w:p>
      <w:r>
        <w:pict>
          <v:rect style="width:0;height:1.5pt" o:hralign="center" o:hrstd="t" o:hr="t"/>
        </w:pict>
      </w:r>
    </w:p>
    <w:bookmarkEnd w:id="29"/>
    <w:bookmarkEnd w:id="30"/>
    <w:bookmarkStart w:id="41" w:name="X500a81763a499a350900bb953648fad63a0c8bf"/>
    <w:p>
      <w:pPr>
        <w:pStyle w:val="Heading1"/>
      </w:pPr>
      <w:r>
        <w:t xml:space="preserve">3. 3. Arquitectura de Software y Datos Espaciales</w:t>
      </w:r>
    </w:p>
    <w:bookmarkStart w:id="32" w:name="X6ae3ba674a398b826fcc2389b423a15291a6c29"/>
    <w:p>
      <w:pPr>
        <w:pStyle w:val="Heading2"/>
      </w:pPr>
      <w:r>
        <w:t xml:space="preserve">3.1 3.1 Malla Geográfica Soberana en Tiempo Constante</w:t>
      </w:r>
      <w:r>
        <w:t xml:space="preserve"> </w:t>
      </w:r>
      <m:oMath>
        <m:r>
          <m:t>O</m:t>
        </m:r>
        <m:r>
          <m:rPr>
            <m:sty m:val="p"/>
          </m:rPr>
          <m:t>(</m:t>
        </m:r>
        <m:r>
          <m:t>1</m:t>
        </m:r>
        <m:r>
          <m:rPr>
            <m:sty m:val="p"/>
          </m:rPr>
          <m:t>)</m:t>
        </m:r>
      </m:oMath>
    </w:p>
    <w:p>
      <w:pPr>
        <w:pStyle w:val="FirstParagraph"/>
      </w:pPr>
      <w:r>
        <w:t xml:space="preserve">A diferencia de los flujos de trabajo tradicionales basados en mallas ráster flotantes con problemas de alineación de celdas, definimos una</w:t>
      </w:r>
      <w:r>
        <w:t xml:space="preserve"> </w:t>
      </w:r>
      <w:r>
        <w:rPr>
          <w:b/>
          <w:bCs/>
        </w:rPr>
        <w:t xml:space="preserve">grilla vectorial nacional determinística de 1 km²</w:t>
      </w:r>
      <w:r>
        <w:t xml:space="preserve"> </w:t>
      </w:r>
      <w:r>
        <w:t xml:space="preserve">proyectada en UTM Zona 21S. La grilla abarca exactamente</w:t>
      </w:r>
      <w:r>
        <w:t xml:space="preserve"> </w:t>
      </w:r>
      <m:oMath>
        <m:r>
          <m:t>400.006</m:t>
        </m:r>
      </m:oMath>
      <w:r>
        <w:t xml:space="preserve"> </w:t>
      </w:r>
      <w:r>
        <w:t xml:space="preserve">celdas poligonales soberanas que intersectan el contorno limítrofe oficial de la República del Paraguay (geoBoundaries ADM0).</w:t>
      </w:r>
    </w:p>
    <w:p>
      <w:pPr>
        <w:pStyle w:val="BodyText"/>
      </w:pPr>
      <w:r>
        <w:t xml:space="preserve">Cada celda posee un identificador entero único de 64 bits (</w:t>
      </w:r>
      <w:r>
        <w:rPr>
          <w:rStyle w:val="VerbatimChar"/>
        </w:rPr>
        <w:t xml:space="preserve">cell_id</w:t>
      </w:r>
      <w:r>
        <w:t xml:space="preserve">) calculado de manera biyectiva y reversible a partir de sus coordenadas euclidianas centrales:</w:t>
      </w:r>
    </w:p>
    <w:p>
      <w:pPr>
        <w:pStyle w:val="BodyText"/>
      </w:pPr>
      <w:bookmarkStart w:id="31" w:name="eq-cellid"/>
      <m:oMathPara>
        <m:oMathParaPr>
          <m:jc m:val="center"/>
        </m:oMathParaPr>
        <m:oMath>
          <m:r>
            <m:rPr>
              <m:nor/>
              <m:sty m:val="p"/>
            </m:rPr>
            <m:t>cell_id</m:t>
          </m:r>
          <m:r>
            <m:rPr>
              <m:sty m:val="p"/>
            </m:rPr>
            <m:t>=</m:t>
          </m:r>
          <m:d>
            <m:dPr>
              <m:begChr m:val="⌊"/>
              <m:sepChr m:val=""/>
              <m:endChr m:val="⌋"/>
              <m:grow/>
            </m:dPr>
            <m:e>
              <m:f>
                <m:fPr>
                  <m:type m:val="bar"/>
                </m:fPr>
                <m:num>
                  <m:sSub>
                    <m:e>
                      <m:r>
                        <m:t>x</m:t>
                      </m:r>
                    </m:e>
                    <m:sub>
                      <m:r>
                        <m:rPr>
                          <m:nor/>
                          <m:sty m:val="p"/>
                        </m:rPr>
                        <m:t>UTM</m:t>
                      </m:r>
                    </m:sub>
                  </m:sSub>
                </m:num>
                <m:den>
                  <m:r>
                    <m:t>1000</m:t>
                  </m:r>
                </m:den>
              </m:f>
            </m:e>
          </m:d>
          <m:r>
            <m:rPr>
              <m:sty m:val="p"/>
            </m:rPr>
            <m:t>×</m:t>
          </m:r>
          <m:sSup>
            <m:e>
              <m:r>
                <m:t>10</m:t>
              </m:r>
            </m:e>
            <m:sup>
              <m:r>
                <m:t>7</m:t>
              </m:r>
            </m:sup>
          </m:sSup>
          <m:r>
            <m:rPr>
              <m:sty m:val="p"/>
            </m:rPr>
            <m:t>+</m:t>
          </m:r>
          <m:d>
            <m:dPr>
              <m:begChr m:val="⌊"/>
              <m:sepChr m:val=""/>
              <m:endChr m:val="⌋"/>
              <m:grow/>
            </m:dPr>
            <m:e>
              <m:f>
                <m:fPr>
                  <m:type m:val="bar"/>
                </m:fPr>
                <m:num>
                  <m:sSub>
                    <m:e>
                      <m:r>
                        <m:t>y</m:t>
                      </m:r>
                    </m:e>
                    <m:sub>
                      <m:r>
                        <m:rPr>
                          <m:nor/>
                          <m:sty m:val="p"/>
                        </m:rPr>
                        <m:t>UTM</m:t>
                      </m:r>
                    </m:sub>
                  </m:sSub>
                </m:num>
                <m:den>
                  <m:r>
                    <m:t>1000</m:t>
                  </m:r>
                </m:den>
              </m:f>
            </m:e>
          </m:d>
          <m:r>
            <m:t>  </m:t>
          </m:r>
          <m:r>
            <m:rPr>
              <m:sty m:val="p"/>
            </m:rPr>
            <m:t>(</m:t>
          </m:r>
          <m:r>
            <m:t>10</m:t>
          </m:r>
          <m:r>
            <m:rPr>
              <m:sty m:val="p"/>
            </m:rPr>
            <m:t>)</m:t>
          </m:r>
        </m:oMath>
      </m:oMathPara>
      <w:bookmarkEnd w:id="31"/>
    </w:p>
    <w:p>
      <w:pPr>
        <w:pStyle w:val="FirstParagraph"/>
      </w:pPr>
      <w:r>
        <w:t xml:space="preserve">Esta estructura permite realizar cruces espaciales (</w:t>
      </w:r>
      <w:r>
        <w:rPr>
          <w:i/>
          <w:iCs/>
        </w:rPr>
        <w:t xml:space="preserve">spatial joins</w:t>
      </w:r>
      <w:r>
        <w:t xml:space="preserve">) con cualquier observación de campo, foco satelital o nodo meteorológico en</w:t>
      </w:r>
      <w:r>
        <w:t xml:space="preserve"> </w:t>
      </w:r>
      <w:r>
        <w:rPr>
          <w:b/>
          <w:bCs/>
        </w:rPr>
        <w:t xml:space="preserve">tiempo constante</w:t>
      </w:r>
      <w:r>
        <w:rPr>
          <w:b/>
          <w:bCs/>
        </w:rPr>
        <w:t xml:space="preserve"> </w:t>
      </w:r>
      <m:oMath>
        <m:r>
          <m:t>O</m:t>
        </m:r>
        <m:r>
          <m:rPr>
            <m:sty m:val="p"/>
          </m:rPr>
          <m:t>(</m:t>
        </m:r>
        <m:r>
          <m:t>1</m:t>
        </m:r>
        <m:r>
          <m:rPr>
            <m:sty m:val="p"/>
          </m:rPr>
          <m:t>)</m:t>
        </m:r>
      </m:oMath>
      <w:r>
        <w:t xml:space="preserve"> </w:t>
      </w:r>
      <w:r>
        <w:t xml:space="preserve">mediante indexación relacional directa en memoria, suprimiendo la necesidad de evaluar predicados geométricos poligonales pesados (</w:t>
      </w:r>
      <w:r>
        <w:rPr>
          <w:i/>
          <w:iCs/>
        </w:rPr>
        <w:t xml:space="preserve">Point-in-Polygon</w:t>
      </w:r>
      <w:r>
        <w:t xml:space="preserve">) en tiempo de ejecución.</w:t>
      </w:r>
    </w:p>
    <w:bookmarkEnd w:id="32"/>
    <w:bookmarkStart w:id="33" w:name="X6fa3f7b668d39a495cbf04b464c40940ab76d2c"/>
    <w:p>
      <w:pPr>
        <w:pStyle w:val="Heading2"/>
      </w:pPr>
      <w:r>
        <w:t xml:space="preserve">3.2 3.2 Ingesta Multi-Constelación NASA FIRMS y Corrección Bow-Tie</w:t>
      </w:r>
    </w:p>
    <w:p>
      <w:pPr>
        <w:pStyle w:val="FirstParagraph"/>
      </w:pPr>
      <w:r>
        <w:t xml:space="preserve">Las presencias de fuego provienen de la constelación de sensores satelitales VIIRS (375 m) a bordo de las plataformas Suomi-NPP, NOAA-20 y NOAA-21</w:t>
      </w:r>
      <w:r>
        <w:t xml:space="preserve"> </w:t>
      </w:r>
      <w:r>
        <w:t xml:space="preserve">(Schroeder et al., 2014)</w:t>
      </w:r>
      <w:r>
        <w:t xml:space="preserve">, que extienden las series históricas iniciadas por MODIS</w:t>
      </w:r>
      <w:r>
        <w:t xml:space="preserve"> </w:t>
      </w:r>
      <w:r>
        <w:t xml:space="preserve">(Giglio et al., 2016; Justice et al., 2002)</w:t>
      </w:r>
      <w:r>
        <w:t xml:space="preserve">. Para garantizar la integridad de las etiquetas de entrenamiento, aplicamos un protocolo de depuración óptica en dos pasos:</w:t>
      </w:r>
    </w:p>
    <w:p>
      <w:pPr>
        <w:pStyle w:val="Compact"/>
        <w:numPr>
          <w:ilvl w:val="0"/>
          <w:numId w:val="1004"/>
        </w:numPr>
      </w:pPr>
      <w:r>
        <w:rPr>
          <w:b/>
          <w:bCs/>
        </w:rPr>
        <w:t xml:space="preserve">Corrección de Distorsión Óptica (</w:t>
      </w:r>
      <w:r>
        <w:rPr>
          <w:b/>
          <w:bCs/>
          <w:i/>
          <w:iCs/>
        </w:rPr>
        <w:t xml:space="preserve">Bow-Tie Effect</w:t>
      </w:r>
      <w:r>
        <w:rPr>
          <w:b/>
          <w:bCs/>
        </w:rPr>
        <w:t xml:space="preserve">):</w:t>
      </w:r>
      <w:r>
        <w:t xml:space="preserve"> </w:t>
      </w:r>
      <w:r>
        <w:t xml:space="preserve">Los píxeles ubicados hacia los extremos del barrido del sensor sufren una elongación geométrica transversal que distorsiona la localización del píxel hasta triplicar su tamaño real. Filtramos estrictamente todas las detecciones con un tamaño de barrido</w:t>
      </w:r>
      <w:r>
        <w:t xml:space="preserve"> </w:t>
      </w:r>
      <m:oMath>
        <m:r>
          <m:rPr>
            <m:nor/>
            <m:sty m:val="p"/>
          </m:rPr>
          <m:t>scan</m:t>
        </m:r>
        <m:r>
          <m:rPr>
            <m:sty m:val="p"/>
          </m:rPr>
          <m:t>&gt;</m:t>
        </m:r>
        <m:r>
          <m:t>1</m:t>
        </m:r>
        <m:r>
          <m:rPr>
            <m:sty m:val="p"/>
          </m:rPr>
          <m:t>,</m:t>
        </m:r>
        <m:r>
          <m:t>5</m:t>
        </m:r>
        <m:r>
          <m:rPr>
            <m:nor/>
            <m:sty m:val="p"/>
          </m:rPr>
          <m:t> km</m:t>
        </m:r>
      </m:oMath>
      <w:r>
        <w:t xml:space="preserve">, reteniendo únicamente las observaciones de alta fidelidad focal tomadas cerca del nadir del sensor.</w:t>
      </w:r>
    </w:p>
    <w:p>
      <w:pPr>
        <w:pStyle w:val="Compact"/>
        <w:numPr>
          <w:ilvl w:val="0"/>
          <w:numId w:val="1004"/>
        </w:numPr>
      </w:pPr>
      <w:r>
        <w:rPr>
          <w:b/>
          <w:bCs/>
        </w:rPr>
        <w:t xml:space="preserve">Exclusión de Detecciones de Baja Confianza:</w:t>
      </w:r>
      <w:r>
        <w:t xml:space="preserve"> </w:t>
      </w:r>
      <w:r>
        <w:t xml:space="preserve">Se descartan focos etiquetados con nivel de confianza</w:t>
      </w:r>
      <w:r>
        <w:t xml:space="preserve"> </w:t>
      </w:r>
      <w:r>
        <w:rPr>
          <w:i/>
          <w:iCs/>
        </w:rPr>
        <w:t xml:space="preserve">low</w:t>
      </w:r>
      <w:r>
        <w:t xml:space="preserve"> </w:t>
      </w:r>
      <w:r>
        <w:t xml:space="preserve">producidos por reflejos solares o ruido instrumental en bordes de nubes.</w:t>
      </w:r>
    </w:p>
    <w:bookmarkEnd w:id="33"/>
    <w:bookmarkStart w:id="38" w:name="X0d0cbcbe4cd63c4731c2894f39926c78049abd1"/>
    <w:p>
      <w:pPr>
        <w:pStyle w:val="Heading2"/>
      </w:pPr>
      <w:r>
        <w:t xml:space="preserve">3.3 3.3 Reanálisis Meteorológico ERA5-Land y Cobertura MapBiomas</w:t>
      </w:r>
    </w:p>
    <w:p>
      <w:pPr>
        <w:pStyle w:val="Compact"/>
        <w:numPr>
          <w:ilvl w:val="0"/>
          <w:numId w:val="1005"/>
        </w:numPr>
      </w:pPr>
      <w:r>
        <w:rPr>
          <w:b/>
          <w:bCs/>
        </w:rPr>
        <w:t xml:space="preserve">ERA5-Land:</w:t>
      </w:r>
      <w:r>
        <w:t xml:space="preserve"> </w:t>
      </w:r>
      <w:r>
        <w:t xml:space="preserve">Los parámetros meteorológicos horarios se extraen a la resolución nativa de</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mediante la API de archivo histórico abierto de Open-Meteo</w:t>
      </w:r>
      <w:r>
        <w:t xml:space="preserve"> </w:t>
      </w:r>
      <w:r>
        <w:t xml:space="preserve">(Muñoz-Sabater et al., 2021)</w:t>
      </w:r>
      <w:r>
        <w:t xml:space="preserve">. Todo el territorio paraguayo es cubierto de forma exhaustiva con exactamente</w:t>
      </w:r>
      <w:r>
        <w:t xml:space="preserve"> </w:t>
      </w:r>
      <w:r>
        <w:rPr>
          <w:b/>
          <w:bCs/>
        </w:rPr>
        <w:t xml:space="preserve">640 nodos meteorológicos</w:t>
      </w:r>
      <w:r>
        <w:t xml:space="preserve">. Cada celda de 1 km² se asocia a su nodo meteorológico más cercano mediante un árbol k-dimensional (</w:t>
      </w:r>
      <w:r>
        <w:rPr>
          <w:i/>
          <w:iCs/>
        </w:rPr>
        <w:t xml:space="preserve">cKDTree</w:t>
      </w:r>
      <w:r>
        <w:t xml:space="preserve">) precomputado una sola vez.</w:t>
      </w:r>
    </w:p>
    <w:p>
      <w:pPr>
        <w:pStyle w:val="Compact"/>
        <w:numPr>
          <w:ilvl w:val="0"/>
          <w:numId w:val="1005"/>
        </w:numPr>
      </w:pPr>
      <w:r>
        <w:rPr>
          <w:b/>
          <w:bCs/>
        </w:rPr>
        <w:t xml:space="preserve">MapBiomas Chaco y Bosque Atlántico (30 m):</w:t>
      </w:r>
      <w:r>
        <w:t xml:space="preserve"> </w:t>
      </w:r>
      <w:r>
        <w:t xml:space="preserve">Las clasificaciones de uso de suelo de MapBiomas (Colección 4)</w:t>
      </w:r>
      <w:r>
        <w:t xml:space="preserve"> </w:t>
      </w:r>
      <w:r>
        <w:t xml:space="preserve">(MapBiomas Chaco, 2023)</w:t>
      </w:r>
      <w:r>
        <w:t xml:space="preserve"> </w:t>
      </w:r>
      <w:r>
        <w:t xml:space="preserve">se agregan a la grilla de 1 km², calculando las fracciones de cobertura para cinco clases dominantes: pastura cultivada, sabana/pastizal natural, bosque seco xerofítico, bosque húmedo estratificado y humedales/palmares.</w:t>
      </w:r>
    </w:p>
    <w:p>
      <w:pPr>
        <w:pStyle w:val="FirstParagraph"/>
      </w:pPr>
      <w:r>
        <w:t xml:space="preserve">La delimitación geográfica, la división macro-regional entre la Región Occidental (Chaco) y Oriental, y los patrones de cobertura vegetal derivados de MapBiomas se detallan en la</w:t>
      </w:r>
      <w:r>
        <w:t xml:space="preserve"> </w:t>
      </w:r>
      <w:hyperlink w:anchor="fig-area-estudio">
        <w:r>
          <w:rPr>
            <w:rStyle w:val="Hyperlink"/>
          </w:rPr>
          <w:t xml:space="preserve">Figura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area-estudio"/>
          <w:p>
            <w:pPr>
              <w:pStyle w:val="Compact"/>
              <w:jc w:val="center"/>
            </w:pPr>
            <w:r>
              <w:drawing>
                <wp:inline>
                  <wp:extent cx="4533900" cy="5037666"/>
                  <wp:effectExtent b="0" l="0" r="0" t="0"/>
                  <wp:docPr descr="" title="" id="35" name="Picture"/>
                  <a:graphic>
                    <a:graphicData uri="http://schemas.openxmlformats.org/drawingml/2006/picture">
                      <pic:pic>
                        <pic:nvPicPr>
                          <pic:cNvPr descr="figuras/fig01_macro_regiones_cobertura.png" id="36" name="Picture"/>
                          <pic:cNvPicPr>
                            <a:picLocks noChangeArrowheads="1" noChangeAspect="1"/>
                          </pic:cNvPicPr>
                        </pic:nvPicPr>
                        <pic:blipFill>
                          <a:blip r:embed="rId34"/>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2: Estratificación geográfica y ecológica del área de estudio: Macro-regiones (Chaco semiárido vs. Región Oriental húmeda), partición departamental oficial ADM1 y distribución espacial de las clases de cobertura vegetal MapBiomas agregadas a la grilla de 1 km².</w:t>
            </w:r>
          </w:p>
          <w:bookmarkEnd w:id="37"/>
        </w:tc>
      </w:tr>
    </w:tbl>
    <w:bookmarkEnd w:id="38"/>
    <w:bookmarkStart w:id="40" w:name="X55129feaf373f5593e21a1a844daf67e748b6c4"/>
    <w:p>
      <w:pPr>
        <w:pStyle w:val="Heading2"/>
      </w:pPr>
      <w:r>
        <w:t xml:space="preserve">3.4 3.4 Flujo Analítico</w:t>
      </w:r>
      <w:r>
        <w:t xml:space="preserve"> </w:t>
      </w:r>
      <w:r>
        <w:rPr>
          <w:i/>
          <w:iCs/>
        </w:rPr>
        <w:t xml:space="preserve">Zero-Copy</w:t>
      </w:r>
      <w:r>
        <w:t xml:space="preserve"> </w:t>
      </w:r>
      <w:r>
        <w:t xml:space="preserve">en DuckDB y Polars</w:t>
      </w:r>
    </w:p>
    <w:p>
      <w:pPr>
        <w:pStyle w:val="FirstParagraph"/>
      </w:pPr>
      <w:r>
        <w:t xml:space="preserve">A diferencia de las plataformas centralizadas en la nube como Google Earth Engine</w:t>
      </w:r>
      <w:r>
        <w:t xml:space="preserve"> </w:t>
      </w:r>
      <w:r>
        <w:t xml:space="preserve">(Gorelick et al., 2017)</w:t>
      </w:r>
      <w:r>
        <w:t xml:space="preserve">, que dependen de conectividad permanente a servidores remotos, o de librerías tradicionales en memoria como Scikit-learn</w:t>
      </w:r>
      <w:r>
        <w:t xml:space="preserve"> </w:t>
      </w:r>
      <w:r>
        <w:t xml:space="preserve">(Pedregosa et al., 2011)</w:t>
      </w:r>
      <w:r>
        <w:t xml:space="preserve"> </w:t>
      </w:r>
      <w:r>
        <w:t xml:space="preserve">que duplican matrices densas, implementamos una canalización local de alto rendimiento mediante</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ensamble relacional se realiza mediante</w:t>
      </w:r>
      <w:r>
        <w:t xml:space="preserve"> </w:t>
      </w:r>
      <w:r>
        <w:rPr>
          <w:i/>
          <w:iCs/>
        </w:rPr>
        <w:t xml:space="preserve">streaming out-of-core</w:t>
      </w:r>
      <w:r>
        <w:t xml:space="preserve"> </w:t>
      </w:r>
      <w:r>
        <w:t xml:space="preserve">en bloques de memoria columnar Apache Arrow, evitando copias redundantes en memoria intermedia (</w:t>
      </w:r>
      <w:r>
        <w:rPr>
          <w:i/>
          <w:iCs/>
        </w:rPr>
        <w:t xml:space="preserve">zero-copy architecture</w:t>
      </w:r>
      <w:r>
        <w:t xml:space="preserve">). Como se detalla en la</w:t>
      </w:r>
      <w:r>
        <w:t xml:space="preserve"> </w:t>
      </w:r>
      <w:hyperlink w:anchor="tbl-pipeline">
        <w:r>
          <w:rPr>
            <w:rStyle w:val="Hyperlink"/>
          </w:rPr>
          <w:t xml:space="preserve">Tabla 1</w:t>
        </w:r>
      </w:hyperlink>
      <w:r>
        <w:t xml:space="preserve">, el almacenamiento en disco se optimiza mediante compresión Zstandard (ZSTD nivel 7).</w:t>
      </w:r>
    </w:p>
    <w:tbl>
      <w:tblPr>
        <w:tblStyle w:val="Table"/>
        <w:tblW w:type="pct" w:w="5000"/>
        <w:tblLayout w:type="fixed"/>
        <w:tblLook w:firstRow="0" w:lastRow="0" w:firstColumn="0" w:lastColumn="0" w:noHBand="0" w:noVBand="0" w:val="0000"/>
      </w:tblPr>
      <w:tblGrid>
        <w:gridCol w:w="7920"/>
      </w:tblGrid>
      <w:tr>
        <w:tc>
          <w:tcPr/>
          <w:bookmarkStart w:id="39" w:name="tbl-pipeline"/>
          <w:p>
            <w:pPr>
              <w:jc w:val="center"/>
            </w:pPr>
            <w:pPr>
              <w:jc w:val="left"/>
              <w:spacing w:before="200"/>
              <w:pStyle w:val="ImageCaption"/>
            </w:pPr>
            <w:r>
              <w:t xml:space="preserve">Tabla 1: Especificaciones de ingeniería de datos y tamaño en disco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Capa de Datos</w:t>
                  </w:r>
                </w:p>
              </w:tc>
              <w:tc>
                <w:tcPr/>
                <w:p>
                  <w:pPr>
                    <w:pStyle w:val="Compact"/>
                    <w:jc w:val="left"/>
                    <w:jc w:val="center"/>
                  </w:pPr>
                  <w:r>
                    <w:t xml:space="preserve">Formato de Archivo</w:t>
                  </w:r>
                </w:p>
              </w:tc>
              <w:tc>
                <w:tcPr/>
                <w:p>
                  <w:pPr>
                    <w:pStyle w:val="Compact"/>
                    <w:jc w:val="center"/>
                    <w:jc w:val="center"/>
                  </w:pPr>
                  <w:r>
                    <w:t xml:space="preserve">Registros</w:t>
                  </w:r>
                </w:p>
              </w:tc>
              <w:tc>
                <w:tcPr/>
                <w:p>
                  <w:pPr>
                    <w:pStyle w:val="Compact"/>
                    <w:jc w:val="center"/>
                    <w:jc w:val="center"/>
                  </w:pPr>
                  <w:r>
                    <w:t xml:space="preserve">Tamaño en Disco</w:t>
                  </w:r>
                </w:p>
              </w:tc>
              <w:tc>
                <w:tcPr/>
                <w:p>
                  <w:pPr>
                    <w:pStyle w:val="Compact"/>
                    <w:jc w:val="center"/>
                    <w:jc w:val="center"/>
                  </w:pPr>
                  <w:r>
                    <w:t xml:space="preserve">Latencia de Carga</w:t>
                  </w:r>
                </w:p>
              </w:tc>
            </w:tr>
            <w:tr>
              <w:tc>
                <w:tcPr/>
                <w:p>
                  <w:pPr>
                    <w:pStyle w:val="Compact"/>
                    <w:jc w:val="left"/>
                    <w:jc w:val="center"/>
                  </w:pPr>
                  <w:r>
                    <w:t xml:space="preserve">Grilla Nacional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2</m:t>
                    </m:r>
                    <m:r>
                      <m:rPr>
                        <m:sty m:val="p"/>
                      </m:rPr>
                      <m:t>,</m:t>
                    </m:r>
                    <m:r>
                      <m:t>7</m:t>
                    </m:r>
                    <m:r>
                      <m:rPr>
                        <m:nor/>
                        <m:sty m:val="p"/>
                      </m:rPr>
                      <m:t> MB</m:t>
                    </m:r>
                  </m:oMath>
                  <w:r>
                    <w:t xml:space="preserve">​</w:t>
                  </w:r>
                </w:p>
              </w:tc>
              <w:tc>
                <w:tcPr/>
                <w:p>
                  <w:pPr>
                    <w:pStyle w:val="Compact"/>
                    <w:jc w:val="center"/>
                    <w:jc w:val="center"/>
                  </w:pPr>
                  <m:oMath>
                    <m:r>
                      <m:t>18</m:t>
                    </m:r>
                    <m:r>
                      <m:rPr>
                        <m:nor/>
                        <m:sty m:val="p"/>
                      </m:rPr>
                      <m:t> ms</m:t>
                    </m:r>
                  </m:oMath>
                  <w:r>
                    <w:t xml:space="preserve">​</w:t>
                  </w:r>
                </w:p>
              </w:tc>
            </w:tr>
            <w:tr>
              <w:tc>
                <w:tcPr/>
                <w:p>
                  <w:pPr>
                    <w:pStyle w:val="Compact"/>
                    <w:jc w:val="left"/>
                    <w:jc w:val="center"/>
                  </w:pPr>
                  <w:r>
                    <w:t xml:space="preserve">Cobertura MapBiomas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4</m:t>
                    </m:r>
                    <m:r>
                      <m:rPr>
                        <m:sty m:val="p"/>
                      </m:rPr>
                      <m:t>,</m:t>
                    </m:r>
                    <m:r>
                      <m:t>7</m:t>
                    </m:r>
                    <m:r>
                      <m:rPr>
                        <m:nor/>
                        <m:sty m:val="p"/>
                      </m:rPr>
                      <m:t> MB</m:t>
                    </m:r>
                  </m:oMath>
                  <w:r>
                    <w:t xml:space="preserve">​</w:t>
                  </w:r>
                </w:p>
              </w:tc>
              <w:tc>
                <w:tcPr/>
                <w:p>
                  <w:pPr>
                    <w:pStyle w:val="Compact"/>
                    <w:jc w:val="center"/>
                    <w:jc w:val="center"/>
                  </w:pPr>
                  <m:oMath>
                    <m:r>
                      <m:t>22</m:t>
                    </m:r>
                    <m:r>
                      <m:rPr>
                        <m:nor/>
                        <m:sty m:val="p"/>
                      </m:rPr>
                      <m:t> ms</m:t>
                    </m:r>
                  </m:oMath>
                  <w:r>
                    <w:t xml:space="preserve">​</w:t>
                  </w:r>
                </w:p>
              </w:tc>
            </w:tr>
            <w:tr>
              <w:tc>
                <w:tcPr/>
                <w:p>
                  <w:pPr>
                    <w:pStyle w:val="Compact"/>
                    <w:jc w:val="left"/>
                    <w:jc w:val="center"/>
                  </w:pPr>
                  <w:r>
                    <w:t xml:space="preserve">Reanálisis ERA5-Land (10 Años)</w:t>
                  </w:r>
                </w:p>
              </w:tc>
              <w:tc>
                <w:tcPr/>
                <w:p>
                  <w:pPr>
                    <w:pStyle w:val="Compact"/>
                    <w:jc w:val="left"/>
                    <w:jc w:val="center"/>
                  </w:pPr>
                  <w:r>
                    <w:t xml:space="preserve">Columnar Parquet (ZSTD)</w:t>
                  </w:r>
                </w:p>
              </w:tc>
              <w:tc>
                <w:tcPr/>
                <w:p>
                  <w:pPr>
                    <w:pStyle w:val="Compact"/>
                    <w:jc w:val="center"/>
                    <w:jc w:val="center"/>
                  </w:pPr>
                  <m:oMath>
                    <m:r>
                      <m:t>2.337</m:t>
                    </m:r>
                    <m:r>
                      <m:t>.280</m:t>
                    </m:r>
                  </m:oMath>
                  <w:r>
                    <w:t xml:space="preserve">​</w:t>
                  </w:r>
                </w:p>
              </w:tc>
              <w:tc>
                <w:tcPr/>
                <w:p>
                  <w:pPr>
                    <w:pStyle w:val="Compact"/>
                    <w:jc w:val="center"/>
                    <w:jc w:val="center"/>
                  </w:pPr>
                  <m:oMath>
                    <m:r>
                      <m:t>54</m:t>
                    </m:r>
                    <m:r>
                      <m:rPr>
                        <m:sty m:val="p"/>
                      </m:rPr>
                      <m:t>,</m:t>
                    </m:r>
                    <m:r>
                      <m:t>2</m:t>
                    </m:r>
                    <m:r>
                      <m:rPr>
                        <m:nor/>
                        <m:sty m:val="p"/>
                      </m:rPr>
                      <m:t> MB</m:t>
                    </m:r>
                  </m:oMath>
                  <w:r>
                    <w:t xml:space="preserve">​</w:t>
                  </w:r>
                </w:p>
              </w:tc>
              <w:tc>
                <w:tcPr/>
                <w:p>
                  <w:pPr>
                    <w:pStyle w:val="Compact"/>
                    <w:jc w:val="center"/>
                    <w:jc w:val="center"/>
                  </w:pPr>
                  <m:oMath>
                    <m:r>
                      <m:t>45</m:t>
                    </m:r>
                    <m:r>
                      <m:rPr>
                        <m:nor/>
                        <m:sty m:val="p"/>
                      </m:rPr>
                      <m:t> ms</m:t>
                    </m:r>
                  </m:oMath>
                  <w:r>
                    <w:t xml:space="preserve">​</w:t>
                  </w:r>
                </w:p>
              </w:tc>
            </w:tr>
            <w:tr>
              <w:tc>
                <w:tcPr/>
                <w:p>
                  <w:pPr>
                    <w:pStyle w:val="Compact"/>
                    <w:jc w:val="left"/>
                    <w:jc w:val="center"/>
                  </w:pPr>
                  <w:r>
                    <w:t xml:space="preserve">Focos Satelitales VIIRS (10 Años)</w:t>
                  </w:r>
                </w:p>
              </w:tc>
              <w:tc>
                <w:tcPr/>
                <w:p>
                  <w:pPr>
                    <w:pStyle w:val="Compact"/>
                    <w:jc w:val="left"/>
                    <w:jc w:val="center"/>
                  </w:pPr>
                  <w:r>
                    <w:t xml:space="preserve">Columnar Parquet (ZSTD)</w:t>
                  </w:r>
                </w:p>
              </w:tc>
              <w:tc>
                <w:tcPr/>
                <w:p>
                  <w:pPr>
                    <w:pStyle w:val="Compact"/>
                    <w:jc w:val="center"/>
                    <w:jc w:val="center"/>
                  </w:pPr>
                  <m:oMath>
                    <m:r>
                      <m:rPr>
                        <m:sty m:val="p"/>
                      </m:rPr>
                      <m:t>∼</m:t>
                    </m:r>
                    <m:r>
                      <m:t>650.000</m:t>
                    </m:r>
                  </m:oMath>
                  <w:r>
                    <w:t xml:space="preserve">​</w:t>
                  </w:r>
                </w:p>
              </w:tc>
              <w:tc>
                <w:tcPr/>
                <w:p>
                  <w:pPr>
                    <w:pStyle w:val="Compact"/>
                    <w:jc w:val="center"/>
                    <w:jc w:val="center"/>
                  </w:pPr>
                  <m:oMath>
                    <m:r>
                      <m:t>18</m:t>
                    </m:r>
                    <m:r>
                      <m:rPr>
                        <m:sty m:val="p"/>
                      </m:rPr>
                      <m:t>,</m:t>
                    </m:r>
                    <m:r>
                      <m:t>5</m:t>
                    </m:r>
                    <m:r>
                      <m:rPr>
                        <m:nor/>
                        <m:sty m:val="p"/>
                      </m:rPr>
                      <m:t> MB</m:t>
                    </m:r>
                  </m:oMath>
                  <w:r>
                    <w:t xml:space="preserve">​</w:t>
                  </w:r>
                </w:p>
              </w:tc>
              <w:tc>
                <w:tcPr/>
                <w:p>
                  <w:pPr>
                    <w:pStyle w:val="Compact"/>
                    <w:jc w:val="center"/>
                    <w:jc w:val="center"/>
                  </w:pPr>
                  <m:oMath>
                    <m:r>
                      <m:t>15</m:t>
                    </m:r>
                    <m:r>
                      <m:rPr>
                        <m:nor/>
                        <m:sty m:val="p"/>
                      </m:rPr>
                      <m:t> ms</m:t>
                    </m:r>
                  </m:oMath>
                  <w:r>
                    <w:t xml:space="preserve">​</w:t>
                  </w:r>
                </w:p>
              </w:tc>
            </w:tr>
            <w:tr>
              <w:tc>
                <w:tcPr/>
                <w:p>
                  <w:pPr>
                    <w:pStyle w:val="Compact"/>
                    <w:jc w:val="left"/>
                    <w:jc w:val="center"/>
                  </w:pPr>
                  <w:r>
                    <w:rPr>
                      <w:b/>
                      <w:bCs/>
                    </w:rPr>
                    <w:t xml:space="preserve">Total Sistema Consolidado</w:t>
                  </w:r>
                </w:p>
              </w:tc>
              <w:tc>
                <w:tcPr/>
                <w:p>
                  <w:pPr>
                    <w:pStyle w:val="Compact"/>
                    <w:jc w:val="left"/>
                    <w:jc w:val="center"/>
                  </w:pPr>
                  <w:r>
                    <w:rPr>
                      <w:b/>
                      <w:bCs/>
                    </w:rPr>
                    <w:t xml:space="preserve">Parquet ZSTD</w:t>
                  </w:r>
                </w:p>
              </w:tc>
              <w:tc>
                <w:tcPr/>
                <w:p>
                  <w:pPr>
                    <w:pStyle w:val="Compact"/>
                    <w:jc w:val="center"/>
                    <w:jc w:val="center"/>
                  </w:pPr>
                  <w:r>
                    <w:rPr>
                      <w:b/>
                      <w:bCs/>
                    </w:rPr>
                    <w:t xml:space="preserve">—</w:t>
                  </w:r>
                </w:p>
              </w:tc>
              <w:tc>
                <w:tcPr/>
                <w:p>
                  <w:pPr>
                    <w:pStyle w:val="Compact"/>
                    <w:jc w:val="center"/>
                    <w:jc w:val="center"/>
                  </w:pPr>
                  <m:oMath>
                    <m:r>
                      <m:rPr>
                        <m:sty m:val="p"/>
                      </m:rPr>
                      <m:t>&lt;</m:t>
                    </m:r>
                    <m:r>
                      <m:t>350</m:t>
                    </m:r>
                    <m:r>
                      <m:rPr>
                        <m:nor/>
                        <m:sty m:val="p"/>
                      </m:rPr>
                      <m:t> MB</m:t>
                    </m:r>
                  </m:oMath>
                </w:p>
              </w:tc>
              <w:tc>
                <w:tcPr/>
                <w:p>
                  <w:pPr>
                    <w:pStyle w:val="Compact"/>
                    <w:jc w:val="center"/>
                    <w:jc w:val="center"/>
                  </w:pPr>
                  <m:oMath>
                    <m:r>
                      <m:rPr>
                        <m:sty m:val="p"/>
                      </m:rPr>
                      <m:t>&lt;</m:t>
                    </m:r>
                    <m:r>
                      <m:t>150</m:t>
                    </m:r>
                    <m:r>
                      <m:rPr>
                        <m:nor/>
                        <m:sty m:val="p"/>
                      </m:rPr>
                      <m:t> ms</m:t>
                    </m:r>
                  </m:oMath>
                </w:p>
              </w:tc>
            </w:tr>
          </w:tbl>
          <w:bookmarkEnd w:id="39"/>
          <w:p/>
        </w:tc>
      </w:tr>
    </w:tbl>
    <w:p>
      <w:r>
        <w:pict>
          <v:rect style="width:0;height:1.5pt" o:hralign="center" o:hrstd="t" o:hr="t"/>
        </w:pict>
      </w:r>
    </w:p>
    <w:bookmarkEnd w:id="40"/>
    <w:bookmarkEnd w:id="41"/>
    <w:bookmarkStart w:id="46" w:name="X5c2edce0d25de16bceded4e02fc5d5e8cb28461"/>
    <w:p>
      <w:pPr>
        <w:pStyle w:val="Heading1"/>
      </w:pPr>
      <w:r>
        <w:t xml:space="preserve">4. 4. Protocolo Experimental Decenal y Benchmarking Internacional</w:t>
      </w:r>
    </w:p>
    <w:bookmarkStart w:id="42" w:name="diseño-temporal-out-of-time-20152025"/>
    <w:p>
      <w:pPr>
        <w:pStyle w:val="Heading2"/>
      </w:pPr>
      <w:r>
        <w:t xml:space="preserve">4.1 4.1 Diseño Temporal</w:t>
      </w:r>
      <w:r>
        <w:t xml:space="preserve"> </w:t>
      </w:r>
      <w:r>
        <w:rPr>
          <w:i/>
          <w:iCs/>
        </w:rPr>
        <w:t xml:space="preserve">Out-of-Time</w:t>
      </w:r>
      <w:r>
        <w:t xml:space="preserve"> </w:t>
      </w:r>
      <w:r>
        <w:t xml:space="preserve">(2015–2025)</w:t>
      </w:r>
    </w:p>
    <w:p>
      <w:pPr>
        <w:pStyle w:val="FirstParagraph"/>
      </w:pPr>
      <w:r>
        <w:t xml:space="preserve">Para simular de manera fidedigna la operatividad en el mundo real y blindar el estudio contra el sobreajuste a eventos climáticos particulares, establecemos una partición temporal cronológica estricta:</w:t>
      </w:r>
    </w:p>
    <w:p>
      <w:pPr>
        <w:pStyle w:val="Compact"/>
        <w:numPr>
          <w:ilvl w:val="0"/>
          <w:numId w:val="1006"/>
        </w:numPr>
      </w:pPr>
      <w:r>
        <w:rPr>
          <w:b/>
          <w:bCs/>
        </w:rPr>
        <w:t xml:space="preserve">Conjunto de Entrenamiento (Train: 2015–2022, ~8 años, ~75 %):</w:t>
      </w:r>
      <w:r>
        <w:br/>
      </w:r>
      <w:r>
        <w:t xml:space="preserve">Abarca la variabilidad interanual completa: el mega-desastre de incendios de 2020 en el Chaco y Pantanal, episodios severos de</w:t>
      </w:r>
      <w:r>
        <w:t xml:space="preserve"> </w:t>
      </w:r>
      <w:r>
        <w:rPr>
          <w:i/>
          <w:iCs/>
        </w:rPr>
        <w:t xml:space="preserve">La Niña</w:t>
      </w:r>
      <w:r>
        <w:t xml:space="preserve"> </w:t>
      </w:r>
      <w:r>
        <w:t xml:space="preserve">con sequía prolongada (2021), inviernos con heladas polares desecantes y veranos húmedos con tormentas.</w:t>
      </w:r>
    </w:p>
    <w:p>
      <w:pPr>
        <w:pStyle w:val="Compact"/>
        <w:numPr>
          <w:ilvl w:val="0"/>
          <w:numId w:val="1006"/>
        </w:numPr>
      </w:pPr>
      <w:r>
        <w:rPr>
          <w:b/>
          <w:bCs/>
        </w:rPr>
        <w:t xml:space="preserve">Conjunto de Validación (Val: 2023, 1 año completo, ~12,5 %):</w:t>
      </w:r>
      <w:r>
        <w:br/>
      </w:r>
      <w:r>
        <w:t xml:space="preserve">Utilizado para el ajuste de hiperparámetros de LightGBM, activación de</w:t>
      </w:r>
      <w:r>
        <w:t xml:space="preserve"> </w:t>
      </w:r>
      <w:r>
        <w:rPr>
          <w:i/>
          <w:iCs/>
        </w:rPr>
        <w:t xml:space="preserve">early stopping</w:t>
      </w:r>
      <w:r>
        <w:t xml:space="preserve"> </w:t>
      </w:r>
      <w:r>
        <w:t xml:space="preserve">(paciencia de 50 rondas de boosting) y estimación de los coeficientes de calibración monótona de Platt.</w:t>
      </w:r>
    </w:p>
    <w:p>
      <w:pPr>
        <w:pStyle w:val="Compact"/>
        <w:numPr>
          <w:ilvl w:val="0"/>
          <w:numId w:val="1006"/>
        </w:numPr>
      </w:pPr>
      <w:r>
        <w:rPr>
          <w:b/>
          <w:bCs/>
        </w:rPr>
        <w:t xml:space="preserve">Conjunto de Test Ciego (Test Out-of-Time: 2024–2025, 1 a 2 años, ~12,5 %):</w:t>
      </w:r>
      <w:r>
        <w:br/>
      </w:r>
      <w:r>
        <w:t xml:space="preserve">Conjunto estrictamente congelado durante el entrenamiento. Sobre esta ventana se computan todas las métricas de rendimiento y la comparación internacional frente a FWI e INPE.</w:t>
      </w:r>
    </w:p>
    <w:bookmarkEnd w:id="42"/>
    <w:bookmarkStart w:id="43" w:name="X2c1947b6764268a3c41abc7b9d99a82fbfe9759"/>
    <w:p>
      <w:pPr>
        <w:pStyle w:val="Heading2"/>
      </w:pPr>
      <w:r>
        <w:t xml:space="preserve">4.2 4.2 Control Espacial:</w:t>
      </w:r>
      <w:r>
        <w:t xml:space="preserve"> </w:t>
      </w:r>
      <w:r>
        <w:rPr>
          <w:i/>
          <w:iCs/>
        </w:rPr>
        <w:t xml:space="preserve">Dead-Zone Buffer</w:t>
      </w:r>
      <w:r>
        <w:t xml:space="preserve"> </w:t>
      </w:r>
      <w:r>
        <w:t xml:space="preserve">de 20 km</w:t>
      </w:r>
    </w:p>
    <w:p>
      <w:pPr>
        <w:pStyle w:val="FirstParagraph"/>
      </w:pPr>
      <w:r>
        <w:t xml:space="preserve">Dado que la autocorrelación espacial de los incendios forestales se propaga a lo largo de decenas de kilómetros por transporte advectivo de pavesas, columnas de convección y frentes de ráfagas —en concordancia directa con la primera ley de la geografía</w:t>
      </w:r>
      <w:r>
        <w:t xml:space="preserve"> </w:t>
      </w:r>
      <w:r>
        <w:t xml:space="preserve">(Tobler, 1970)</w:t>
      </w:r>
      <w:r>
        <w:t xml:space="preserve"> </w:t>
      </w:r>
      <w:r>
        <w:t xml:space="preserve">y los principios de dependencia espacial en ecología cuantitativa</w:t>
      </w:r>
      <w:r>
        <w:t xml:space="preserve"> </w:t>
      </w:r>
      <w:r>
        <w:t xml:space="preserve">(Dormann et al., 2007; Legendre, 1993)</w:t>
      </w:r>
      <w:r>
        <w:t xml:space="preserve">—, el muestreo aleatorio uniforme de ausencias genera falsos negativos contaminados (</w:t>
      </w:r>
      <w:r>
        <w:rPr>
          <w:i/>
          <w:iCs/>
        </w:rPr>
        <w:t xml:space="preserve">leakage</w:t>
      </w:r>
      <w:r>
        <w:t xml:space="preserve"> </w:t>
      </w:r>
      <w:r>
        <w:t xml:space="preserve">por proximidad geográfica).</w:t>
      </w:r>
    </w:p>
    <w:p>
      <w:pPr>
        <w:pStyle w:val="BodyText"/>
      </w:pPr>
      <w:r>
        <w:t xml:space="preserve">Para garantizar una evaluación rigurosa del área de aplicabilidad del modelo y evitar métricas sobreajustadas</w:t>
      </w:r>
      <w:r>
        <w:t xml:space="preserve"> </w:t>
      </w:r>
      <w:r>
        <w:t xml:space="preserve">(Meyer &amp; Pebesma, 2021; Ploton et al., 2020; Roberts et al., 2017)</w:t>
      </w:r>
      <w:r>
        <w:t xml:space="preserve">, implementamos una</w:t>
      </w:r>
      <w:r>
        <w:t xml:space="preserve"> </w:t>
      </w:r>
      <w:r>
        <w:rPr>
          <w:b/>
          <w:bCs/>
        </w:rPr>
        <w:t xml:space="preserve">zona muerta de exclusión espacial (</w:t>
      </w:r>
      <w:r>
        <w:rPr>
          <w:b/>
          <w:bCs/>
          <w:i/>
          <w:iCs/>
        </w:rPr>
        <w:t xml:space="preserve">dead-zone buffer</w:t>
      </w:r>
      <w:r>
        <w:rPr>
          <w:b/>
          <w:bCs/>
        </w:rPr>
        <w:t xml:space="preserve">) de 20 km</w:t>
      </w:r>
      <w:r>
        <w:t xml:space="preserve">: para cada fecha</w:t>
      </w:r>
      <w:r>
        <w:t xml:space="preserve"> </w:t>
      </w:r>
      <m:oMath>
        <m:r>
          <m:t>t</m:t>
        </m:r>
      </m:oMath>
      <w:r>
        <w:t xml:space="preserve">, las pseudo-ausencias (</w:t>
      </w:r>
      <m:oMath>
        <m:sSub>
          <m:e>
            <m:r>
              <m:t>Y</m:t>
            </m:r>
          </m:e>
          <m:sub>
            <m:r>
              <m:t>i</m:t>
            </m:r>
            <m:r>
              <m:rPr>
                <m:sty m:val="p"/>
              </m:rPr>
              <m:t>,</m:t>
            </m:r>
            <m:r>
              <m:t>t</m:t>
            </m:r>
          </m:sub>
        </m:sSub>
        <m:r>
          <m:rPr>
            <m:sty m:val="p"/>
          </m:rPr>
          <m:t>=</m:t>
        </m:r>
        <m:r>
          <m:t>0</m:t>
        </m:r>
      </m:oMath>
      <w:r>
        <w:t xml:space="preserve">) se muestrean exclusivamente entre aquellas celdas con combustible que distan más de</w:t>
      </w:r>
      <w:r>
        <w:t xml:space="preserve"> </w:t>
      </w:r>
      <m:oMath>
        <m:r>
          <m:t>20</m:t>
        </m:r>
        <m:r>
          <m:rPr>
            <m:nor/>
            <m:sty m:val="p"/>
          </m:rPr>
          <m:t> km</m:t>
        </m:r>
      </m:oMath>
      <w:r>
        <w:t xml:space="preserve"> </w:t>
      </w:r>
      <w:r>
        <w:t xml:space="preserve">de cualquier detección térmica activa observada en esa misma fecha. El ratio de muestreo se fija en 10:1 (diez ausencias controladas por cada presencia confirmada).</w:t>
      </w:r>
    </w:p>
    <w:p>
      <w:pPr>
        <w:pStyle w:val="BodyText"/>
      </w:pPr>
      <w:r>
        <w:t xml:space="preserve">Para verificar que este umbral no introduce sesgos arbitrarios, realizamos un análisis de sensibilidad multiescala evaluando radios de exclusión alternativos de</w:t>
      </w:r>
      <w:r>
        <w:t xml:space="preserve"> </w:t>
      </w:r>
      <m:oMath>
        <m:r>
          <m:t>10</m:t>
        </m:r>
        <m:r>
          <m:rPr>
            <m:nor/>
            <m:sty m:val="p"/>
          </m:rPr>
          <m:t> km</m:t>
        </m:r>
      </m:oMath>
      <w:r>
        <w:t xml:space="preserve"> </w:t>
      </w:r>
      <w:r>
        <w:t xml:space="preserve">y</w:t>
      </w:r>
      <w:r>
        <w:t xml:space="preserve"> </w:t>
      </w:r>
      <m:oMath>
        <m:r>
          <m:t>30</m:t>
        </m:r>
        <m:r>
          <m:rPr>
            <m:nor/>
            <m:sty m:val="p"/>
          </m:rPr>
          <m:t> km</m:t>
        </m:r>
      </m:oMath>
      <w:r>
        <w:t xml:space="preserve">. Los resultados confirman una alta estabilidad métrica (el ROC-AUC de ignición varía menos de</w:t>
      </w:r>
      <w:r>
        <w:t xml:space="preserve"> </w:t>
      </w:r>
      <m:oMath>
        <m:r>
          <m:rPr>
            <m:sty m:val="p"/>
          </m:rPr>
          <m:t>±</m:t>
        </m:r>
        <m:r>
          <m:t>0</m:t>
        </m:r>
        <m:r>
          <m:rPr>
            <m:sty m:val="p"/>
          </m:rPr>
          <m:t>,</m:t>
        </m:r>
        <m:r>
          <m:t>012</m:t>
        </m:r>
      </m:oMath>
      <w:r>
        <w:t xml:space="preserve"> </w:t>
      </w:r>
      <w:r>
        <w:t xml:space="preserve">entre ambos extremos, ver Texto Suplementario S3), consolidando a los</w:t>
      </w:r>
      <w:r>
        <w:t xml:space="preserve"> </w:t>
      </w:r>
      <m:oMath>
        <m:r>
          <m:t>20</m:t>
        </m:r>
        <m:r>
          <m:rPr>
            <m:nor/>
            <m:sty m:val="p"/>
          </m:rPr>
          <m:t> km</m:t>
        </m:r>
      </m:oMath>
      <w:r>
        <w:t xml:space="preserve"> </w:t>
      </w:r>
      <w:r>
        <w:t xml:space="preserve">como el compromiso óptimo derivado del alcance empírico del semivariograma (</w:t>
      </w:r>
      <m:oMath>
        <m:r>
          <m:t>a</m:t>
        </m:r>
        <m:r>
          <m:rPr>
            <m:sty m:val="p"/>
          </m:rPr>
          <m:t>=</m:t>
        </m:r>
        <m:r>
          <m:t>18</m:t>
        </m:r>
        <m:r>
          <m:rPr>
            <m:sty m:val="p"/>
          </m:rPr>
          <m:t>,</m:t>
        </m:r>
        <m:r>
          <m:t>4</m:t>
        </m:r>
        <m:r>
          <m:rPr>
            <m:nor/>
            <m:sty m:val="p"/>
          </m:rPr>
          <m:t> km</m:t>
        </m:r>
      </m:oMath>
      <w:r>
        <w:t xml:space="preserve">).</w:t>
      </w:r>
    </w:p>
    <w:bookmarkEnd w:id="43"/>
    <w:bookmarkStart w:id="44" w:name="modelos-contendientes-de-benchmarking"/>
    <w:p>
      <w:pPr>
        <w:pStyle w:val="Heading2"/>
      </w:pPr>
      <w:r>
        <w:t xml:space="preserve">4.3 4.3 Modelos Contendientes de Benchmarking</w:t>
      </w:r>
    </w:p>
    <w:p>
      <w:pPr>
        <w:pStyle w:val="FirstParagraph"/>
      </w:pPr>
      <w:r>
        <w:t xml:space="preserve">Evaluamos a</w:t>
      </w:r>
      <w:r>
        <w:t xml:space="preserve"> </w:t>
      </w:r>
      <w:r>
        <w:rPr>
          <w:rStyle w:val="VerbatimChar"/>
        </w:rPr>
        <w:t xml:space="preserve">Incendios_PY</w:t>
      </w:r>
      <w:r>
        <w:t xml:space="preserve"> </w:t>
      </w:r>
      <w:r>
        <w:t xml:space="preserve">en competencia directa contra los sistemas canónicos internacionales y las líneas base metodológicas reportadas en la literatura de incendios forestales</w:t>
      </w:r>
      <w:r>
        <w:t xml:space="preserve"> </w:t>
      </w:r>
      <w:r>
        <w:t xml:space="preserve">(Jain et al., 2020; Rodrigues &amp; Riva, 2014; Sayad et al., 2019)</w:t>
      </w:r>
      <w:r>
        <w:t xml:space="preserve">:</w:t>
      </w:r>
    </w:p>
    <w:p>
      <w:pPr>
        <w:pStyle w:val="Compact"/>
        <w:numPr>
          <w:ilvl w:val="0"/>
          <w:numId w:val="1007"/>
        </w:numPr>
      </w:pPr>
      <w:r>
        <w:rPr>
          <w:b/>
          <w:bCs/>
        </w:rPr>
        <w:t xml:space="preserve">Canadian Forest Fire Weather Index (FWI Puro):</w:t>
      </w:r>
      <w:r>
        <w:t xml:space="preserve"> </w:t>
      </w:r>
      <w:r>
        <w:t xml:space="preserve">Calculado conforme a la formulación canónica de Van Wagner</w:t>
      </w:r>
      <w:r>
        <w:t xml:space="preserve"> </w:t>
      </w:r>
      <w:r>
        <w:t xml:space="preserve">(1987)</w:t>
      </w:r>
      <w:r>
        <w:t xml:space="preserve">, utilizando las variables meteorológicas de mediodía solar de ERA5-Land.</w:t>
      </w:r>
    </w:p>
    <w:p>
      <w:pPr>
        <w:pStyle w:val="Compact"/>
        <w:numPr>
          <w:ilvl w:val="0"/>
          <w:numId w:val="1007"/>
        </w:numPr>
      </w:pPr>
      <w:r>
        <w:rPr>
          <w:b/>
          <w:bCs/>
        </w:rPr>
        <w:t xml:space="preserve">INPE Risco de Fogo (Setzer et al.):</w:t>
      </w:r>
      <w:r>
        <w:t xml:space="preserve"> </w:t>
      </w:r>
      <w:r>
        <w:t xml:space="preserve">Implementación algorítmica del modelo operativo del INPE</w:t>
      </w:r>
      <w:r>
        <w:t xml:space="preserve"> </w:t>
      </w:r>
      <w:r>
        <w:t xml:space="preserve">(2019)</w:t>
      </w:r>
      <w:r>
        <w:t xml:space="preserve">, basado en días secos acumulados (</w:t>
      </w:r>
      <m:oMath>
        <m:r>
          <m:t>C</m:t>
        </m:r>
        <m:r>
          <m:t>D</m:t>
        </m:r>
        <m:r>
          <m:t>D</m:t>
        </m:r>
      </m:oMath>
      <w:r>
        <w:t xml:space="preserve">), humedad relativa mínima y clases de vegetación.</w:t>
      </w:r>
    </w:p>
    <w:p>
      <w:pPr>
        <w:pStyle w:val="Compact"/>
        <w:numPr>
          <w:ilvl w:val="0"/>
          <w:numId w:val="1007"/>
        </w:numPr>
      </w:pPr>
      <w:r>
        <w:rPr>
          <w:b/>
          <w:bCs/>
        </w:rPr>
        <w:t xml:space="preserve">Línea Base Climatológica Nula:</w:t>
      </w:r>
      <w:r>
        <w:t xml:space="preserve"> </w:t>
      </w:r>
      <w:r>
        <w:t xml:space="preserve">Probabilidad marginal constante derivada de la frecuencia histórica de fuego en cada ecorregión (</w:t>
      </w:r>
      <m:oMath>
        <m:sSub>
          <m:e>
            <m:r>
              <m:t>P</m:t>
            </m:r>
          </m:e>
          <m:sub>
            <m:r>
              <m:rPr>
                <m:nor/>
                <m:sty m:val="p"/>
              </m:rPr>
              <m:t>base</m:t>
            </m:r>
          </m:sub>
        </m:sSub>
        <m:r>
          <m:rPr>
            <m:sty m:val="p"/>
          </m:rPr>
          <m:t>=</m:t>
        </m:r>
        <m:sSub>
          <m:e>
            <m:acc>
              <m:accPr>
                <m:chr m:val="‾"/>
              </m:accPr>
              <m:e>
                <m:r>
                  <m:t>Y</m:t>
                </m:r>
              </m:e>
            </m:acc>
          </m:e>
          <m:sub>
            <m:r>
              <m:rPr>
                <m:nor/>
                <m:sty m:val="p"/>
              </m:rPr>
              <m:t>train</m:t>
            </m:r>
          </m:sub>
        </m:sSub>
      </m:oMath>
      <w:r>
        <w:t xml:space="preserve">).</w:t>
      </w:r>
    </w:p>
    <w:bookmarkEnd w:id="44"/>
    <w:bookmarkStart w:id="45" w:name="métricas-para-eventos-raros"/>
    <w:p>
      <w:pPr>
        <w:pStyle w:val="Heading2"/>
      </w:pPr>
      <w:r>
        <w:t xml:space="preserve">4.4 4.4 Métricas para Eventos Raros</w:t>
      </w:r>
    </w:p>
    <w:p>
      <w:pPr>
        <w:pStyle w:val="FirstParagraph"/>
      </w:pPr>
      <w:r>
        <w:t xml:space="preserve">Dada la prevalencia desbalanceada del fuego en el paisaje (</w:t>
      </w:r>
      <m:oMath>
        <m:r>
          <m:rPr>
            <m:sty m:val="p"/>
          </m:rPr>
          <m:t>&lt;</m:t>
        </m:r>
        <m:r>
          <m:t>5</m:t>
        </m:r>
        <m:r>
          <m:rPr>
            <m:nor/>
            <m:sty m:val="p"/>
          </m:rPr>
          <m:t> %</m:t>
        </m:r>
      </m:oMath>
      <w:r>
        <w:t xml:space="preserve">), la Exactitud Global (</w:t>
      </w:r>
      <w:r>
        <w:rPr>
          <w:i/>
          <w:iCs/>
        </w:rPr>
        <w:t xml:space="preserve">Accuracy</w:t>
      </w:r>
      <w:r>
        <w:t xml:space="preserve">) carece de significado estadístico. Por ello, reportamos:</w:t>
      </w:r>
      <w:r>
        <w:t xml:space="preserve"> </w:t>
      </w:r>
      <w:r>
        <w:t xml:space="preserve">-</w:t>
      </w:r>
      <w:r>
        <w:t xml:space="preserve"> </w:t>
      </w:r>
      <w:r>
        <w:rPr>
          <w:b/>
          <w:bCs/>
        </w:rPr>
        <w:t xml:space="preserve">Área bajo la Curva ROC (ROC-AUC):</w:t>
      </w:r>
      <w:r>
        <w:t xml:space="preserve"> </w:t>
      </w:r>
      <w:r>
        <w:t xml:space="preserve">Capacidad del modelo para ordenar el riesgo relativo en todo el espectro de corte.</w:t>
      </w:r>
      <w:r>
        <w:t xml:space="preserve"> </w:t>
      </w:r>
      <w:r>
        <w:t xml:space="preserve">-</w:t>
      </w:r>
      <w:r>
        <w:t xml:space="preserve"> </w:t>
      </w:r>
      <w:r>
        <w:rPr>
          <w:b/>
          <w:bCs/>
        </w:rPr>
        <w:t xml:space="preserve">Área bajo la Curva Precision-Recall (PR-AUC):</w:t>
      </w:r>
      <w:r>
        <w:t xml:space="preserve"> </w:t>
      </w:r>
      <w:r>
        <w:t xml:space="preserve">Métrica de oro para clasificación con clases altamente desbalanceadas, sensible a la tasa de falsos positivos en la cola extrema de alerta.</w:t>
      </w:r>
      <w:r>
        <w:t xml:space="preserve"> </w:t>
      </w:r>
      <w:r>
        <w:t xml:space="preserve">-</w:t>
      </w:r>
      <w:r>
        <w:t xml:space="preserve"> </w:t>
      </w:r>
      <w:r>
        <w:rPr>
          <w:b/>
          <w:bCs/>
        </w:rPr>
        <w:t xml:space="preserve">Brier Score Calibrado:</w:t>
      </w:r>
      <w:r>
        <w:t xml:space="preserve"> </w:t>
      </w:r>
      <w:r>
        <w:t xml:space="preserve">Medida de concordancia entre la probabilidad predicha y la ocurrencia empírica del evento (</w:t>
      </w:r>
      <m:oMath>
        <m:r>
          <m:t>B</m:t>
        </m:r>
        <m:r>
          <m:t>S</m:t>
        </m:r>
        <m:r>
          <m:rPr>
            <m:sty m:val="p"/>
          </m:rPr>
          <m:t>=</m:t>
        </m:r>
        <m:f>
          <m:fPr>
            <m:type m:val="bar"/>
          </m:fPr>
          <m:num>
            <m:r>
              <m:t>1</m:t>
            </m:r>
          </m:num>
          <m:den>
            <m:r>
              <m:t>M</m:t>
            </m:r>
          </m:den>
        </m:f>
        <m:r>
          <m:rPr>
            <m:sty m:val="p"/>
          </m:rPr>
          <m:t>∑</m:t>
        </m:r>
        <m:r>
          <m:rPr>
            <m:sty m:val="p"/>
          </m:rPr>
          <m:t>(</m:t>
        </m:r>
        <m:sSub>
          <m:e>
            <m:r>
              <m:t>p</m:t>
            </m:r>
          </m:e>
          <m:sub>
            <m:r>
              <m:t>i</m:t>
            </m:r>
          </m:sub>
        </m:sSub>
        <m:r>
          <m:rPr>
            <m:sty m:val="p"/>
          </m:rPr>
          <m:t>−</m:t>
        </m:r>
        <m:sSub>
          <m:e>
            <m:r>
              <m:t>y</m:t>
            </m:r>
          </m:e>
          <m:sub>
            <m:r>
              <m:t>i</m:t>
            </m:r>
          </m:sub>
        </m:sSub>
        <m:sSup>
          <m:e>
            <m:r>
              <m:rPr>
                <m:sty m:val="p"/>
              </m:rPr>
              <m:t>)</m:t>
            </m:r>
          </m:e>
          <m:sup>
            <m:r>
              <m:t>2</m:t>
            </m:r>
          </m:sup>
        </m:sSup>
      </m:oMath>
      <w:r>
        <w:t xml:space="preserve">).</w:t>
      </w:r>
    </w:p>
    <w:p>
      <w:r>
        <w:pict>
          <v:rect style="width:0;height:1.5pt" o:hralign="center" o:hrstd="t" o:hr="t"/>
        </w:pict>
      </w:r>
    </w:p>
    <w:bookmarkEnd w:id="45"/>
    <w:bookmarkEnd w:id="46"/>
    <w:bookmarkStart w:id="71" w:name="X20f4958fcedc9bafa13e2cf47911c5a9e13d390"/>
    <w:p>
      <w:pPr>
        <w:pStyle w:val="Heading1"/>
      </w:pPr>
      <w:r>
        <w:t xml:space="preserve">5. 5. Resultados Empíricos y Explicabilidad Biofísica</w:t>
      </w:r>
    </w:p>
    <w:bookmarkStart w:id="52" w:name="Xbd6a8131db356ecb5a9ff2c69ed0cd9d67b4794"/>
    <w:p>
      <w:pPr>
        <w:pStyle w:val="Heading2"/>
      </w:pPr>
      <w:r>
        <w:t xml:space="preserve">5.1 5.1 Desempeño Discriminante en Prueba Ciega</w:t>
      </w:r>
      <w:r>
        <w:t xml:space="preserve"> </w:t>
      </w:r>
      <w:r>
        <w:rPr>
          <w:i/>
          <w:iCs/>
        </w:rPr>
        <w:t xml:space="preserve">Out-of-Time</w:t>
      </w:r>
    </w:p>
    <w:p>
      <w:pPr>
        <w:pStyle w:val="FirstParagraph"/>
      </w:pPr>
      <w:r>
        <w:t xml:space="preserve">La</w:t>
      </w:r>
      <w:r>
        <w:t xml:space="preserve"> </w:t>
      </w:r>
      <w:hyperlink w:anchor="tbl-metricas">
        <w:r>
          <w:rPr>
            <w:rStyle w:val="Hyperlink"/>
          </w:rPr>
          <w:t xml:space="preserve">Tabla 2</w:t>
        </w:r>
      </w:hyperlink>
      <w:r>
        <w:t xml:space="preserve"> </w:t>
      </w:r>
      <w:r>
        <w:t xml:space="preserve">sintetiza el rendimiento discriminante de las dos capas de</w:t>
      </w:r>
      <w:r>
        <w:t xml:space="preserve"> </w:t>
      </w:r>
      <w:r>
        <w:rPr>
          <w:rStyle w:val="VerbatimChar"/>
        </w:rPr>
        <w:t xml:space="preserve">Incendios_PY</w:t>
      </w:r>
      <w:r>
        <w:t xml:space="preserve"> </w:t>
      </w:r>
      <w:r>
        <w:t xml:space="preserve">en la partición ciega temporal para las dos macro-regiones ecológicas del país (Chaco y Región Oriental).</w:t>
      </w:r>
    </w:p>
    <w:tbl>
      <w:tblPr>
        <w:tblStyle w:val="Table"/>
        <w:tblW w:type="pct" w:w="5000"/>
        <w:tblLayout w:type="fixed"/>
        <w:tblLook w:firstRow="0" w:lastRow="0" w:firstColumn="0" w:lastColumn="0" w:noHBand="0" w:noVBand="0" w:val="0000"/>
      </w:tblPr>
      <w:tblGrid>
        <w:gridCol w:w="7920"/>
      </w:tblGrid>
      <w:tr>
        <w:tc>
          <w:tcPr/>
          <w:bookmarkStart w:id="47" w:name="tbl-metricas"/>
          <w:p>
            <w:pPr>
              <w:jc w:val="center"/>
            </w:pPr>
            <w:pPr>
              <w:jc w:val="left"/>
              <w:spacing w:before="200"/>
              <w:pStyle w:val="ImageCaption"/>
            </w:pPr>
            <w:r>
              <w:t xml:space="preserve">Tabla 2: Métricas de desempeño en el conjunto de prueba ciego out-of-time para la arquitectura dual desacoplada de</w:t>
            </w:r>
            <w:r>
              <w:t xml:space="preserve"> </w:t>
            </w:r>
            <w:r>
              <w:rPr>
                <w:rStyle w:val="VerbatimChar"/>
              </w:rPr>
              <w:t xml:space="preserve">Incendios_PY</w:t>
            </w:r>
            <w:r>
              <w:t xml:space="preserve"> </w:t>
            </w:r>
            <w:r>
              <w:t xml:space="preserve">(bajo punto de corte operativo de alta precisión</w:t>
            </w:r>
            <w:r>
              <w:t xml:space="preserve"> </w:t>
            </w:r>
            <m:oMath>
              <m:sSub>
                <m:e>
                  <m:r>
                    <m:t>F</m:t>
                  </m:r>
                </m:e>
                <m:sub>
                  <m:r>
                    <m:t>0.5</m:t>
                  </m:r>
                </m:sub>
              </m:sSub>
            </m:oMath>
            <w:r>
              <w:t xml:space="preserve">; bajo criterio Youden</w:t>
            </w:r>
            <w:r>
              <w:t xml:space="preserve"> </w:t>
            </w:r>
            <m:oMath>
              <m:r>
                <m:t>J</m:t>
              </m:r>
            </m:oMath>
            <w:r>
              <w:t xml:space="preserve">, la sensibilidad de ignición asciende a</w:t>
            </w:r>
            <w:r>
              <w:t xml:space="preserve"> </w:t>
            </w:r>
            <m:oMath>
              <m:r>
                <m:t>75</m:t>
              </m:r>
              <m:r>
                <m:rPr>
                  <m:sty m:val="p"/>
                </m:rPr>
                <m:t>,</m:t>
              </m:r>
              <m:r>
                <m:t>9</m:t>
              </m:r>
              <m:r>
                <m:rPr>
                  <m:nor/>
                  <m:sty m:val="p"/>
                </m:rPr>
                <m:t> %</m:t>
              </m:r>
            </m:oMath>
            <w:r>
              <w:t xml:space="preserve"> </w:t>
            </w:r>
            <w:r>
              <w:t xml:space="preserve">en Chaco y</w:t>
            </w:r>
            <w:r>
              <w:t xml:space="preserve"> </w:t>
            </w:r>
            <m:oMath>
              <m:r>
                <m:t>72</m:t>
              </m:r>
              <m:r>
                <m:rPr>
                  <m:sty m:val="p"/>
                </m:rPr>
                <m:t>,</m:t>
              </m:r>
              <m:r>
                <m:t>5</m:t>
              </m:r>
              <m:r>
                <m:rPr>
                  <m:nor/>
                  <m:sty m:val="p"/>
                </m:rPr>
                <m:t> %</m:t>
              </m:r>
            </m:oMath>
            <w:r>
              <w:t xml:space="preserve"> </w:t>
            </w:r>
            <w:r>
              <w:t xml:space="preserve">en Oriental).</w:t>
            </w:r>
          </w:p>
          <w:tbl>
            <w:tblPr>
              <w:tblStyle w:val="Table"/>
              <w:tblW w:type="pct" w:w="5000"/>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jc w:val="center"/>
                  </w:pPr>
                  <w:r>
                    <w:t xml:space="preserve">Macro-Región</w:t>
                  </w:r>
                </w:p>
              </w:tc>
              <w:tc>
                <w:tcPr/>
                <w:p>
                  <w:pPr>
                    <w:pStyle w:val="Compact"/>
                    <w:jc w:val="left"/>
                    <w:jc w:val="center"/>
                  </w:pPr>
                  <w:r>
                    <w:t xml:space="preserve">Capa del Modelo</w:t>
                  </w:r>
                </w:p>
              </w:tc>
              <w:tc>
                <w:tcPr/>
                <w:p>
                  <w:pPr>
                    <w:pStyle w:val="Compact"/>
                    <w:jc w:val="center"/>
                    <w:jc w:val="center"/>
                  </w:pPr>
                  <w:r>
                    <w:t xml:space="preserve">ROC-AUC</w:t>
                  </w:r>
                </w:p>
              </w:tc>
              <w:tc>
                <w:tcPr/>
                <w:p>
                  <w:pPr>
                    <w:pStyle w:val="Compact"/>
                    <w:jc w:val="center"/>
                    <w:jc w:val="center"/>
                  </w:pPr>
                  <w:r>
                    <w:t xml:space="preserve">PR-AUC</w:t>
                  </w:r>
                </w:p>
              </w:tc>
              <w:tc>
                <w:tcPr/>
                <w:p>
                  <w:pPr>
                    <w:pStyle w:val="Compact"/>
                    <w:jc w:val="center"/>
                    <w:jc w:val="center"/>
                  </w:pPr>
                  <w:r>
                    <w:t xml:space="preserve">Precisión (%)</w:t>
                  </w:r>
                </w:p>
              </w:tc>
              <w:tc>
                <w:tcPr/>
                <w:p>
                  <w:pPr>
                    <w:pStyle w:val="Compact"/>
                    <w:jc w:val="center"/>
                    <w:jc w:val="center"/>
                  </w:pPr>
                  <w:r>
                    <w:t xml:space="preserve">Recall (%)</w:t>
                  </w:r>
                </w:p>
              </w:tc>
              <w:tc>
                <w:tcPr/>
                <w:p>
                  <w:pPr>
                    <w:pStyle w:val="Compact"/>
                    <w:jc w:val="center"/>
                    <w:jc w:val="center"/>
                  </w:pPr>
                  <w:r>
                    <w:t xml:space="preserve">Brier Score</w:t>
                  </w:r>
                </w:p>
              </w:tc>
            </w:tr>
            <w:tr>
              <w:tc>
                <w:tcPr/>
                <w:p>
                  <w:pPr>
                    <w:pStyle w:val="Compact"/>
                    <w:jc w:val="left"/>
                    <w:jc w:val="center"/>
                  </w:pPr>
                  <w:r>
                    <w:rPr>
                      <w:b/>
                      <w:bCs/>
                    </w:rPr>
                    <w:t xml:space="preserve">Región Occidental (Chaco)</w:t>
                  </w:r>
                </w:p>
              </w:tc>
              <w:tc>
                <w:tcPr/>
                <w:p>
                  <w:pPr>
                    <w:pStyle w:val="Compact"/>
                    <w:jc w:val="left"/>
                    <w:jc w:val="center"/>
                  </w:pPr>
                  <w:r>
                    <w:t xml:space="preserve">Ignición Primaria (Física)</w:t>
                  </w:r>
                </w:p>
              </w:tc>
              <w:tc>
                <w:tcPr/>
                <w:p>
                  <w:pPr>
                    <w:pStyle w:val="Compact"/>
                    <w:jc w:val="center"/>
                    <w:jc w:val="center"/>
                  </w:pPr>
                  <m:oMath>
                    <m:r>
                      <m:rPr>
                        <m:sty m:val="b"/>
                      </m:rPr>
                      <m:t>0</m:t>
                    </m:r>
                    <m:r>
                      <m:rPr>
                        <m:sty m:val="b"/>
                      </m:rPr>
                      <m:t>,</m:t>
                    </m:r>
                    <m:r>
                      <m:rPr>
                        <m:sty m:val="b"/>
                      </m:rPr>
                      <m:t>8305</m:t>
                    </m:r>
                  </m:oMath>
                  <w:r>
                    <w:t xml:space="preserve">​</w:t>
                  </w:r>
                </w:p>
              </w:tc>
              <w:tc>
                <w:tcPr/>
                <w:p>
                  <w:pPr>
                    <w:pStyle w:val="Compact"/>
                    <w:jc w:val="center"/>
                    <w:jc w:val="center"/>
                  </w:pPr>
                  <m:oMath>
                    <m:r>
                      <m:rPr>
                        <m:sty m:val="b"/>
                      </m:rPr>
                      <m:t>0</m:t>
                    </m:r>
                    <m:r>
                      <m:rPr>
                        <m:sty m:val="b"/>
                      </m:rPr>
                      <m:t>,</m:t>
                    </m:r>
                    <m:r>
                      <m:rPr>
                        <m:sty m:val="b"/>
                      </m:rPr>
                      <m:t>5714</m:t>
                    </m:r>
                  </m:oMath>
                  <w:r>
                    <w:t xml:space="preserve">​</w:t>
                  </w:r>
                </w:p>
              </w:tc>
              <w:tc>
                <w:tcPr/>
                <w:p>
                  <w:pPr>
                    <w:pStyle w:val="Compact"/>
                    <w:jc w:val="center"/>
                    <w:jc w:val="center"/>
                  </w:pPr>
                  <m:oMath>
                    <m:r>
                      <m:rPr>
                        <m:sty m:val="b"/>
                      </m:rPr>
                      <m:t>60</m:t>
                    </m:r>
                    <m:r>
                      <m:rPr>
                        <m:sty m:val="b"/>
                      </m:rPr>
                      <m:t>,</m:t>
                    </m:r>
                    <m:r>
                      <m:rPr>
                        <m:sty m:val="b"/>
                      </m:rPr>
                      <m:t>51</m:t>
                    </m:r>
                    <m:r>
                      <m:rPr>
                        <m:nor/>
                        <m:sty m:val="p"/>
                      </m:rPr>
                      <m:t> %</m:t>
                    </m:r>
                  </m:oMath>
                  <w:r>
                    <w:t xml:space="preserve">​</w:t>
                  </w:r>
                </w:p>
              </w:tc>
              <w:tc>
                <w:tcPr/>
                <w:p>
                  <w:pPr>
                    <w:pStyle w:val="Compact"/>
                    <w:jc w:val="center"/>
                    <w:jc w:val="center"/>
                  </w:pPr>
                  <m:oMath>
                    <m:r>
                      <m:rPr>
                        <m:sty m:val="b"/>
                      </m:rPr>
                      <m:t>57</m:t>
                    </m:r>
                    <m:r>
                      <m:rPr>
                        <m:sty m:val="b"/>
                      </m:rPr>
                      <m:t>,</m:t>
                    </m:r>
                    <m:r>
                      <m:rPr>
                        <m:sty m:val="b"/>
                      </m:rPr>
                      <m:t>23</m:t>
                    </m:r>
                    <m:r>
                      <m:rPr>
                        <m:nor/>
                        <m:sty m:val="p"/>
                      </m:rPr>
                      <m:t> %</m:t>
                    </m:r>
                  </m:oMath>
                  <w:r>
                    <w:t xml:space="preserve">​</w:t>
                  </w:r>
                </w:p>
              </w:tc>
              <w:tc>
                <w:tcPr/>
                <w:p>
                  <w:pPr>
                    <w:pStyle w:val="Compact"/>
                    <w:jc w:val="center"/>
                    <w:jc w:val="center"/>
                  </w:pPr>
                  <m:oMath>
                    <m:r>
                      <m:rPr>
                        <m:sty m:val="b"/>
                      </m:rPr>
                      <m:t>0</m:t>
                    </m:r>
                    <m:r>
                      <m:rPr>
                        <m:sty m:val="b"/>
                      </m:rPr>
                      <m:t>,</m:t>
                    </m:r>
                    <m:r>
                      <m:rPr>
                        <m:sty m:val="b"/>
                      </m:rPr>
                      <m:t>0517</m:t>
                    </m:r>
                  </m:oMath>
                  <w:r>
                    <w:t xml:space="preserve">​</w:t>
                  </w:r>
                </w:p>
              </w:tc>
            </w:tr>
            <w:tr>
              <w:tc>
                <w:tcPr/>
                <w:p>
                  <w:pPr>
                    <w:pStyle w:val="Compact"/>
                    <w:jc w:val="left"/>
                    <w:jc w:val="center"/>
                  </w:pPr>
                  <w:r>
                    <w:rPr>
                      <w:b/>
                      <w:bCs/>
                    </w:rPr>
                    <w:t xml:space="preserve">Región Occidental (Chaco)</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8494</m:t>
                    </m:r>
                  </m:oMath>
                  <w:r>
                    <w:t xml:space="preserve">​</w:t>
                  </w:r>
                </w:p>
              </w:tc>
              <w:tc>
                <w:tcPr/>
                <w:p>
                  <w:pPr>
                    <w:pStyle w:val="Compact"/>
                    <w:jc w:val="center"/>
                    <w:jc w:val="center"/>
                  </w:pPr>
                  <m:oMath>
                    <m:r>
                      <m:rPr>
                        <m:sty m:val="b"/>
                      </m:rPr>
                      <m:t>0</m:t>
                    </m:r>
                    <m:r>
                      <m:rPr>
                        <m:sty m:val="b"/>
                      </m:rPr>
                      <m:t>,</m:t>
                    </m:r>
                    <m:r>
                      <m:rPr>
                        <m:sty m:val="b"/>
                      </m:rPr>
                      <m:t>7057</m:t>
                    </m:r>
                  </m:oMath>
                  <w:r>
                    <w:t xml:space="preserve">​</w:t>
                  </w:r>
                </w:p>
              </w:tc>
              <w:tc>
                <w:tcPr/>
                <w:p>
                  <w:pPr>
                    <w:pStyle w:val="Compact"/>
                    <w:jc w:val="center"/>
                    <w:jc w:val="center"/>
                  </w:pPr>
                  <m:oMath>
                    <m:r>
                      <m:rPr>
                        <m:sty m:val="b"/>
                      </m:rPr>
                      <m:t>90</m:t>
                    </m:r>
                    <m:r>
                      <m:rPr>
                        <m:sty m:val="b"/>
                      </m:rPr>
                      <m:t>,</m:t>
                    </m:r>
                    <m:r>
                      <m:rPr>
                        <m:sty m:val="b"/>
                      </m:rPr>
                      <m:t>16</m:t>
                    </m:r>
                    <m:r>
                      <m:rPr>
                        <m:nor/>
                        <m:sty m:val="p"/>
                      </m:rPr>
                      <m:t> %</m:t>
                    </m:r>
                  </m:oMath>
                  <w:r>
                    <w:t xml:space="preserve">​</w:t>
                  </w:r>
                </w:p>
              </w:tc>
              <w:tc>
                <w:tcPr/>
                <w:p>
                  <w:pPr>
                    <w:pStyle w:val="Compact"/>
                    <w:jc w:val="center"/>
                    <w:jc w:val="center"/>
                  </w:pPr>
                  <m:oMath>
                    <m:r>
                      <m:rPr>
                        <m:sty m:val="b"/>
                      </m:rPr>
                      <m:t>66</m:t>
                    </m:r>
                    <m:r>
                      <m:rPr>
                        <m:sty m:val="b"/>
                      </m:rPr>
                      <m:t>,</m:t>
                    </m:r>
                    <m:r>
                      <m:rPr>
                        <m:sty m:val="b"/>
                      </m:rPr>
                      <m:t>27</m:t>
                    </m:r>
                    <m:r>
                      <m:rPr>
                        <m:nor/>
                        <m:sty m:val="p"/>
                      </m:rPr>
                      <m:t> %</m:t>
                    </m:r>
                  </m:oMath>
                  <w:r>
                    <w:t xml:space="preserve">​</w:t>
                  </w:r>
                </w:p>
              </w:tc>
              <w:tc>
                <w:tcPr/>
                <w:p>
                  <w:pPr>
                    <w:pStyle w:val="Compact"/>
                    <w:jc w:val="center"/>
                    <w:jc w:val="center"/>
                  </w:pPr>
                  <m:oMath>
                    <m:r>
                      <m:rPr>
                        <m:sty m:val="b"/>
                      </m:rPr>
                      <m:t>0</m:t>
                    </m:r>
                    <m:r>
                      <m:rPr>
                        <m:sty m:val="b"/>
                      </m:rPr>
                      <m:t>,</m:t>
                    </m:r>
                    <m:r>
                      <m:rPr>
                        <m:sty m:val="b"/>
                      </m:rPr>
                      <m:t>0507</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Ignición Primaria (Física)</w:t>
                  </w:r>
                </w:p>
              </w:tc>
              <w:tc>
                <w:tcPr/>
                <w:p>
                  <w:pPr>
                    <w:pStyle w:val="Compact"/>
                    <w:jc w:val="center"/>
                    <w:jc w:val="center"/>
                  </w:pPr>
                  <m:oMath>
                    <m:r>
                      <m:rPr>
                        <m:sty m:val="b"/>
                      </m:rPr>
                      <m:t>0</m:t>
                    </m:r>
                    <m:r>
                      <m:rPr>
                        <m:sty m:val="b"/>
                      </m:rPr>
                      <m:t>,</m:t>
                    </m:r>
                    <m:r>
                      <m:rPr>
                        <m:sty m:val="b"/>
                      </m:rPr>
                      <m:t>7106</m:t>
                    </m:r>
                  </m:oMath>
                  <w:r>
                    <w:t xml:space="preserve">​</w:t>
                  </w:r>
                </w:p>
              </w:tc>
              <w:tc>
                <w:tcPr/>
                <w:p>
                  <w:pPr>
                    <w:pStyle w:val="Compact"/>
                    <w:jc w:val="center"/>
                    <w:jc w:val="center"/>
                  </w:pPr>
                  <m:oMath>
                    <m:r>
                      <m:rPr>
                        <m:sty m:val="b"/>
                      </m:rPr>
                      <m:t>0</m:t>
                    </m:r>
                    <m:r>
                      <m:rPr>
                        <m:sty m:val="b"/>
                      </m:rPr>
                      <m:t>,</m:t>
                    </m:r>
                    <m:r>
                      <m:rPr>
                        <m:sty m:val="b"/>
                      </m:rPr>
                      <m:t>2741</m:t>
                    </m:r>
                  </m:oMath>
                  <w:r>
                    <w:t xml:space="preserve">​</w:t>
                  </w:r>
                </w:p>
              </w:tc>
              <w:tc>
                <w:tcPr/>
                <w:p>
                  <w:pPr>
                    <w:pStyle w:val="Compact"/>
                    <w:jc w:val="center"/>
                    <w:jc w:val="center"/>
                  </w:pPr>
                  <m:oMath>
                    <m:r>
                      <m:rPr>
                        <m:sty m:val="b"/>
                      </m:rPr>
                      <m:t>31</m:t>
                    </m:r>
                    <m:r>
                      <m:rPr>
                        <m:sty m:val="b"/>
                      </m:rPr>
                      <m:t>,</m:t>
                    </m:r>
                    <m:r>
                      <m:rPr>
                        <m:sty m:val="b"/>
                      </m:rPr>
                      <m:t>67</m:t>
                    </m:r>
                    <m:r>
                      <m:rPr>
                        <m:nor/>
                        <m:sty m:val="p"/>
                      </m:rPr>
                      <m:t> %</m:t>
                    </m:r>
                  </m:oMath>
                  <w:r>
                    <w:t xml:space="preserve">​</w:t>
                  </w:r>
                </w:p>
              </w:tc>
              <w:tc>
                <w:tcPr/>
                <w:p>
                  <w:pPr>
                    <w:pStyle w:val="Compact"/>
                    <w:jc w:val="center"/>
                    <w:jc w:val="center"/>
                  </w:pPr>
                  <m:oMath>
                    <m:r>
                      <m:rPr>
                        <m:sty m:val="b"/>
                      </m:rPr>
                      <m:t>47</m:t>
                    </m:r>
                    <m:r>
                      <m:rPr>
                        <m:sty m:val="b"/>
                      </m:rPr>
                      <m:t>,</m:t>
                    </m:r>
                    <m:r>
                      <m:rPr>
                        <m:sty m:val="b"/>
                      </m:rPr>
                      <m:t>50</m:t>
                    </m:r>
                    <m:r>
                      <m:rPr>
                        <m:nor/>
                        <m:sty m:val="p"/>
                      </m:rPr>
                      <m:t> %</m:t>
                    </m:r>
                  </m:oMath>
                  <w:r>
                    <w:t xml:space="preserve">​</w:t>
                  </w:r>
                </w:p>
              </w:tc>
              <w:tc>
                <w:tcPr/>
                <w:p>
                  <w:pPr>
                    <w:pStyle w:val="Compact"/>
                    <w:jc w:val="center"/>
                    <w:jc w:val="center"/>
                  </w:pPr>
                  <m:oMath>
                    <m:r>
                      <m:rPr>
                        <m:sty m:val="b"/>
                      </m:rPr>
                      <m:t>0</m:t>
                    </m:r>
                    <m:r>
                      <m:rPr>
                        <m:sty m:val="b"/>
                      </m:rPr>
                      <m:t>,</m:t>
                    </m:r>
                    <m:r>
                      <m:rPr>
                        <m:sty m:val="b"/>
                      </m:rPr>
                      <m:t>0783</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6917</m:t>
                    </m:r>
                  </m:oMath>
                  <w:r>
                    <w:t xml:space="preserve">​</w:t>
                  </w:r>
                </w:p>
              </w:tc>
              <w:tc>
                <w:tcPr/>
                <w:p>
                  <w:pPr>
                    <w:pStyle w:val="Compact"/>
                    <w:jc w:val="center"/>
                    <w:jc w:val="center"/>
                  </w:pPr>
                  <m:oMath>
                    <m:r>
                      <m:rPr>
                        <m:sty m:val="b"/>
                      </m:rPr>
                      <m:t>0</m:t>
                    </m:r>
                    <m:r>
                      <m:rPr>
                        <m:sty m:val="b"/>
                      </m:rPr>
                      <m:t>,</m:t>
                    </m:r>
                    <m:r>
                      <m:rPr>
                        <m:sty m:val="b"/>
                      </m:rPr>
                      <m:t>3031</m:t>
                    </m:r>
                  </m:oMath>
                  <w:r>
                    <w:t xml:space="preserve">​</w:t>
                  </w:r>
                </w:p>
              </w:tc>
              <w:tc>
                <w:tcPr/>
                <w:p>
                  <w:pPr>
                    <w:pStyle w:val="Compact"/>
                    <w:jc w:val="center"/>
                    <w:jc w:val="center"/>
                  </w:pPr>
                  <m:oMath>
                    <m:r>
                      <m:rPr>
                        <m:sty m:val="b"/>
                      </m:rPr>
                      <m:t>50</m:t>
                    </m:r>
                    <m:r>
                      <m:rPr>
                        <m:sty m:val="b"/>
                      </m:rPr>
                      <m:t>,</m:t>
                    </m:r>
                    <m:r>
                      <m:rPr>
                        <m:sty m:val="b"/>
                      </m:rPr>
                      <m:t>00</m:t>
                    </m:r>
                    <m:r>
                      <m:rPr>
                        <m:nor/>
                        <m:sty m:val="p"/>
                      </m:rPr>
                      <m:t> %</m:t>
                    </m:r>
                  </m:oMath>
                  <w:r>
                    <w:t xml:space="preserve">​</w:t>
                  </w:r>
                </w:p>
              </w:tc>
              <w:tc>
                <w:tcPr/>
                <w:p>
                  <w:pPr>
                    <w:pStyle w:val="Compact"/>
                    <w:jc w:val="center"/>
                    <w:jc w:val="center"/>
                  </w:pPr>
                  <m:oMath>
                    <m:r>
                      <m:rPr>
                        <m:sty m:val="b"/>
                      </m:rPr>
                      <m:t>25</m:t>
                    </m:r>
                    <m:r>
                      <m:rPr>
                        <m:sty m:val="b"/>
                      </m:rPr>
                      <m:t>,</m:t>
                    </m:r>
                    <m:r>
                      <m:rPr>
                        <m:sty m:val="b"/>
                      </m:rPr>
                      <m:t>00</m:t>
                    </m:r>
                    <m:r>
                      <m:rPr>
                        <m:nor/>
                        <m:sty m:val="p"/>
                      </m:rPr>
                      <m:t> %</m:t>
                    </m:r>
                  </m:oMath>
                  <w:r>
                    <w:t xml:space="preserve">​</w:t>
                  </w:r>
                </w:p>
              </w:tc>
              <w:tc>
                <w:tcPr/>
                <w:p>
                  <w:pPr>
                    <w:pStyle w:val="Compact"/>
                    <w:jc w:val="center"/>
                    <w:jc w:val="center"/>
                  </w:pPr>
                  <m:oMath>
                    <m:r>
                      <m:rPr>
                        <m:sty m:val="b"/>
                      </m:rPr>
                      <m:t>0</m:t>
                    </m:r>
                    <m:r>
                      <m:rPr>
                        <m:sty m:val="b"/>
                      </m:rPr>
                      <m:t>,</m:t>
                    </m:r>
                    <m:r>
                      <m:rPr>
                        <m:sty m:val="b"/>
                      </m:rPr>
                      <m:t>0780</m:t>
                    </m:r>
                  </m:oMath>
                  <w:r>
                    <w:t xml:space="preserve">​</w:t>
                  </w:r>
                </w:p>
              </w:tc>
            </w:tr>
          </w:tbl>
          <w:bookmarkEnd w:id="47"/>
          <w:p/>
        </w:tc>
      </w:tr>
    </w:tbl>
    <w:p>
      <w:pPr>
        <w:pStyle w:val="BodyText"/>
      </w:pPr>
      <w:r>
        <w:t xml:space="preserve">En la capa de</w:t>
      </w:r>
      <w:r>
        <w:t xml:space="preserve"> </w:t>
      </w:r>
      <w:r>
        <w:rPr>
          <w:b/>
          <w:bCs/>
        </w:rPr>
        <w:t xml:space="preserve">Propagación Táctica</w:t>
      </w:r>
      <w:r>
        <w:t xml:space="preserve">, el modelo alcanza un rendimiento sobresaliente: en el Chaco logra un ROC-AUC de</w:t>
      </w:r>
      <w:r>
        <w:t xml:space="preserve"> </w:t>
      </w:r>
      <m:oMath>
        <m:r>
          <m:t>0</m:t>
        </m:r>
        <m:r>
          <m:rPr>
            <m:sty m:val="p"/>
          </m:rPr>
          <m:t>,</m:t>
        </m:r>
        <m:r>
          <m:t>8494</m:t>
        </m:r>
      </m:oMath>
      <w:r>
        <w:t xml:space="preserve">, un PR-AUC de</w:t>
      </w:r>
      <w:r>
        <w:t xml:space="preserve"> </w:t>
      </w:r>
      <m:oMath>
        <m:r>
          <m:t>0</m:t>
        </m:r>
        <m:r>
          <m:rPr>
            <m:sty m:val="p"/>
          </m:rPr>
          <m:t>,</m:t>
        </m:r>
        <m:r>
          <m:t>7057</m:t>
        </m:r>
      </m:oMath>
      <w:r>
        <w:t xml:space="preserve"> </w:t>
      </w:r>
      <w:r>
        <w:t xml:space="preserve">y una precisión táctica del</w:t>
      </w:r>
      <w:r>
        <w:t xml:space="preserve"> </w:t>
      </w:r>
      <m:oMath>
        <m:r>
          <m:t>90</m:t>
        </m:r>
        <m:r>
          <m:rPr>
            <m:sty m:val="p"/>
          </m:rPr>
          <m:t>,</m:t>
        </m:r>
        <m:r>
          <m:t>16</m:t>
        </m:r>
        <m:r>
          <m:rPr>
            <m:nor/>
            <m:sty m:val="p"/>
          </m:rPr>
          <m:t> %</m:t>
        </m:r>
      </m:oMath>
      <w:r>
        <w:t xml:space="preserve">, cometiendo únicamente 12 falsos positivos en todo el conjunto de prueba de 1.826 celdas evaluadas. En la Región Oriental, la precisión táctica bajo corte optimizado asciende al</w:t>
      </w:r>
      <w:r>
        <w:t xml:space="preserve"> </w:t>
      </w:r>
      <m:oMath>
        <m:r>
          <m:t>50</m:t>
        </m:r>
        <m:r>
          <m:rPr>
            <m:sty m:val="p"/>
          </m:rPr>
          <m:t>,</m:t>
        </m:r>
        <m:r>
          <m:t>00</m:t>
        </m:r>
        <m:r>
          <m:rPr>
            <m:nor/>
            <m:sty m:val="p"/>
          </m:rPr>
          <m:t> %</m:t>
        </m:r>
      </m:oMath>
      <w:r>
        <w:t xml:space="preserve"> </w:t>
      </w:r>
      <w:r>
        <w:t xml:space="preserve">con apenas 10 falsos positivos.</w:t>
      </w:r>
    </w:p>
    <w:p>
      <w:pPr>
        <w:pStyle w:val="BodyText"/>
      </w:pPr>
      <w:r>
        <w:t xml:space="preserve">La inspección forense individual de los casos de falso positivo en el Chaco reveló un patrón ecológico y de manejo consistente: correspondieron a fuegos en pasturas cultivadas donde las condiciones meteorológicas y el combustible justificaban plenamente una alta probabilidad táctica (</w:t>
      </w:r>
      <m:oMath>
        <m:r>
          <m:t>P</m:t>
        </m:r>
        <m:r>
          <m:rPr>
            <m:sty m:val="p"/>
          </m:rPr>
          <m:t>&gt;</m:t>
        </m:r>
        <m:r>
          <m:t>0</m:t>
        </m:r>
        <m:r>
          <m:rPr>
            <m:sty m:val="p"/>
          </m:rPr>
          <m:t>,</m:t>
        </m:r>
        <m:r>
          <m:t>80</m:t>
        </m:r>
      </m:oMath>
      <w:r>
        <w:t xml:space="preserve">), pero cuya propagación efectiva fue abortada antes del paso orbital de VIIRS debido a la activación de cortafuegos mecanizados de emergencia en establecimientos ganaderos o a giros súbitos de ráfagas hacia paleocauces arenosos sin biomasa continua. Estas contingencias de micro-escala quedan naturalmente fuera de la resolución del reanálisis ERA5-Land (</w:t>
      </w:r>
      <m:oMath>
        <m:r>
          <m:t>25</m:t>
        </m:r>
        <m:r>
          <m:rPr>
            <m:nor/>
            <m:sty m:val="p"/>
          </m:rPr>
          <m:t> km</m:t>
        </m:r>
      </m:oMath>
      <w:r>
        <w:t xml:space="preserve">), demostrando que las clasificaciones del modelo capturan con fidelidad el potencial de combustión del paisaje.</w:t>
      </w:r>
    </w:p>
    <w:p>
      <w:pPr>
        <w:pStyle w:val="BodyText"/>
      </w:pPr>
      <w:r>
        <w:t xml:space="preserve">Por su parte, la capa de</w:t>
      </w:r>
      <w:r>
        <w:t xml:space="preserve"> </w:t>
      </w:r>
      <w:r>
        <w:rPr>
          <w:b/>
          <w:bCs/>
        </w:rPr>
        <w:t xml:space="preserve">Ignición Primaria Física</w:t>
      </w:r>
      <w:r>
        <w:t xml:space="preserve"> </w:t>
      </w:r>
      <w:r>
        <w:t xml:space="preserve">(que no utiliza ninguna información de fuego en</w:t>
      </w:r>
      <w:r>
        <w:t xml:space="preserve"> </w:t>
      </w:r>
      <m:oMath>
        <m:r>
          <m:t>t</m:t>
        </m:r>
        <m:r>
          <m:rPr>
            <m:sty m:val="p"/>
          </m:rPr>
          <m:t>−</m:t>
        </m:r>
        <m:r>
          <m:t>1</m:t>
        </m:r>
      </m:oMath>
      <w:r>
        <w:t xml:space="preserve">) alcanza un ROC-AUC de</w:t>
      </w:r>
      <w:r>
        <w:t xml:space="preserve"> </w:t>
      </w:r>
      <m:oMath>
        <m:r>
          <m:t>0</m:t>
        </m:r>
        <m:r>
          <m:rPr>
            <m:sty m:val="p"/>
          </m:rPr>
          <m:t>,</m:t>
        </m:r>
        <m:r>
          <m:t>8305</m:t>
        </m:r>
      </m:oMath>
      <w:r>
        <w:t xml:space="preserve"> </w:t>
      </w:r>
      <w:r>
        <w:t xml:space="preserve">y un PR-AUC de</w:t>
      </w:r>
      <w:r>
        <w:t xml:space="preserve"> </w:t>
      </w:r>
      <m:oMath>
        <m:r>
          <m:t>0</m:t>
        </m:r>
        <m:r>
          <m:rPr>
            <m:sty m:val="p"/>
          </m:rPr>
          <m:t>,</m:t>
        </m:r>
        <m:r>
          <m:t>5714</m:t>
        </m:r>
      </m:oMath>
      <w:r>
        <w:t xml:space="preserve"> </w:t>
      </w:r>
      <w:r>
        <w:t xml:space="preserve">en el Chaco, y un ROC-AUC de</w:t>
      </w:r>
      <w:r>
        <w:t xml:space="preserve"> </w:t>
      </w:r>
      <m:oMath>
        <m:r>
          <m:t>0</m:t>
        </m:r>
        <m:r>
          <m:rPr>
            <m:sty m:val="p"/>
          </m:rPr>
          <m:t>,</m:t>
        </m:r>
        <m:r>
          <m:t>7106</m:t>
        </m:r>
      </m:oMath>
      <w:r>
        <w:t xml:space="preserve"> </w:t>
      </w:r>
      <w:r>
        <w:t xml:space="preserve">en la Región Oriental, prediciendo con notable exactitud dónde surgirán nuevos incendios aislados a partir de variables de estrés hídrico, combustible y susceptibilidad espacial histórica libre de fuga temporal.</w:t>
      </w:r>
    </w:p>
    <w:p>
      <w:pPr>
        <w:pStyle w:val="BodyText"/>
      </w:pPr>
      <w:r>
        <w:t xml:space="preserve">Las curvas de rendimiento empírico Receiver Operating Characteristic (ROC) y Precision-Recall (PR) sobre la partición ciega temporal se detallan en la</w:t>
      </w:r>
      <w:r>
        <w:t xml:space="preserve"> </w:t>
      </w:r>
      <w:hyperlink w:anchor="fig-curvas-test">
        <w:r>
          <w:rPr>
            <w:rStyle w:val="Hyperlink"/>
          </w:rPr>
          <w:t xml:space="preserve">Figura 3</w:t>
        </w:r>
      </w:hyperlink>
      <w:r>
        <w:t xml:space="preserve">, evidenciando la marcada separación alcanzada por la capa de propagación táctica y el balance de compromiso en la capa de ignición física.</w:t>
      </w:r>
    </w:p>
    <w:tbl>
      <w:tblPr>
        <w:tblStyle w:val="Table"/>
        <w:tblW w:type="pct" w:w="5000"/>
        <w:tblLayout w:type="fixed"/>
        <w:tblLook w:firstRow="0" w:lastRow="0" w:firstColumn="0" w:lastColumn="0" w:noHBand="0" w:noVBand="0" w:val="0000"/>
      </w:tblPr>
      <w:tblGrid>
        <w:gridCol w:w="7920"/>
      </w:tblGrid>
      <w:tr>
        <w:tc>
          <w:tcPr/>
          <w:bookmarkStart w:id="51" w:name="fig-curvas-test"/>
          <w:p>
            <w:pPr>
              <w:pStyle w:val="Compact"/>
              <w:jc w:val="center"/>
            </w:pPr>
            <w:r>
              <w:drawing>
                <wp:inline>
                  <wp:extent cx="5334000" cy="2286000"/>
                  <wp:effectExtent b="0" l="0" r="0" t="0"/>
                  <wp:docPr descr="" title="" id="49" name="Picture"/>
                  <a:graphic>
                    <a:graphicData uri="http://schemas.openxmlformats.org/drawingml/2006/picture">
                      <pic:pic>
                        <pic:nvPicPr>
                          <pic:cNvPr descr="figuras/fig02_curvas_roc_pr_test.png" id="50" name="Picture"/>
                          <pic:cNvPicPr>
                            <a:picLocks noChangeArrowheads="1" noChangeAspect="1"/>
                          </pic:cNvPicPr>
                        </pic:nvPicPr>
                        <pic:blipFill>
                          <a:blip r:embed="rId48"/>
                          <a:stretch>
                            <a:fillRect/>
                          </a:stretch>
                        </pic:blipFill>
                        <pic:spPr bwMode="auto">
                          <a:xfrm>
                            <a:off x="0" y="0"/>
                            <a:ext cx="5334000" cy="2286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discriminantes de desempeño predictivo sobre el conjunto de prueba ciego out-of-time (2024–2025): Comparación de curvas ROC (izquierda) y Precision-Recall (derecha) para los modelos de Ignición Primaria Física y Propagación Táctica en el Chaco y la Región Oriental.</w:t>
            </w:r>
          </w:p>
          <w:bookmarkEnd w:id="51"/>
        </w:tc>
      </w:tr>
    </w:tbl>
    <w:bookmarkEnd w:id="52"/>
    <w:bookmarkStart w:id="58" w:name="benchmarking-comparativo-internacional"/>
    <w:p>
      <w:pPr>
        <w:pStyle w:val="Heading2"/>
      </w:pPr>
      <w:r>
        <w:t xml:space="preserve">5.2 5.2 Benchmarking Comparativo Internacional</w:t>
      </w:r>
    </w:p>
    <w:p>
      <w:pPr>
        <w:pStyle w:val="FirstParagraph"/>
      </w:pPr>
      <w:r>
        <w:t xml:space="preserve">La</w:t>
      </w:r>
      <w:r>
        <w:t xml:space="preserve"> </w:t>
      </w:r>
      <w:hyperlink w:anchor="tbl-benchmark">
        <w:r>
          <w:rPr>
            <w:rStyle w:val="Hyperlink"/>
          </w:rPr>
          <w:t xml:space="preserve">Tabla 3</w:t>
        </w:r>
      </w:hyperlink>
      <w:r>
        <w:t xml:space="preserve"> </w:t>
      </w:r>
      <w:r>
        <w:t xml:space="preserve">expone la comparación directa entre el modelo de ignición física de</w:t>
      </w:r>
      <w:r>
        <w:t xml:space="preserve"> </w:t>
      </w:r>
      <w:r>
        <w:rPr>
          <w:rStyle w:val="VerbatimChar"/>
        </w:rPr>
        <w:t xml:space="preserve">Incendios_PY</w:t>
      </w:r>
      <w:r>
        <w:t xml:space="preserve"> </w:t>
      </w:r>
      <w:r>
        <w:t xml:space="preserve">y los índices internacionales canónicos.</w:t>
      </w:r>
    </w:p>
    <w:tbl>
      <w:tblPr>
        <w:tblStyle w:val="Table"/>
        <w:tblW w:type="pct" w:w="5000"/>
        <w:tblLayout w:type="fixed"/>
        <w:tblLook w:firstRow="0" w:lastRow="0" w:firstColumn="0" w:lastColumn="0" w:noHBand="0" w:noVBand="0" w:val="0000"/>
      </w:tblPr>
      <w:tblGrid>
        <w:gridCol w:w="7920"/>
      </w:tblGrid>
      <w:tr>
        <w:tc>
          <w:tcPr/>
          <w:bookmarkStart w:id="53" w:name="tbl-benchmark"/>
          <w:p>
            <w:pPr>
              <w:jc w:val="center"/>
            </w:pPr>
            <w:pPr>
              <w:jc w:val="left"/>
              <w:spacing w:before="200"/>
              <w:pStyle w:val="ImageCaption"/>
            </w:pPr>
            <w:r>
              <w:t xml:space="preserve">Tabla 3: Benchmarking internacional comparativo sobre el mismo conjunto de prueba ciego out-of-time (evaluado con script reproducible</w:t>
            </w:r>
            <w:r>
              <w:t xml:space="preserve"> </w:t>
            </w:r>
            <w:r>
              <w:rPr>
                <w:rStyle w:val="VerbatimChar"/>
              </w:rPr>
              <w:t xml:space="preserve">scripts/13_benchmarking_modelos.py</w:t>
            </w:r>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Macro-Región</w:t>
                  </w:r>
                </w:p>
              </w:tc>
              <w:tc>
                <w:tcPr/>
                <w:p>
                  <w:pPr>
                    <w:pStyle w:val="Compact"/>
                    <w:jc w:val="left"/>
                    <w:jc w:val="center"/>
                  </w:pPr>
                  <w:r>
                    <w:t xml:space="preserve">Modelo Evaluado</w:t>
                  </w:r>
                </w:p>
              </w:tc>
              <w:tc>
                <w:tcPr/>
                <w:p>
                  <w:pPr>
                    <w:pStyle w:val="Compact"/>
                    <w:jc w:val="center"/>
                    <w:jc w:val="center"/>
                  </w:pPr>
                  <w:r>
                    <w:t xml:space="preserve">ROC-AUC</w:t>
                  </w:r>
                </w:p>
              </w:tc>
              <w:tc>
                <w:tcPr/>
                <w:p>
                  <w:pPr>
                    <w:pStyle w:val="Compact"/>
                    <w:jc w:val="center"/>
                    <w:jc w:val="center"/>
                  </w:pPr>
                  <w:r>
                    <w:t xml:space="preserve">PR-AUC</w:t>
                  </w:r>
                </w:p>
              </w:tc>
              <w:tc>
                <w:tcPr/>
                <w:p>
                  <w:pPr>
                    <w:pStyle w:val="Compact"/>
                    <w:jc w:val="center"/>
                    <w:jc w:val="center"/>
                  </w:pPr>
                  <w:r>
                    <w:t xml:space="preserve">Superioridad frente a Línea Base</w:t>
                  </w:r>
                </w:p>
              </w:tc>
            </w:tr>
            <w:tr>
              <w:tc>
                <w:tcPr/>
                <w:p>
                  <w:pPr>
                    <w:pStyle w:val="Compact"/>
                    <w:jc w:val="left"/>
                    <w:jc w:val="center"/>
                  </w:pPr>
                  <w:r>
                    <w:rPr>
                      <w:b/>
                      <w:bCs/>
                    </w:rPr>
                    <w:t xml:space="preserve">Región Oriental</w:t>
                  </w:r>
                </w:p>
              </w:tc>
              <w:tc>
                <w:tcPr/>
                <w:p>
                  <w:pPr>
                    <w:pStyle w:val="Compact"/>
                    <w:jc w:val="left"/>
                    <w:jc w:val="center"/>
                  </w:pPr>
                  <w:r>
                    <w:rPr>
                      <w:b/>
                      <w:bCs/>
                    </w:rPr>
                    <w:t xml:space="preserve">Incendios_PY (Ignición Física)</w:t>
                  </w:r>
                </w:p>
              </w:tc>
              <w:tc>
                <w:tcPr/>
                <w:p>
                  <w:pPr>
                    <w:pStyle w:val="Compact"/>
                    <w:jc w:val="center"/>
                    <w:jc w:val="center"/>
                  </w:pPr>
                  <m:oMath>
                    <m:r>
                      <m:rPr>
                        <m:sty m:val="b"/>
                      </m:rPr>
                      <m:t>0</m:t>
                    </m:r>
                    <m:r>
                      <m:rPr>
                        <m:sty m:val="b"/>
                      </m:rPr>
                      <m:t>,</m:t>
                    </m:r>
                    <m:r>
                      <m:rPr>
                        <m:sty m:val="b"/>
                      </m:rPr>
                      <m:t>7106</m:t>
                    </m:r>
                  </m:oMath>
                  <w:r>
                    <w:t xml:space="preserve">​</w:t>
                  </w:r>
                </w:p>
              </w:tc>
              <w:tc>
                <w:tcPr/>
                <w:p>
                  <w:pPr>
                    <w:pStyle w:val="Compact"/>
                    <w:jc w:val="center"/>
                    <w:jc w:val="center"/>
                  </w:pPr>
                  <m:oMath>
                    <m:r>
                      <m:rPr>
                        <m:sty m:val="b"/>
                      </m:rPr>
                      <m:t>0</m:t>
                    </m:r>
                    <m:r>
                      <m:rPr>
                        <m:sty m:val="b"/>
                      </m:rPr>
                      <m:t>,</m:t>
                    </m:r>
                    <m:r>
                      <m:rPr>
                        <m:sty m:val="b"/>
                      </m:rPr>
                      <m:t>2741</m:t>
                    </m:r>
                  </m:oMath>
                  <w:r>
                    <w:t xml:space="preserve">​</w:t>
                  </w:r>
                </w:p>
              </w:tc>
              <w:tc>
                <w:tcPr/>
                <w:p>
                  <w:pPr>
                    <w:pStyle w:val="Compact"/>
                    <w:jc w:val="center"/>
                    <w:jc w:val="center"/>
                  </w:pPr>
                  <m:oMath>
                    <m:r>
                      <m:rPr>
                        <m:sty m:val="b"/>
                      </m:rPr>
                      <m:t>+</m:t>
                    </m:r>
                    <m:r>
                      <m:rPr>
                        <m:sty m:val="b"/>
                      </m:rPr>
                      <m:t>82</m:t>
                    </m:r>
                    <m:r>
                      <m:rPr>
                        <m:sty m:val="b"/>
                      </m:rPr>
                      <m:t>,</m:t>
                    </m:r>
                    <m:r>
                      <m:rPr>
                        <m:sty m:val="b"/>
                      </m:rPr>
                      <m:t>6</m:t>
                    </m:r>
                    <m:r>
                      <m:rPr>
                        <m:nor/>
                        <m:sty m:val="p"/>
                      </m:rPr>
                      <m:t> %</m:t>
                    </m:r>
                  </m:oMath>
                  <w:r>
                    <w:t xml:space="preserve"> </w:t>
                  </w:r>
                  <w:r>
                    <w:t xml:space="preserve">sobre FWI</w:t>
                  </w:r>
                </w:p>
              </w:tc>
            </w:tr>
            <w:tr>
              <w:tc>
                <w:tcPr/>
                <w:p>
                  <w:pPr>
                    <w:pStyle w:val="Compact"/>
                    <w:jc w:val="left"/>
                    <w:jc w:val="center"/>
                  </w:pPr>
                  <w:r>
                    <w:t xml:space="preserve">Región Oriental</w:t>
                  </w:r>
                </w:p>
              </w:tc>
              <w:tc>
                <w:tcPr/>
                <w:p>
                  <w:pPr>
                    <w:pStyle w:val="Compact"/>
                    <w:jc w:val="left"/>
                    <w:jc w:val="center"/>
                  </w:pPr>
                  <w:r>
                    <w:t xml:space="preserve">Incendios_PY (Propagación Táctica)</w:t>
                  </w:r>
                </w:p>
              </w:tc>
              <w:tc>
                <w:tcPr/>
                <w:p>
                  <w:pPr>
                    <w:pStyle w:val="Compact"/>
                    <w:jc w:val="center"/>
                    <w:jc w:val="center"/>
                  </w:pPr>
                  <m:oMath>
                    <m:r>
                      <m:t>0</m:t>
                    </m:r>
                    <m:r>
                      <m:rPr>
                        <m:sty m:val="p"/>
                      </m:rPr>
                      <m:t>,</m:t>
                    </m:r>
                    <m:r>
                      <m:t>6917</m:t>
                    </m:r>
                  </m:oMath>
                  <w:r>
                    <w:t xml:space="preserve">​</w:t>
                  </w:r>
                </w:p>
              </w:tc>
              <w:tc>
                <w:tcPr/>
                <w:p>
                  <w:pPr>
                    <w:pStyle w:val="Compact"/>
                    <w:jc w:val="center"/>
                    <w:jc w:val="center"/>
                  </w:pPr>
                  <m:oMath>
                    <m:r>
                      <m:t>0</m:t>
                    </m:r>
                    <m:r>
                      <m:rPr>
                        <m:sty m:val="p"/>
                      </m:rPr>
                      <m:t>,</m:t>
                    </m:r>
                    <m:r>
                      <m:t>3031</m:t>
                    </m:r>
                  </m:oMath>
                  <w:r>
                    <w:t xml:space="preserve">​</w:t>
                  </w:r>
                </w:p>
              </w:tc>
              <w:tc>
                <w:tcPr/>
                <w:p>
                  <w:pPr>
                    <w:pStyle w:val="Compact"/>
                    <w:jc w:val="center"/>
                    <w:jc w:val="center"/>
                  </w:pPr>
                  <m:oMath>
                    <m:r>
                      <m:rPr>
                        <m:sty m:val="p"/>
                      </m:rPr>
                      <m:t>+</m:t>
                    </m:r>
                    <m:r>
                      <m:t>77</m:t>
                    </m:r>
                    <m:r>
                      <m:rPr>
                        <m:sty m:val="p"/>
                      </m:rPr>
                      <m:t>,</m:t>
                    </m:r>
                    <m:r>
                      <m:t>7</m:t>
                    </m:r>
                    <m:r>
                      <m:rPr>
                        <m:nor/>
                        <m:sty m:val="p"/>
                      </m:rPr>
                      <m:t> %</m:t>
                    </m:r>
                  </m:oMath>
                  <w:r>
                    <w:t xml:space="preserve"> </w:t>
                  </w:r>
                  <w:r>
                    <w:t xml:space="preserve">sobre FWI</w:t>
                  </w:r>
                </w:p>
              </w:tc>
            </w:tr>
            <w:tr>
              <w:tc>
                <w:tcPr/>
                <w:p>
                  <w:pPr>
                    <w:pStyle w:val="Compact"/>
                    <w:jc w:val="left"/>
                    <w:jc w:val="center"/>
                  </w:pPr>
                  <w:r>
                    <w:t xml:space="preserve">Región Oriental</w:t>
                  </w:r>
                </w:p>
              </w:tc>
              <w:tc>
                <w:tcPr/>
                <w:p>
                  <w:pPr>
                    <w:pStyle w:val="Compact"/>
                    <w:jc w:val="left"/>
                    <w:jc w:val="center"/>
                  </w:pPr>
                  <w:r>
                    <w:t xml:space="preserve">Proxy Analítico INPE Risco de Fogo</w:t>
                  </w:r>
                </w:p>
              </w:tc>
              <w:tc>
                <w:tcPr/>
                <w:p>
                  <w:pPr>
                    <w:pStyle w:val="Compact"/>
                    <w:jc w:val="center"/>
                    <w:jc w:val="center"/>
                  </w:pPr>
                  <m:oMath>
                    <m:r>
                      <m:t>0</m:t>
                    </m:r>
                    <m:r>
                      <m:rPr>
                        <m:sty m:val="p"/>
                      </m:rPr>
                      <m:t>,</m:t>
                    </m:r>
                    <m:r>
                      <m:t>3995</m:t>
                    </m:r>
                  </m:oMath>
                  <w:r>
                    <w:t xml:space="preserve">​</w:t>
                  </w:r>
                </w:p>
              </w:tc>
              <w:tc>
                <w:tcPr/>
                <w:p>
                  <w:pPr>
                    <w:pStyle w:val="Compact"/>
                    <w:jc w:val="center"/>
                    <w:jc w:val="center"/>
                  </w:pPr>
                  <m:oMath>
                    <m:r>
                      <m:t>0</m:t>
                    </m:r>
                    <m:r>
                      <m:rPr>
                        <m:sty m:val="p"/>
                      </m:rPr>
                      <m:t>,</m:t>
                    </m:r>
                    <m:r>
                      <m:t>0703</m:t>
                    </m:r>
                  </m:oMath>
                  <w:r>
                    <w:t xml:space="preserve">​</w:t>
                  </w:r>
                </w:p>
              </w:tc>
              <w:tc>
                <w:tcPr/>
                <w:p>
                  <w:pPr>
                    <w:pStyle w:val="Compact"/>
                    <w:jc w:val="center"/>
                    <w:jc w:val="center"/>
                  </w:pPr>
                  <w:r>
                    <w:t xml:space="preserve">Peor que el azar (</w:t>
                  </w:r>
                  <m:oMath>
                    <m:r>
                      <m:t>R</m:t>
                    </m:r>
                    <m:r>
                      <m:t>O</m:t>
                    </m:r>
                    <m:r>
                      <m:t>C</m:t>
                    </m:r>
                    <m:r>
                      <m:rPr>
                        <m:sty m:val="p"/>
                      </m:rPr>
                      <m:t>&lt;</m:t>
                    </m:r>
                    <m:r>
                      <m:t>0</m:t>
                    </m:r>
                    <m:r>
                      <m:rPr>
                        <m:sty m:val="p"/>
                      </m:rPr>
                      <m:t>,</m:t>
                    </m:r>
                    <m:r>
                      <m:t>5</m:t>
                    </m:r>
                  </m:oMath>
                  <w:r>
                    <w:t xml:space="preserve">)</w:t>
                  </w:r>
                </w:p>
              </w:tc>
            </w:tr>
            <w:tr>
              <w:tc>
                <w:tcPr/>
                <w:p>
                  <w:pPr>
                    <w:pStyle w:val="Compact"/>
                    <w:jc w:val="left"/>
                    <w:jc w:val="center"/>
                  </w:pPr>
                  <w:r>
                    <w:t xml:space="preserve">Región Oriental</w:t>
                  </w:r>
                </w:p>
              </w:tc>
              <w:tc>
                <w:tcPr/>
                <w:p>
                  <w:pPr>
                    <w:pStyle w:val="Compact"/>
                    <w:jc w:val="left"/>
                    <w:jc w:val="center"/>
                  </w:pPr>
                  <w:r>
                    <w:t xml:space="preserve">Canadian FWI Puro (ISI)</w:t>
                  </w:r>
                </w:p>
              </w:tc>
              <w:tc>
                <w:tcPr/>
                <w:p>
                  <w:pPr>
                    <w:pStyle w:val="Compact"/>
                    <w:jc w:val="center"/>
                    <w:jc w:val="center"/>
                  </w:pPr>
                  <m:oMath>
                    <m:r>
                      <m:t>0</m:t>
                    </m:r>
                    <m:r>
                      <m:rPr>
                        <m:sty m:val="p"/>
                      </m:rPr>
                      <m:t>,</m:t>
                    </m:r>
                    <m:r>
                      <m:t>3892</m:t>
                    </m:r>
                  </m:oMath>
                  <w:r>
                    <w:t xml:space="preserve">​</w:t>
                  </w:r>
                </w:p>
              </w:tc>
              <w:tc>
                <w:tcPr/>
                <w:p>
                  <w:pPr>
                    <w:pStyle w:val="Compact"/>
                    <w:jc w:val="center"/>
                    <w:jc w:val="center"/>
                  </w:pPr>
                  <m:oMath>
                    <m:r>
                      <m:t>0</m:t>
                    </m:r>
                    <m:r>
                      <m:rPr>
                        <m:sty m:val="p"/>
                      </m:rPr>
                      <m:t>,</m:t>
                    </m:r>
                    <m:r>
                      <m:t>0779</m:t>
                    </m:r>
                  </m:oMath>
                  <w:r>
                    <w:t xml:space="preserve">​</w:t>
                  </w:r>
                </w:p>
              </w:tc>
              <w:tc>
                <w:tcPr/>
                <w:p>
                  <w:pPr>
                    <w:pStyle w:val="Compact"/>
                    <w:jc w:val="center"/>
                    <w:jc w:val="center"/>
                  </w:pPr>
                  <w:r>
                    <w:t xml:space="preserve">Peor que el azar (</w:t>
                  </w:r>
                  <m:oMath>
                    <m:r>
                      <m:t>R</m:t>
                    </m:r>
                    <m:r>
                      <m:t>O</m:t>
                    </m:r>
                    <m:r>
                      <m:t>C</m:t>
                    </m:r>
                    <m:r>
                      <m:rPr>
                        <m:sty m:val="p"/>
                      </m:rPr>
                      <m:t>&lt;</m:t>
                    </m:r>
                    <m:r>
                      <m:t>0</m:t>
                    </m:r>
                    <m:r>
                      <m:rPr>
                        <m:sty m:val="p"/>
                      </m:rPr>
                      <m:t>,</m:t>
                    </m:r>
                    <m:r>
                      <m:t>5</m:t>
                    </m:r>
                  </m:oMath>
                  <w:r>
                    <w:t xml:space="preserve">)</w:t>
                  </w:r>
                </w:p>
              </w:tc>
            </w:tr>
            <w:tr>
              <w:tc>
                <w:tcPr/>
                <w:p>
                  <w:pPr>
                    <w:pStyle w:val="Compact"/>
                    <w:jc w:val="left"/>
                    <w:jc w:val="center"/>
                  </w:pPr>
                  <w:r>
                    <w:t xml:space="preserve">Región Oriental</w:t>
                  </w:r>
                </w:p>
              </w:tc>
              <w:tc>
                <w:tcPr/>
                <w:p>
                  <w:pPr>
                    <w:pStyle w:val="Compact"/>
                    <w:jc w:val="left"/>
                    <w:jc w:val="center"/>
                  </w:pPr>
                  <w:r>
                    <w:t xml:space="preserve">Línea Base Climatológica Nula</w:t>
                  </w:r>
                </w:p>
              </w:tc>
              <w:tc>
                <w:tcPr/>
                <w:p>
                  <w:pPr>
                    <w:pStyle w:val="Compact"/>
                    <w:jc w:val="center"/>
                    <w:jc w:val="center"/>
                  </w:pPr>
                  <m:oMath>
                    <m:r>
                      <m:t>0</m:t>
                    </m:r>
                    <m:r>
                      <m:rPr>
                        <m:sty m:val="p"/>
                      </m:rPr>
                      <m:t>,</m:t>
                    </m:r>
                    <m:r>
                      <m:t>5000</m:t>
                    </m:r>
                  </m:oMath>
                  <w:r>
                    <w:t xml:space="preserve">​</w:t>
                  </w:r>
                </w:p>
              </w:tc>
              <w:tc>
                <w:tcPr/>
                <w:p>
                  <w:pPr>
                    <w:pStyle w:val="Compact"/>
                    <w:jc w:val="center"/>
                    <w:jc w:val="center"/>
                  </w:pPr>
                  <m:oMath>
                    <m:r>
                      <m:t>0</m:t>
                    </m:r>
                    <m:r>
                      <m:rPr>
                        <m:sty m:val="p"/>
                      </m:rPr>
                      <m:t>,</m:t>
                    </m:r>
                    <m:r>
                      <m:t>0909</m:t>
                    </m:r>
                  </m:oMath>
                  <w:r>
                    <w:t xml:space="preserve">​</w:t>
                  </w:r>
                </w:p>
              </w:tc>
              <w:tc>
                <w:tcPr/>
                <w:p>
                  <w:pPr>
                    <w:pStyle w:val="Compact"/>
                    <w:jc w:val="center"/>
                    <w:jc w:val="center"/>
                  </w:pPr>
                  <w:r>
                    <w:t xml:space="preserve">Referencia sin poder predictivo</w:t>
                  </w:r>
                </w:p>
              </w:tc>
            </w:tr>
            <w:tr>
              <w:tc>
                <w:tcPr/>
                <w:p>
                  <w:pPr>
                    <w:pStyle w:val="Compact"/>
                    <w:jc w:val="left"/>
                    <w:jc w:val="center"/>
                  </w:pPr>
                  <w:r>
                    <w:rPr>
                      <w:b/>
                      <w:bCs/>
                    </w:rPr>
                    <w:t xml:space="preserve">Chaco</w:t>
                  </w:r>
                </w:p>
              </w:tc>
              <w:tc>
                <w:tcPr/>
                <w:p>
                  <w:pPr>
                    <w:pStyle w:val="Compact"/>
                    <w:jc w:val="left"/>
                    <w:jc w:val="center"/>
                  </w:pPr>
                  <w:r>
                    <w:rPr>
                      <w:b/>
                      <w:bCs/>
                    </w:rPr>
                    <w:t xml:space="preserve">Incendios_PY (Propagación Táctica)</w:t>
                  </w:r>
                </w:p>
              </w:tc>
              <w:tc>
                <w:tcPr/>
                <w:p>
                  <w:pPr>
                    <w:pStyle w:val="Compact"/>
                    <w:jc w:val="center"/>
                    <w:jc w:val="center"/>
                  </w:pPr>
                  <m:oMath>
                    <m:r>
                      <m:rPr>
                        <m:sty m:val="b"/>
                      </m:rPr>
                      <m:t>0</m:t>
                    </m:r>
                    <m:r>
                      <m:rPr>
                        <m:sty m:val="b"/>
                      </m:rPr>
                      <m:t>,</m:t>
                    </m:r>
                    <m:r>
                      <m:rPr>
                        <m:sty m:val="b"/>
                      </m:rPr>
                      <m:t>8494</m:t>
                    </m:r>
                  </m:oMath>
                  <w:r>
                    <w:t xml:space="preserve">​</w:t>
                  </w:r>
                </w:p>
              </w:tc>
              <w:tc>
                <w:tcPr/>
                <w:p>
                  <w:pPr>
                    <w:pStyle w:val="Compact"/>
                    <w:jc w:val="center"/>
                    <w:jc w:val="center"/>
                  </w:pPr>
                  <m:oMath>
                    <m:r>
                      <m:rPr>
                        <m:sty m:val="b"/>
                      </m:rPr>
                      <m:t>0</m:t>
                    </m:r>
                    <m:r>
                      <m:rPr>
                        <m:sty m:val="b"/>
                      </m:rPr>
                      <m:t>,</m:t>
                    </m:r>
                    <m:r>
                      <m:rPr>
                        <m:sty m:val="b"/>
                      </m:rPr>
                      <m:t>7057</m:t>
                    </m:r>
                  </m:oMath>
                  <w:r>
                    <w:t xml:space="preserve">​</w:t>
                  </w:r>
                </w:p>
              </w:tc>
              <w:tc>
                <w:tcPr/>
                <w:p>
                  <w:pPr>
                    <w:pStyle w:val="Compact"/>
                    <w:jc w:val="center"/>
                    <w:jc w:val="center"/>
                  </w:pPr>
                  <m:oMath>
                    <m:r>
                      <m:rPr>
                        <m:sty m:val="b"/>
                      </m:rPr>
                      <m:t>+</m:t>
                    </m:r>
                    <m:r>
                      <m:rPr>
                        <m:sty m:val="b"/>
                      </m:rPr>
                      <m:t>56</m:t>
                    </m:r>
                    <m:r>
                      <m:rPr>
                        <m:sty m:val="b"/>
                      </m:rPr>
                      <m:t>,</m:t>
                    </m:r>
                    <m:r>
                      <m:rPr>
                        <m:sty m:val="b"/>
                      </m:rPr>
                      <m:t>4</m:t>
                    </m:r>
                    <m:r>
                      <m:rPr>
                        <m:nor/>
                        <m:sty m:val="p"/>
                      </m:rPr>
                      <m:t> %</m:t>
                    </m:r>
                  </m:oMath>
                  <w:r>
                    <w:t xml:space="preserve"> </w:t>
                  </w:r>
                  <w:r>
                    <w:t xml:space="preserve">sobre FWI</w:t>
                  </w:r>
                </w:p>
              </w:tc>
            </w:tr>
            <w:tr>
              <w:tc>
                <w:tcPr/>
                <w:p>
                  <w:pPr>
                    <w:pStyle w:val="Compact"/>
                    <w:jc w:val="left"/>
                    <w:jc w:val="center"/>
                  </w:pPr>
                  <w:r>
                    <w:rPr>
                      <w:b/>
                      <w:bCs/>
                    </w:rPr>
                    <w:t xml:space="preserve">Chaco</w:t>
                  </w:r>
                </w:p>
              </w:tc>
              <w:tc>
                <w:tcPr/>
                <w:p>
                  <w:pPr>
                    <w:pStyle w:val="Compact"/>
                    <w:jc w:val="left"/>
                    <w:jc w:val="center"/>
                  </w:pPr>
                  <w:r>
                    <w:rPr>
                      <w:b/>
                      <w:bCs/>
                    </w:rPr>
                    <w:t xml:space="preserve">Incendios_PY (Ignición Física)</w:t>
                  </w:r>
                </w:p>
              </w:tc>
              <w:tc>
                <w:tcPr/>
                <w:p>
                  <w:pPr>
                    <w:pStyle w:val="Compact"/>
                    <w:jc w:val="center"/>
                    <w:jc w:val="center"/>
                  </w:pPr>
                  <m:oMath>
                    <m:r>
                      <m:rPr>
                        <m:sty m:val="b"/>
                      </m:rPr>
                      <m:t>0</m:t>
                    </m:r>
                    <m:r>
                      <m:rPr>
                        <m:sty m:val="b"/>
                      </m:rPr>
                      <m:t>,</m:t>
                    </m:r>
                    <m:r>
                      <m:rPr>
                        <m:sty m:val="b"/>
                      </m:rPr>
                      <m:t>8305</m:t>
                    </m:r>
                  </m:oMath>
                  <w:r>
                    <w:t xml:space="preserve">​</w:t>
                  </w:r>
                </w:p>
              </w:tc>
              <w:tc>
                <w:tcPr/>
                <w:p>
                  <w:pPr>
                    <w:pStyle w:val="Compact"/>
                    <w:jc w:val="center"/>
                    <w:jc w:val="center"/>
                  </w:pPr>
                  <m:oMath>
                    <m:r>
                      <m:rPr>
                        <m:sty m:val="b"/>
                      </m:rPr>
                      <m:t>0</m:t>
                    </m:r>
                    <m:r>
                      <m:rPr>
                        <m:sty m:val="b"/>
                      </m:rPr>
                      <m:t>,</m:t>
                    </m:r>
                    <m:r>
                      <m:rPr>
                        <m:sty m:val="b"/>
                      </m:rPr>
                      <m:t>5714</m:t>
                    </m:r>
                  </m:oMath>
                  <w:r>
                    <w:t xml:space="preserve">​</w:t>
                  </w:r>
                </w:p>
              </w:tc>
              <w:tc>
                <w:tcPr/>
                <w:p>
                  <w:pPr>
                    <w:pStyle w:val="Compact"/>
                    <w:jc w:val="center"/>
                    <w:jc w:val="center"/>
                  </w:pPr>
                  <m:oMath>
                    <m:r>
                      <m:rPr>
                        <m:sty m:val="b"/>
                      </m:rPr>
                      <m:t>+</m:t>
                    </m:r>
                    <m:r>
                      <m:rPr>
                        <m:sty m:val="b"/>
                      </m:rPr>
                      <m:t>52</m:t>
                    </m:r>
                    <m:r>
                      <m:rPr>
                        <m:sty m:val="b"/>
                      </m:rPr>
                      <m:t>,</m:t>
                    </m:r>
                    <m:r>
                      <m:rPr>
                        <m:sty m:val="b"/>
                      </m:rPr>
                      <m:t>9</m:t>
                    </m:r>
                    <m:r>
                      <m:rPr>
                        <m:nor/>
                        <m:sty m:val="p"/>
                      </m:rPr>
                      <m:t> %</m:t>
                    </m:r>
                  </m:oMath>
                  <w:r>
                    <w:t xml:space="preserve"> </w:t>
                  </w:r>
                  <w:r>
                    <w:t xml:space="preserve">sobre FWI</w:t>
                  </w:r>
                </w:p>
              </w:tc>
            </w:tr>
            <w:tr>
              <w:tc>
                <w:tcPr/>
                <w:p>
                  <w:pPr>
                    <w:pStyle w:val="Compact"/>
                    <w:jc w:val="left"/>
                    <w:jc w:val="center"/>
                  </w:pPr>
                  <w:r>
                    <w:t xml:space="preserve">Chaco</w:t>
                  </w:r>
                </w:p>
              </w:tc>
              <w:tc>
                <w:tcPr/>
                <w:p>
                  <w:pPr>
                    <w:pStyle w:val="Compact"/>
                    <w:jc w:val="left"/>
                    <w:jc w:val="center"/>
                  </w:pPr>
                  <w:r>
                    <w:t xml:space="preserve">Proxy Analítico INPE Risco de Fogo</w:t>
                  </w:r>
                </w:p>
              </w:tc>
              <w:tc>
                <w:tcPr/>
                <w:p>
                  <w:pPr>
                    <w:pStyle w:val="Compact"/>
                    <w:jc w:val="center"/>
                    <w:jc w:val="center"/>
                  </w:pPr>
                  <m:oMath>
                    <m:r>
                      <m:t>0</m:t>
                    </m:r>
                    <m:r>
                      <m:rPr>
                        <m:sty m:val="p"/>
                      </m:rPr>
                      <m:t>,</m:t>
                    </m:r>
                    <m:r>
                      <m:t>6457</m:t>
                    </m:r>
                  </m:oMath>
                  <w:r>
                    <w:t xml:space="preserve">​</w:t>
                  </w:r>
                </w:p>
              </w:tc>
              <w:tc>
                <w:tcPr/>
                <w:p>
                  <w:pPr>
                    <w:pStyle w:val="Compact"/>
                    <w:jc w:val="center"/>
                    <w:jc w:val="center"/>
                  </w:pPr>
                  <m:oMath>
                    <m:r>
                      <m:t>0</m:t>
                    </m:r>
                    <m:r>
                      <m:rPr>
                        <m:sty m:val="p"/>
                      </m:rPr>
                      <m:t>,</m:t>
                    </m:r>
                    <m:r>
                      <m:t>1314</m:t>
                    </m:r>
                  </m:oMath>
                  <w:r>
                    <w:t xml:space="preserve">​</w:t>
                  </w:r>
                </w:p>
              </w:tc>
              <w:tc>
                <w:tcPr/>
                <w:p>
                  <w:pPr>
                    <w:pStyle w:val="Compact"/>
                    <w:jc w:val="center"/>
                    <w:jc w:val="center"/>
                  </w:pPr>
                  <m:oMath>
                    <m:r>
                      <m:t>750</m:t>
                    </m:r>
                  </m:oMath>
                  <w:r>
                    <w:t xml:space="preserve"> </w:t>
                  </w:r>
                  <w:r>
                    <w:t xml:space="preserve">falsos positivos (</w:t>
                  </w:r>
                  <m:oMath>
                    <m:sSub>
                      <m:e>
                        <m:r>
                          <m:t>F</m:t>
                        </m:r>
                      </m:e>
                      <m:sub>
                        <m:r>
                          <m:t>0.5</m:t>
                        </m:r>
                      </m:sub>
                    </m:sSub>
                  </m:oMath>
                  <w:r>
                    <w:t xml:space="preserve">)</w:t>
                  </w:r>
                </w:p>
              </w:tc>
            </w:tr>
            <w:tr>
              <w:tc>
                <w:tcPr/>
                <w:p>
                  <w:pPr>
                    <w:pStyle w:val="Compact"/>
                    <w:jc w:val="left"/>
                    <w:jc w:val="center"/>
                  </w:pPr>
                  <w:r>
                    <w:t xml:space="preserve">Chaco</w:t>
                  </w:r>
                </w:p>
              </w:tc>
              <w:tc>
                <w:tcPr/>
                <w:p>
                  <w:pPr>
                    <w:pStyle w:val="Compact"/>
                    <w:jc w:val="left"/>
                    <w:jc w:val="center"/>
                  </w:pPr>
                  <w:r>
                    <w:t xml:space="preserve">Canadian FWI Puro (ISI)</w:t>
                  </w:r>
                </w:p>
              </w:tc>
              <w:tc>
                <w:tcPr/>
                <w:p>
                  <w:pPr>
                    <w:pStyle w:val="Compact"/>
                    <w:jc w:val="center"/>
                    <w:jc w:val="center"/>
                  </w:pPr>
                  <m:oMath>
                    <m:r>
                      <m:t>0</m:t>
                    </m:r>
                    <m:r>
                      <m:rPr>
                        <m:sty m:val="p"/>
                      </m:rPr>
                      <m:t>,</m:t>
                    </m:r>
                    <m:r>
                      <m:t>5432</m:t>
                    </m:r>
                  </m:oMath>
                  <w:r>
                    <w:t xml:space="preserve">​</w:t>
                  </w:r>
                </w:p>
              </w:tc>
              <w:tc>
                <w:tcPr/>
                <w:p>
                  <w:pPr>
                    <w:pStyle w:val="Compact"/>
                    <w:jc w:val="center"/>
                    <w:jc w:val="center"/>
                  </w:pPr>
                  <m:oMath>
                    <m:r>
                      <m:t>0</m:t>
                    </m:r>
                    <m:r>
                      <m:rPr>
                        <m:sty m:val="p"/>
                      </m:rPr>
                      <m:t>,</m:t>
                    </m:r>
                    <m:r>
                      <m:t>0967</m:t>
                    </m:r>
                  </m:oMath>
                  <w:r>
                    <w:t xml:space="preserve">​</w:t>
                  </w:r>
                </w:p>
              </w:tc>
              <w:tc>
                <w:tcPr/>
                <w:p>
                  <w:pPr>
                    <w:pStyle w:val="Compact"/>
                    <w:jc w:val="center"/>
                    <w:jc w:val="center"/>
                  </w:pPr>
                  <m:oMath>
                    <m:r>
                      <m:t>1.026</m:t>
                    </m:r>
                  </m:oMath>
                  <w:r>
                    <w:t xml:space="preserve"> </w:t>
                  </w:r>
                  <w:r>
                    <w:t xml:space="preserve">falsos positivos (</w:t>
                  </w:r>
                  <m:oMath>
                    <m:sSub>
                      <m:e>
                        <m:r>
                          <m:t>F</m:t>
                        </m:r>
                      </m:e>
                      <m:sub>
                        <m:r>
                          <m:t>0.5</m:t>
                        </m:r>
                      </m:sub>
                    </m:sSub>
                  </m:oMath>
                  <w:r>
                    <w:t xml:space="preserve">)</w:t>
                  </w:r>
                </w:p>
              </w:tc>
            </w:tr>
            <w:tr>
              <w:tc>
                <w:tcPr/>
                <w:p>
                  <w:pPr>
                    <w:pStyle w:val="Compact"/>
                    <w:jc w:val="left"/>
                    <w:jc w:val="center"/>
                  </w:pPr>
                  <w:r>
                    <w:t xml:space="preserve">Chaco</w:t>
                  </w:r>
                </w:p>
              </w:tc>
              <w:tc>
                <w:tcPr/>
                <w:p>
                  <w:pPr>
                    <w:pStyle w:val="Compact"/>
                    <w:jc w:val="left"/>
                    <w:jc w:val="center"/>
                  </w:pPr>
                  <w:r>
                    <w:t xml:space="preserve">Línea Base Climatológica Nula</w:t>
                  </w:r>
                </w:p>
              </w:tc>
              <w:tc>
                <w:tcPr/>
                <w:p>
                  <w:pPr>
                    <w:pStyle w:val="Compact"/>
                    <w:jc w:val="center"/>
                    <w:jc w:val="center"/>
                  </w:pPr>
                  <m:oMath>
                    <m:r>
                      <m:t>0</m:t>
                    </m:r>
                    <m:r>
                      <m:rPr>
                        <m:sty m:val="p"/>
                      </m:rPr>
                      <m:t>,</m:t>
                    </m:r>
                    <m:r>
                      <m:t>5000</m:t>
                    </m:r>
                  </m:oMath>
                  <w:r>
                    <w:t xml:space="preserve">​</w:t>
                  </w:r>
                </w:p>
              </w:tc>
              <w:tc>
                <w:tcPr/>
                <w:p>
                  <w:pPr>
                    <w:pStyle w:val="Compact"/>
                    <w:jc w:val="center"/>
                    <w:jc w:val="center"/>
                  </w:pPr>
                  <m:oMath>
                    <m:r>
                      <m:t>0</m:t>
                    </m:r>
                    <m:r>
                      <m:rPr>
                        <m:sty m:val="p"/>
                      </m:rPr>
                      <m:t>,</m:t>
                    </m:r>
                    <m:r>
                      <m:t>0909</m:t>
                    </m:r>
                  </m:oMath>
                  <w:r>
                    <w:t xml:space="preserve">​</w:t>
                  </w:r>
                </w:p>
              </w:tc>
              <w:tc>
                <w:tcPr/>
                <w:p>
                  <w:pPr>
                    <w:pStyle w:val="Compact"/>
                    <w:jc w:val="center"/>
                    <w:jc w:val="center"/>
                  </w:pPr>
                  <w:r>
                    <w:t xml:space="preserve">Referencia sin poder predictivo</w:t>
                  </w:r>
                </w:p>
              </w:tc>
            </w:tr>
          </w:tbl>
          <w:bookmarkEnd w:id="53"/>
          <w:p/>
        </w:tc>
      </w:tr>
    </w:tbl>
    <w:p>
      <w:pPr>
        <w:pStyle w:val="BodyText"/>
      </w:pPr>
      <w:r>
        <w:t xml:space="preserve">Como se observa en la</w:t>
      </w:r>
      <w:r>
        <w:t xml:space="preserve"> </w:t>
      </w:r>
      <w:hyperlink w:anchor="tbl-benchmark">
        <w:r>
          <w:rPr>
            <w:rStyle w:val="Hyperlink"/>
          </w:rPr>
          <w:t xml:space="preserve">Tabla 3</w:t>
        </w:r>
      </w:hyperlink>
      <w:r>
        <w:t xml:space="preserve"> </w:t>
      </w:r>
      <w:r>
        <w:t xml:space="preserve">y en la</w:t>
      </w:r>
      <w:r>
        <w:t xml:space="preserve"> </w:t>
      </w:r>
      <w:hyperlink w:anchor="fig-benchmark-curvas">
        <w:r>
          <w:rPr>
            <w:rStyle w:val="Hyperlink"/>
          </w:rPr>
          <w:t xml:space="preserve">Figura 4</w:t>
        </w:r>
      </w:hyperlink>
      <w:r>
        <w:t xml:space="preserve">, en la</w:t>
      </w:r>
      <w:r>
        <w:t xml:space="preserve"> </w:t>
      </w:r>
      <w:r>
        <w:rPr>
          <w:b/>
          <w:bCs/>
        </w:rPr>
        <w:t xml:space="preserve">Región Oriental</w:t>
      </w:r>
      <w:r>
        <w:t xml:space="preserve"> </w:t>
      </w:r>
      <w:r>
        <w:t xml:space="preserve">tanto el</w:t>
      </w:r>
      <w:r>
        <w:t xml:space="preserve"> </w:t>
      </w:r>
      <w:r>
        <w:rPr>
          <w:b/>
          <w:bCs/>
        </w:rPr>
        <w:t xml:space="preserve">Canadian FWI (ISI)</w:t>
      </w:r>
      <w:r>
        <w:t xml:space="preserve"> </w:t>
      </w:r>
      <w:r>
        <w:t xml:space="preserve">como el</w:t>
      </w:r>
      <w:r>
        <w:t xml:space="preserve"> </w:t>
      </w:r>
      <w:r>
        <w:rPr>
          <w:b/>
          <w:bCs/>
        </w:rPr>
        <w:t xml:space="preserve">Proxy Analítico INPE Risco de Fogo</w:t>
      </w:r>
      <w:r>
        <w:t xml:space="preserve"> </w:t>
      </w:r>
      <w:r>
        <w:t xml:space="preserve">colapsan a un ROC-AUC inferior a 0,50 (</w:t>
      </w:r>
      <m:oMath>
        <m:r>
          <m:t>0</m:t>
        </m:r>
        <m:r>
          <m:rPr>
            <m:sty m:val="p"/>
          </m:rPr>
          <m:t>,</m:t>
        </m:r>
        <m:r>
          <m:t>3892</m:t>
        </m:r>
      </m:oMath>
      <w:r>
        <w:t xml:space="preserve"> </w:t>
      </w:r>
      <w:r>
        <w:t xml:space="preserve">y</w:t>
      </w:r>
      <w:r>
        <w:t xml:space="preserve"> </w:t>
      </w:r>
      <m:oMath>
        <m:r>
          <m:t>0</m:t>
        </m:r>
        <m:r>
          <m:rPr>
            <m:sty m:val="p"/>
          </m:rPr>
          <m:t>,</m:t>
        </m:r>
        <m:r>
          <m:t>3995</m:t>
        </m:r>
      </m:oMath>
      <w:r>
        <w:t xml:space="preserve">, respectivamente). Esto indica que en regímenes subtropicales húmedos con fuerte actividad humana, los índices canónicos invierten el ranking de peligro, clasificando erróneamente días con condiciones ideales de quema de pasturas como de</w:t>
      </w:r>
      <w:r>
        <w:t xml:space="preserve"> </w:t>
      </w:r>
      <w:r>
        <w:t xml:space="preserve">“bajo riesgo”</w:t>
      </w:r>
      <w:r>
        <w:t xml:space="preserve">.</w:t>
      </w:r>
      <w:r>
        <w:t xml:space="preserve"> </w:t>
      </w:r>
      <w:r>
        <w:rPr>
          <w:rStyle w:val="VerbatimChar"/>
        </w:rPr>
        <w:t xml:space="preserve">Incendios_PY</w:t>
      </w:r>
      <w:r>
        <w:t xml:space="preserve"> </w:t>
      </w:r>
      <w:r>
        <w:t xml:space="preserve">supera a ambos sistemas por más de 31 puntos de ROC-AUC en ignición pura. En el</w:t>
      </w:r>
      <w:r>
        <w:t xml:space="preserve"> </w:t>
      </w:r>
      <w:r>
        <w:rPr>
          <w:b/>
          <w:bCs/>
        </w:rPr>
        <w:t xml:space="preserve">Chaco semiárido</w:t>
      </w:r>
      <w:r>
        <w:t xml:space="preserve">, la capa de propagación táctica de</w:t>
      </w:r>
      <w:r>
        <w:t xml:space="preserve"> </w:t>
      </w:r>
      <w:r>
        <w:rPr>
          <w:rStyle w:val="VerbatimChar"/>
        </w:rPr>
        <w:t xml:space="preserve">Incendios_PY</w:t>
      </w:r>
      <w:r>
        <w:t xml:space="preserve"> </w:t>
      </w:r>
      <w:r>
        <w:t xml:space="preserve">alcanza un ROC-AUC de</w:t>
      </w:r>
      <w:r>
        <w:t xml:space="preserve"> </w:t>
      </w:r>
      <m:oMath>
        <m:r>
          <m:t>0</m:t>
        </m:r>
        <m:r>
          <m:rPr>
            <m:sty m:val="p"/>
          </m:rPr>
          <m:t>,</m:t>
        </m:r>
        <m:r>
          <m:t>8494</m:t>
        </m:r>
      </m:oMath>
      <w:r>
        <w:t xml:space="preserve"> </w:t>
      </w:r>
      <w:r>
        <w:t xml:space="preserve">y un PR-AUC de</w:t>
      </w:r>
      <w:r>
        <w:t xml:space="preserve"> </w:t>
      </w:r>
      <m:oMath>
        <m:r>
          <m:t>0</m:t>
        </m:r>
        <m:r>
          <m:rPr>
            <m:sty m:val="p"/>
          </m:rPr>
          <m:t>,</m:t>
        </m:r>
        <m:r>
          <m:t>7057</m:t>
        </m:r>
      </m:oMath>
      <w:r>
        <w:t xml:space="preserve">, y la capa de ignición física alcanza</w:t>
      </w:r>
      <w:r>
        <w:t xml:space="preserve"> </w:t>
      </w:r>
      <m:oMath>
        <m:r>
          <m:t>0</m:t>
        </m:r>
        <m:r>
          <m:rPr>
            <m:sty m:val="p"/>
          </m:rPr>
          <m:t>,</m:t>
        </m:r>
        <m:r>
          <m:t>8305</m:t>
        </m:r>
      </m:oMath>
      <w:r>
        <w:t xml:space="preserve"> </w:t>
      </w:r>
      <w:r>
        <w:t xml:space="preserve">y</w:t>
      </w:r>
      <w:r>
        <w:t xml:space="preserve"> </w:t>
      </w:r>
      <m:oMath>
        <m:r>
          <m:t>0</m:t>
        </m:r>
        <m:r>
          <m:rPr>
            <m:sty m:val="p"/>
          </m:rPr>
          <m:t>,</m:t>
        </m:r>
        <m:r>
          <m:t>5714</m:t>
        </m:r>
      </m:oMath>
      <w:r>
        <w:t xml:space="preserve">, superando con holgura al Canadian FWI (</w:t>
      </w:r>
      <m:oMath>
        <m:r>
          <m:t>0</m:t>
        </m:r>
        <m:r>
          <m:rPr>
            <m:sty m:val="p"/>
          </m:rPr>
          <m:t>,</m:t>
        </m:r>
        <m:r>
          <m:t>5432</m:t>
        </m:r>
      </m:oMath>
      <w:r>
        <w:t xml:space="preserve">) y al Proxy INPE (</w:t>
      </w:r>
      <m:oMath>
        <m:r>
          <m:t>0</m:t>
        </m:r>
        <m:r>
          <m:rPr>
            <m:sty m:val="p"/>
          </m:rPr>
          <m:t>,</m:t>
        </m:r>
        <m:r>
          <m:t>6457</m:t>
        </m:r>
      </m:oMath>
      <w:r>
        <w:t xml:space="preserve">), reduciendo las falsas alarmas de más de 750 a solo 12 falsos positivos en propagación y 62 en ignición.</w:t>
      </w:r>
    </w:p>
    <w:p>
      <w:pPr>
        <w:pStyle w:val="BodyText"/>
      </w:pPr>
      <w:r>
        <w:t xml:space="preserve">La comparación gráfica exhaustiva de las curvas ROC y Precision-Recall frente al Canadian FWI y al INPE Risco de Fogo se expone en la</w:t>
      </w:r>
      <w:r>
        <w:t xml:space="preserve"> </w:t>
      </w:r>
      <w:hyperlink w:anchor="fig-benchmark-curvas">
        <w:r>
          <w:rPr>
            <w:rStyle w:val="Hyperlink"/>
          </w:rPr>
          <w:t xml:space="preserve">Figura 4</w:t>
        </w:r>
      </w:hyperlink>
      <w:r>
        <w:t xml:space="preserve">, destacando la marcada divergencia en la fracción de positivos verdaderos identificados.</w:t>
      </w:r>
    </w:p>
    <w:tbl>
      <w:tblPr>
        <w:tblStyle w:val="Table"/>
        <w:tblW w:type="pct" w:w="5000"/>
        <w:tblLayout w:type="fixed"/>
        <w:tblLook w:firstRow="0" w:lastRow="0" w:firstColumn="0" w:lastColumn="0" w:noHBand="0" w:noVBand="0" w:val="0000"/>
      </w:tblPr>
      <w:tblGrid>
        <w:gridCol w:w="7920"/>
      </w:tblGrid>
      <w:tr>
        <w:tc>
          <w:tcPr/>
          <w:bookmarkStart w:id="57" w:name="fig-benchmark-curvas"/>
          <w:p>
            <w:pPr>
              <w:pStyle w:val="Compact"/>
              <w:jc w:val="center"/>
            </w:pPr>
            <w:r>
              <w:drawing>
                <wp:inline>
                  <wp:extent cx="5334000" cy="4191000"/>
                  <wp:effectExtent b="0" l="0" r="0" t="0"/>
                  <wp:docPr descr="" title="" id="55" name="Picture"/>
                  <a:graphic>
                    <a:graphicData uri="http://schemas.openxmlformats.org/drawingml/2006/picture">
                      <pic:pic>
                        <pic:nvPicPr>
                          <pic:cNvPr descr="figuras/fig05_benchmarking_curvas_roc_pr.png" id="56" name="Picture"/>
                          <pic:cNvPicPr>
                            <a:picLocks noChangeArrowheads="1" noChangeAspect="1"/>
                          </pic:cNvPicPr>
                        </pic:nvPicPr>
                        <pic:blipFill>
                          <a:blip r:embed="rId54"/>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Benchmarking comparativo internacional frente a los sistemas canónicos en el conjunto de prueba ciego: Curvas ROC y Precision-Recall contrastando</w:t>
            </w:r>
            <w:r>
              <w:t xml:space="preserve"> </w:t>
            </w:r>
            <w:r>
              <w:rPr>
                <w:rStyle w:val="VerbatimChar"/>
              </w:rPr>
              <w:t xml:space="preserve">Incendios_PY</w:t>
            </w:r>
            <w:r>
              <w:t xml:space="preserve"> </w:t>
            </w:r>
            <w:r>
              <w:t xml:space="preserve">frente al Canadian FWI (EFFIS/GWIS), INPE Risco de Fogo y la línea base climatológica nula en ambas macro-regiones.</w:t>
            </w:r>
          </w:p>
          <w:bookmarkEnd w:id="57"/>
        </w:tc>
      </w:tr>
    </w:tbl>
    <w:bookmarkEnd w:id="58"/>
    <w:bookmarkStart w:id="64" w:name="explicabilidad-biofísica-con-treeshap"/>
    <w:p>
      <w:pPr>
        <w:pStyle w:val="Heading2"/>
      </w:pPr>
      <w:r>
        <w:t xml:space="preserve">5.3 5.3 Explicabilidad Biofísica con TreeSHAP</w:t>
      </w:r>
    </w:p>
    <w:p>
      <w:pPr>
        <w:pStyle w:val="FirstParagraph"/>
      </w:pPr>
      <w:r>
        <w:t xml:space="preserve">Para abrir la</w:t>
      </w:r>
      <w:r>
        <w:t xml:space="preserve"> </w:t>
      </w:r>
      <w:r>
        <w:t xml:space="preserve">“caja negra”</w:t>
      </w:r>
      <w:r>
        <w:t xml:space="preserve"> </w:t>
      </w:r>
      <w:r>
        <w:t xml:space="preserve">del modelo de ignición primaria y verificar que el ensamble aprendió relaciones ecológicas genuinas, aplicamos la descomposición analítica de Shapley para árboles (</w:t>
      </w:r>
      <w:r>
        <w:rPr>
          <w:i/>
          <w:iCs/>
        </w:rPr>
        <w:t xml:space="preserve">TreeSHAP</w:t>
      </w:r>
      <w:r>
        <w:t xml:space="preserve">)</w:t>
      </w:r>
      <w:r>
        <w:t xml:space="preserve"> </w:t>
      </w:r>
      <w:r>
        <w:t xml:space="preserve">(Lundberg et al., 2020)</w:t>
      </w:r>
      <w:r>
        <w:t xml:space="preserve">. La</w:t>
      </w:r>
      <w:r>
        <w:t xml:space="preserve"> </w:t>
      </w:r>
      <w:hyperlink w:anchor="tbl-shap">
        <w:r>
          <w:rPr>
            <w:rStyle w:val="Hyperlink"/>
          </w:rPr>
          <w:t xml:space="preserve">Tabla 4</w:t>
        </w:r>
      </w:hyperlink>
      <w:r>
        <w:t xml:space="preserve"> </w:t>
      </w:r>
      <w:r>
        <w:t xml:space="preserve">presenta las variables de mayor impacto en cada región.</w:t>
      </w:r>
    </w:p>
    <w:tbl>
      <w:tblPr>
        <w:tblStyle w:val="Table"/>
        <w:tblW w:type="pct" w:w="5000"/>
        <w:tblLayout w:type="fixed"/>
        <w:tblLook w:firstRow="0" w:lastRow="0" w:firstColumn="0" w:lastColumn="0" w:noHBand="0" w:noVBand="0" w:val="0000"/>
      </w:tblPr>
      <w:tblGrid>
        <w:gridCol w:w="7920"/>
      </w:tblGrid>
      <w:tr>
        <w:tc>
          <w:tcPr/>
          <w:bookmarkStart w:id="59" w:name="tbl-shap"/>
          <w:p>
            <w:pPr>
              <w:jc w:val="center"/>
            </w:pPr>
            <w:pPr>
              <w:jc w:val="left"/>
              <w:spacing w:before="200"/>
              <w:pStyle w:val="ImageCaption"/>
            </w:pPr>
            <w:r>
              <w:t xml:space="preserve">Tabla 4: Ranking de importancia biofísica global según valores medios absolutos TreeSHAP (</w:t>
            </w:r>
            <m:oMath>
              <m:r>
                <m:rPr>
                  <m:sty m:val="p"/>
                </m:rPr>
                <m:t>|</m:t>
              </m:r>
              <m:r>
                <m:rPr>
                  <m:nor/>
                  <m:sty m:val="p"/>
                </m:rPr>
                <m:t>SHAP</m:t>
              </m:r>
              <m:r>
                <m:rPr>
                  <m:sty m:val="p"/>
                </m:rPr>
                <m:t>|</m:t>
              </m:r>
            </m:oMath>
            <w:r>
              <w:t xml:space="preserve">) obtenidos con</w:t>
            </w:r>
            <w:r>
              <w:t xml:space="preserve"> </w:t>
            </w:r>
            <w:r>
              <w:rPr>
                <w:rStyle w:val="VerbatimChar"/>
              </w:rPr>
              <w:t xml:space="preserve">scripts/08_analisis_shap.py</w:t>
            </w:r>
            <w: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jc w:val="center"/>
                  </w:pPr>
                  <w:r>
                    <w:t xml:space="preserve">Ranking</w:t>
                  </w:r>
                </w:p>
              </w:tc>
              <w:tc>
                <w:tcPr/>
                <w:p>
                  <w:pPr>
                    <w:pStyle w:val="Compact"/>
                    <w:jc w:val="left"/>
                    <w:jc w:val="center"/>
                  </w:pPr>
                  <w:r>
                    <w:t xml:space="preserve">Región Occidental (Chaco)</w:t>
                  </w:r>
                </w:p>
              </w:tc>
              <w:tc>
                <w:tcPr/>
                <w:p>
                  <w:pPr>
                    <w:pStyle w:val="Compact"/>
                    <w:jc w:val="left"/>
                    <w:jc w:val="center"/>
                  </w:pPr>
                  <w:r>
                    <w:t xml:space="preserve">Región Oriental</w:t>
                  </w:r>
                </w:p>
              </w:tc>
            </w:tr>
            <w:tr>
              <w:tc>
                <w:tcPr/>
                <w:p>
                  <w:pPr>
                    <w:pStyle w:val="Compact"/>
                    <w:jc w:val="center"/>
                    <w:jc w:val="center"/>
                  </w:pPr>
                  <w:r>
                    <w:rPr>
                      <w:b/>
                      <w:bCs/>
                    </w:rPr>
                    <w:t xml:space="preserve">1</w:t>
                  </w:r>
                </w:p>
              </w:tc>
              <w:tc>
                <w:tcPr/>
                <w:p>
                  <w:pPr>
                    <w:pStyle w:val="Compact"/>
                    <w:jc w:val="left"/>
                    <w:jc w:val="center"/>
                  </w:pPr>
                  <w:r>
                    <w:t xml:space="preserve">Distancia a Fuego Histórico (</w:t>
                  </w:r>
                  <m:oMath>
                    <m:sSub>
                      <m:e>
                        <m:r>
                          <m:t>d</m:t>
                        </m:r>
                      </m:e>
                      <m:sub>
                        <m:r>
                          <m:rPr>
                            <m:nor/>
                            <m:sty m:val="p"/>
                          </m:rPr>
                          <m:t>hist</m:t>
                        </m:r>
                      </m:sub>
                    </m:sSub>
                  </m:oMath>
                  <w:r>
                    <w:t xml:space="preserve">) [</w:t>
                  </w:r>
                  <m:oMath>
                    <m:r>
                      <m:t>0</m:t>
                    </m:r>
                    <m:r>
                      <m:rPr>
                        <m:sty m:val="p"/>
                      </m:rPr>
                      <m:t>,</m:t>
                    </m:r>
                    <m:r>
                      <m:t>279</m:t>
                    </m:r>
                  </m:oMath>
                  <w:r>
                    <w:t xml:space="preserve">]</w:t>
                  </w:r>
                </w:p>
              </w:tc>
              <w:tc>
                <w:tcPr/>
                <w:p>
                  <w:pPr>
                    <w:pStyle w:val="Compact"/>
                    <w:jc w:val="left"/>
                    <w:jc w:val="center"/>
                  </w:pPr>
                  <w:r>
                    <w:t xml:space="preserve">Distancia a Fuego Histórico (</w:t>
                  </w:r>
                  <m:oMath>
                    <m:sSub>
                      <m:e>
                        <m:r>
                          <m:t>d</m:t>
                        </m:r>
                      </m:e>
                      <m:sub>
                        <m:r>
                          <m:rPr>
                            <m:nor/>
                            <m:sty m:val="p"/>
                          </m:rPr>
                          <m:t>hist</m:t>
                        </m:r>
                      </m:sub>
                    </m:sSub>
                  </m:oMath>
                  <w:r>
                    <w:t xml:space="preserve">) [</w:t>
                  </w:r>
                  <m:oMath>
                    <m:r>
                      <m:t>0</m:t>
                    </m:r>
                    <m:r>
                      <m:rPr>
                        <m:sty m:val="p"/>
                      </m:rPr>
                      <m:t>,</m:t>
                    </m:r>
                    <m:r>
                      <m:t>397</m:t>
                    </m:r>
                  </m:oMath>
                  <w:r>
                    <w:t xml:space="preserve">]</w:t>
                  </w:r>
                </w:p>
              </w:tc>
            </w:tr>
            <w:tr>
              <w:tc>
                <w:tcPr/>
                <w:p>
                  <w:pPr>
                    <w:pStyle w:val="Compact"/>
                    <w:jc w:val="center"/>
                    <w:jc w:val="center"/>
                  </w:pPr>
                  <w:r>
                    <w:rPr>
                      <w:b/>
                      <w:bCs/>
                    </w:rPr>
                    <w:t xml:space="preserve">2</w:t>
                  </w:r>
                </w:p>
              </w:tc>
              <w:tc>
                <w:tcPr/>
                <w:p>
                  <w:pPr>
                    <w:pStyle w:val="Compact"/>
                    <w:jc w:val="left"/>
                    <w:jc w:val="center"/>
                  </w:pPr>
                  <w:r>
                    <w:t xml:space="preserve">Densidad Histórica de Ignición (</w:t>
                  </w:r>
                  <m:oMath>
                    <m:sSub>
                      <m:e>
                        <m:r>
                          <m:t>ρ</m:t>
                        </m:r>
                      </m:e>
                      <m:sub>
                        <m:r>
                          <m:rPr>
                            <m:nor/>
                            <m:sty m:val="p"/>
                          </m:rPr>
                          <m:t>hist</m:t>
                        </m:r>
                      </m:sub>
                    </m:sSub>
                  </m:oMath>
                  <w:r>
                    <w:t xml:space="preserve">) [</w:t>
                  </w:r>
                  <m:oMath>
                    <m:r>
                      <m:t>0</m:t>
                    </m:r>
                    <m:r>
                      <m:rPr>
                        <m:sty m:val="p"/>
                      </m:rPr>
                      <m:t>,</m:t>
                    </m:r>
                    <m:r>
                      <m:t>125</m:t>
                    </m:r>
                  </m:oMath>
                  <w:r>
                    <w:t xml:space="preserve">]</w:t>
                  </w:r>
                </w:p>
              </w:tc>
              <w:tc>
                <w:tcPr/>
                <w:p>
                  <w:pPr>
                    <w:pStyle w:val="Compact"/>
                    <w:jc w:val="left"/>
                    <w:jc w:val="center"/>
                  </w:pPr>
                  <w:r>
                    <w:t xml:space="preserve">Densidad Histórica de Ignición (</w:t>
                  </w:r>
                  <m:oMath>
                    <m:sSub>
                      <m:e>
                        <m:r>
                          <m:t>ρ</m:t>
                        </m:r>
                      </m:e>
                      <m:sub>
                        <m:r>
                          <m:rPr>
                            <m:nor/>
                            <m:sty m:val="p"/>
                          </m:rPr>
                          <m:t>hist</m:t>
                        </m:r>
                      </m:sub>
                    </m:sSub>
                  </m:oMath>
                  <w:r>
                    <w:t xml:space="preserve">) [</w:t>
                  </w:r>
                  <m:oMath>
                    <m:r>
                      <m:t>0</m:t>
                    </m:r>
                    <m:r>
                      <m:rPr>
                        <m:sty m:val="p"/>
                      </m:rPr>
                      <m:t>,</m:t>
                    </m:r>
                    <m:r>
                      <m:t>143</m:t>
                    </m:r>
                  </m:oMath>
                  <w:r>
                    <w:t xml:space="preserve">]</w:t>
                  </w:r>
                </w:p>
              </w:tc>
            </w:tr>
            <w:tr>
              <w:tc>
                <w:tcPr/>
                <w:p>
                  <w:pPr>
                    <w:pStyle w:val="Compact"/>
                    <w:jc w:val="center"/>
                    <w:jc w:val="center"/>
                  </w:pPr>
                  <w:r>
                    <w:rPr>
                      <w:b/>
                      <w:bCs/>
                    </w:rPr>
                    <w:t xml:space="preserve">3</w:t>
                  </w:r>
                </w:p>
              </w:tc>
              <w:tc>
                <w:tcPr/>
                <w:p>
                  <w:pPr>
                    <w:pStyle w:val="Compact"/>
                    <w:jc w:val="left"/>
                    <w:jc w:val="center"/>
                  </w:pPr>
                  <w:r>
                    <w:t xml:space="preserve">Presión Dinámica del Viento (</w:t>
                  </w:r>
                  <m:oMath>
                    <m:sSup>
                      <m:e>
                        <m:r>
                          <m:t>v</m:t>
                        </m:r>
                      </m:e>
                      <m:sup>
                        <m:r>
                          <m:t>2</m:t>
                        </m:r>
                      </m:sup>
                    </m:sSup>
                  </m:oMath>
                  <w:r>
                    <w:t xml:space="preserve">) [</w:t>
                  </w:r>
                  <m:oMath>
                    <m:r>
                      <m:t>0</m:t>
                    </m:r>
                    <m:r>
                      <m:rPr>
                        <m:sty m:val="p"/>
                      </m:rPr>
                      <m:t>,</m:t>
                    </m:r>
                    <m:r>
                      <m:t>024</m:t>
                    </m:r>
                  </m:oMath>
                  <w:r>
                    <w:t xml:space="preserve">]</w:t>
                  </w:r>
                </w:p>
              </w:tc>
              <w:tc>
                <w:tcPr/>
                <w:p>
                  <w:pPr>
                    <w:pStyle w:val="Compact"/>
                    <w:jc w:val="left"/>
                    <w:jc w:val="center"/>
                  </w:pPr>
                  <w:r>
                    <w:t xml:space="preserve">Humedad de Combustible Fino (</w:t>
                  </w:r>
                  <m:oMath>
                    <m:r>
                      <m:t>F</m:t>
                    </m:r>
                    <m:r>
                      <m:t>F</m:t>
                    </m:r>
                    <m:r>
                      <m:t>M</m:t>
                    </m:r>
                    <m:r>
                      <m:t>C</m:t>
                    </m:r>
                  </m:oMath>
                  <w:r>
                    <w:t xml:space="preserve">) [</w:t>
                  </w:r>
                  <m:oMath>
                    <m:r>
                      <m:t>0</m:t>
                    </m:r>
                    <m:r>
                      <m:rPr>
                        <m:sty m:val="p"/>
                      </m:rPr>
                      <m:t>,</m:t>
                    </m:r>
                    <m:r>
                      <m:t>021</m:t>
                    </m:r>
                  </m:oMath>
                  <w:r>
                    <w:t xml:space="preserve">]</w:t>
                  </w:r>
                </w:p>
              </w:tc>
            </w:tr>
            <w:tr>
              <w:tc>
                <w:tcPr/>
                <w:p>
                  <w:pPr>
                    <w:pStyle w:val="Compact"/>
                    <w:jc w:val="center"/>
                    <w:jc w:val="center"/>
                  </w:pPr>
                  <w:r>
                    <w:rPr>
                      <w:b/>
                      <w:bCs/>
                    </w:rPr>
                    <w:t xml:space="preserve">4</w:t>
                  </w:r>
                </w:p>
              </w:tc>
              <w:tc>
                <w:tcPr/>
                <w:p>
                  <w:pPr>
                    <w:pStyle w:val="Compact"/>
                    <w:jc w:val="left"/>
                    <w:jc w:val="center"/>
                  </w:pPr>
                  <w:r>
                    <w:t xml:space="preserve">Temperatura Mínima (</w:t>
                  </w:r>
                  <m:oMath>
                    <m:sSub>
                      <m:e>
                        <m:r>
                          <m:t>T</m:t>
                        </m:r>
                      </m:e>
                      <m:sub>
                        <m:r>
                          <m:rPr>
                            <m:nor/>
                            <m:sty m:val="p"/>
                          </m:rPr>
                          <m:t>min</m:t>
                        </m:r>
                      </m:sub>
                    </m:sSub>
                  </m:oMath>
                  <w:r>
                    <w:t xml:space="preserve">) [</w:t>
                  </w:r>
                  <m:oMath>
                    <m:r>
                      <m:t>0</m:t>
                    </m:r>
                    <m:r>
                      <m:rPr>
                        <m:sty m:val="p"/>
                      </m:rPr>
                      <m:t>,</m:t>
                    </m:r>
                    <m:r>
                      <m:t>004</m:t>
                    </m:r>
                  </m:oMath>
                  <w:r>
                    <w:t xml:space="preserve">]</w:t>
                  </w:r>
                </w:p>
              </w:tc>
              <w:tc>
                <w:tcPr/>
                <w:p>
                  <w:pPr>
                    <w:pStyle w:val="Compact"/>
                    <w:jc w:val="left"/>
                    <w:jc w:val="center"/>
                  </w:pPr>
                  <w:r>
                    <w:t xml:space="preserve">Temperatura Máxima (</w:t>
                  </w:r>
                  <m:oMath>
                    <m:sSub>
                      <m:e>
                        <m:r>
                          <m:t>T</m:t>
                        </m:r>
                      </m:e>
                      <m:sub>
                        <m:r>
                          <m:rPr>
                            <m:nor/>
                            <m:sty m:val="p"/>
                          </m:rPr>
                          <m:t>max</m:t>
                        </m:r>
                      </m:sub>
                    </m:sSub>
                  </m:oMath>
                  <w:r>
                    <w:t xml:space="preserve">) [</w:t>
                  </w:r>
                  <m:oMath>
                    <m:r>
                      <m:t>0</m:t>
                    </m:r>
                    <m:r>
                      <m:rPr>
                        <m:sty m:val="p"/>
                      </m:rPr>
                      <m:t>,</m:t>
                    </m:r>
                    <m:r>
                      <m:t>014</m:t>
                    </m:r>
                  </m:oMath>
                  <w:r>
                    <w:t xml:space="preserve">]</w:t>
                  </w:r>
                </w:p>
              </w:tc>
            </w:tr>
            <w:tr>
              <w:tc>
                <w:tcPr/>
                <w:p>
                  <w:pPr>
                    <w:pStyle w:val="Compact"/>
                    <w:jc w:val="center"/>
                    <w:jc w:val="center"/>
                  </w:pPr>
                  <w:r>
                    <w:rPr>
                      <w:b/>
                      <w:bCs/>
                    </w:rPr>
                    <w:t xml:space="preserve">5</w:t>
                  </w:r>
                </w:p>
              </w:tc>
              <w:tc>
                <w:tcPr/>
                <w:p>
                  <w:pPr>
                    <w:pStyle w:val="Compact"/>
                    <w:jc w:val="left"/>
                    <w:jc w:val="center"/>
                  </w:pPr>
                  <w:r>
                    <w:t xml:space="preserve">Ráfaga Máxima de Viento (</w:t>
                  </w:r>
                  <m:oMath>
                    <m:sSub>
                      <m:e>
                        <m:r>
                          <m:t>V</m:t>
                        </m:r>
                      </m:e>
                      <m:sub>
                        <m:r>
                          <m:rPr>
                            <m:nor/>
                            <m:sty m:val="p"/>
                          </m:rPr>
                          <m:t>ráfaga</m:t>
                        </m:r>
                      </m:sub>
                    </m:sSub>
                  </m:oMath>
                  <w:r>
                    <w:t xml:space="preserve">) [</w:t>
                  </w:r>
                  <m:oMath>
                    <m:r>
                      <m:t>0</m:t>
                    </m:r>
                    <m:r>
                      <m:rPr>
                        <m:sty m:val="p"/>
                      </m:rPr>
                      <m:t>,</m:t>
                    </m:r>
                    <m:r>
                      <m:t>003</m:t>
                    </m:r>
                  </m:oMath>
                  <w:r>
                    <w:t xml:space="preserve">]</w:t>
                  </w:r>
                </w:p>
              </w:tc>
              <w:tc>
                <w:tcPr/>
                <w:p>
                  <w:pPr>
                    <w:pStyle w:val="Compact"/>
                    <w:jc w:val="left"/>
                    <w:jc w:val="center"/>
                  </w:pPr>
                  <w:r>
                    <w:t xml:space="preserve">Índice Propagación Inicial FWI (</w:t>
                  </w:r>
                  <m:oMath>
                    <m:r>
                      <m:t>I</m:t>
                    </m:r>
                    <m:r>
                      <m:t>S</m:t>
                    </m:r>
                    <m:r>
                      <m:t>I</m:t>
                    </m:r>
                  </m:oMath>
                  <w:r>
                    <w:t xml:space="preserve">) [</w:t>
                  </w:r>
                  <m:oMath>
                    <m:r>
                      <m:t>0</m:t>
                    </m:r>
                    <m:r>
                      <m:rPr>
                        <m:sty m:val="p"/>
                      </m:rPr>
                      <m:t>,</m:t>
                    </m:r>
                    <m:r>
                      <m:t>010</m:t>
                    </m:r>
                  </m:oMath>
                  <w:r>
                    <w:t xml:space="preserve">]</w:t>
                  </w:r>
                </w:p>
              </w:tc>
            </w:tr>
          </w:tbl>
          <w:bookmarkEnd w:id="59"/>
          <w:p/>
        </w:tc>
      </w:tr>
    </w:tbl>
    <w:p>
      <w:pPr>
        <w:pStyle w:val="BodyText"/>
      </w:pPr>
      <w:r>
        <w:t xml:space="preserve">En ambas macro-regiones, la incorporación del prior de susceptibilidad espacial histórica (distancia y densidad kernel calculadas rigurosamente sobre el conjunto de entrenamiento sin fuga temporal) actúa como ancla geográfica fundamental (</w:t>
      </w:r>
      <m:oMath>
        <m:r>
          <m:rPr>
            <m:sty m:val="p"/>
          </m:rPr>
          <m:t>|</m:t>
        </m:r>
        <m:r>
          <m:rPr>
            <m:nor/>
            <m:sty m:val="p"/>
          </m:rPr>
          <m:t>SHAP</m:t>
        </m:r>
        <m:r>
          <m:rPr>
            <m:sty m:val="p"/>
          </m:rPr>
          <m:t>|</m:t>
        </m:r>
        <m:r>
          <m:rPr>
            <m:sty m:val="p"/>
          </m:rPr>
          <m:t>&gt;</m:t>
        </m:r>
        <m:r>
          <m:t>0</m:t>
        </m:r>
        <m:r>
          <m:rPr>
            <m:sty m:val="p"/>
          </m:rPr>
          <m:t>,</m:t>
        </m:r>
        <m:r>
          <m:t>27</m:t>
        </m:r>
      </m:oMath>
      <w:r>
        <w:t xml:space="preserve">). En el</w:t>
      </w:r>
      <w:r>
        <w:t xml:space="preserve"> </w:t>
      </w:r>
      <w:r>
        <w:rPr>
          <w:b/>
          <w:bCs/>
        </w:rPr>
        <w:t xml:space="preserve">Chaco</w:t>
      </w:r>
      <w:r>
        <w:t xml:space="preserve">, los detonantes meteorológicos principales corresponden a la</w:t>
      </w:r>
      <w:r>
        <w:t xml:space="preserve"> </w:t>
      </w:r>
      <w:r>
        <w:rPr>
          <w:b/>
          <w:bCs/>
        </w:rPr>
        <w:t xml:space="preserve">presión dinámica cuadrática del viento</w:t>
      </w:r>
      <w:r>
        <w:t xml:space="preserve"> </w:t>
      </w:r>
      <w:r>
        <w:t xml:space="preserve">(</w:t>
      </w:r>
      <m:oMath>
        <m:sSup>
          <m:e>
            <m:r>
              <m:t>v</m:t>
            </m:r>
          </m:e>
          <m:sup>
            <m:r>
              <m:t>2</m:t>
            </m:r>
          </m:sup>
        </m:sSup>
      </m:oMath>
      <w:r>
        <w:t xml:space="preserve">,</w:t>
      </w:r>
      <w:r>
        <w:t xml:space="preserve"> </w:t>
      </w:r>
      <m:oMath>
        <m:r>
          <m:rPr>
            <m:sty m:val="p"/>
          </m:rPr>
          <m:t>|</m:t>
        </m:r>
        <m:r>
          <m:rPr>
            <m:nor/>
            <m:sty m:val="p"/>
          </m:rPr>
          <m:t>SHAP</m:t>
        </m:r>
        <m:r>
          <m:rPr>
            <m:sty m:val="p"/>
          </m:rPr>
          <m:t>|</m:t>
        </m:r>
        <m:r>
          <m:rPr>
            <m:sty m:val="p"/>
          </m:rPr>
          <m:t>=</m:t>
        </m:r>
        <m:r>
          <m:t>0</m:t>
        </m:r>
        <m:r>
          <m:rPr>
            <m:sty m:val="p"/>
          </m:rPr>
          <m:t>,</m:t>
        </m:r>
        <m:r>
          <m:t>024</m:t>
        </m:r>
      </m:oMath>
      <w:r>
        <w:t xml:space="preserve">) y la temperatura mínima, coherente con las intrusiones de frentes fríos ventosos que resecan el estrato xerofítico.</w:t>
      </w:r>
    </w:p>
    <w:p>
      <w:pPr>
        <w:pStyle w:val="BodyText"/>
      </w:pPr>
      <w:r>
        <w:t xml:space="preserve">En contraste, en la</w:t>
      </w:r>
      <w:r>
        <w:t xml:space="preserve"> </w:t>
      </w:r>
      <w:r>
        <w:rPr>
          <w:b/>
          <w:bCs/>
        </w:rPr>
        <w:t xml:space="preserve">Región Oriental</w:t>
      </w:r>
      <w:r>
        <w:t xml:space="preserve">, tras el prior espacial, los motores biofísicos dominantes son el</w:t>
      </w:r>
      <w:r>
        <w:t xml:space="preserve"> </w:t>
      </w:r>
      <w:r>
        <w:rPr>
          <w:b/>
          <w:bCs/>
        </w:rPr>
        <w:t xml:space="preserve">contenido de humedad del combustible fino</w:t>
      </w:r>
      <w:r>
        <w:t xml:space="preserve"> </w:t>
      </w:r>
      <w:r>
        <w:t xml:space="preserve">(</w:t>
      </w:r>
      <m:oMath>
        <m:r>
          <m:t>F</m:t>
        </m:r>
        <m:r>
          <m:t>F</m:t>
        </m:r>
        <m:r>
          <m:t>M</m:t>
        </m:r>
        <m:r>
          <m:t>C</m:t>
        </m:r>
      </m:oMath>
      <w:r>
        <w:t xml:space="preserve">,</w:t>
      </w:r>
      <w:r>
        <w:t xml:space="preserve"> </w:t>
      </w:r>
      <m:oMath>
        <m:r>
          <m:rPr>
            <m:sty m:val="p"/>
          </m:rPr>
          <m:t>|</m:t>
        </m:r>
        <m:r>
          <m:rPr>
            <m:nor/>
            <m:sty m:val="p"/>
          </m:rPr>
          <m:t>SHAP</m:t>
        </m:r>
        <m:r>
          <m:rPr>
            <m:sty m:val="p"/>
          </m:rPr>
          <m:t>|</m:t>
        </m:r>
        <m:r>
          <m:rPr>
            <m:sty m:val="p"/>
          </m:rPr>
          <m:t>=</m:t>
        </m:r>
        <m:r>
          <m:t>0</m:t>
        </m:r>
        <m:r>
          <m:rPr>
            <m:sty m:val="p"/>
          </m:rPr>
          <m:t>,</m:t>
        </m:r>
        <m:r>
          <m:t>021</m:t>
        </m:r>
      </m:oMath>
      <w:r>
        <w:t xml:space="preserve">), la temperatura máxima (</w:t>
      </w:r>
      <m:oMath>
        <m:r>
          <m:t>0</m:t>
        </m:r>
        <m:r>
          <m:rPr>
            <m:sty m:val="p"/>
          </m:rPr>
          <m:t>,</m:t>
        </m:r>
        <m:r>
          <m:t>014</m:t>
        </m:r>
      </m:oMath>
      <w:r>
        <w:t xml:space="preserve">) y el índice de propagación inicial (</w:t>
      </w:r>
      <m:oMath>
        <m:r>
          <m:t>I</m:t>
        </m:r>
        <m:r>
          <m:t>S</m:t>
        </m:r>
        <m:r>
          <m:t>I</m:t>
        </m:r>
      </m:oMath>
      <w:r>
        <w:t xml:space="preserve">,</w:t>
      </w:r>
      <w:r>
        <w:t xml:space="preserve"> </w:t>
      </w:r>
      <m:oMath>
        <m:r>
          <m:t>0</m:t>
        </m:r>
        <m:r>
          <m:rPr>
            <m:sty m:val="p"/>
          </m:rPr>
          <m:t>,</m:t>
        </m:r>
        <m:r>
          <m:t>010</m:t>
        </m:r>
      </m:oMath>
      <w:r>
        <w:t xml:space="preserve">), reflejando el forzante térmico que condiciona la quema de rastrojos y pasturas implantadas.</w:t>
      </w:r>
    </w:p>
    <w:p>
      <w:pPr>
        <w:pStyle w:val="BodyText"/>
      </w:pPr>
      <w:r>
        <w:t xml:space="preserve">La descomposición visual de la explicabilidad del ensamble mediante diagramas de dispersión de densidad TreeSHAP (</w:t>
      </w:r>
      <w:r>
        <w:rPr>
          <w:i/>
          <w:iCs/>
        </w:rPr>
        <w:t xml:space="preserve">beeswarm plots</w:t>
      </w:r>
      <w:r>
        <w:t xml:space="preserve">) se expone en la</w:t>
      </w:r>
      <w:r>
        <w:t xml:space="preserve"> </w:t>
      </w:r>
      <w:hyperlink w:anchor="fig-shap">
        <w:r>
          <w:rPr>
            <w:rStyle w:val="Hyperlink"/>
          </w:rPr>
          <w:t xml:space="preserve">Figura 5</w:t>
        </w:r>
      </w:hyperlink>
      <w:r>
        <w:t xml:space="preserve">, revelando cómo el gradiente de cada variable incide positiva o negativamente en el logit de ignición.</w:t>
      </w:r>
    </w:p>
    <w:tbl>
      <w:tblPr>
        <w:tblStyle w:val="Table"/>
        <w:tblW w:type="pct" w:w="5000"/>
        <w:tblLayout w:type="fixed"/>
        <w:tblLook w:firstRow="0" w:lastRow="0" w:firstColumn="0" w:lastColumn="0" w:noHBand="0" w:noVBand="0" w:val="0000"/>
      </w:tblPr>
      <w:tblGrid>
        <w:gridCol w:w="7920"/>
      </w:tblGrid>
      <w:tr>
        <w:tc>
          <w:tcPr/>
          <w:bookmarkStart w:id="63" w:name="fig-shap"/>
          <w:p>
            <w:pPr>
              <w:pStyle w:val="Compact"/>
              <w:jc w:val="center"/>
            </w:pPr>
            <w:r>
              <w:drawing>
                <wp:inline>
                  <wp:extent cx="5334000" cy="2333624"/>
                  <wp:effectExtent b="0" l="0" r="0" t="0"/>
                  <wp:docPr descr="" title="" id="61" name="Picture"/>
                  <a:graphic>
                    <a:graphicData uri="http://schemas.openxmlformats.org/drawingml/2006/picture">
                      <pic:pic>
                        <pic:nvPicPr>
                          <pic:cNvPr descr="figuras/fig04_shap_comparativa_chaco_vs_oriental.png" id="62" name="Picture"/>
                          <pic:cNvPicPr>
                            <a:picLocks noChangeArrowheads="1" noChangeAspect="1"/>
                          </pic:cNvPicPr>
                        </pic:nvPicPr>
                        <pic:blipFill>
                          <a:blip r:embed="rId60"/>
                          <a:stretch>
                            <a:fillRect/>
                          </a:stretch>
                        </pic:blipFill>
                        <pic:spPr bwMode="auto">
                          <a:xfrm>
                            <a:off x="0" y="0"/>
                            <a:ext cx="5334000" cy="2333624"/>
                          </a:xfrm>
                          <a:prstGeom prst="rect">
                            <a:avLst/>
                          </a:prstGeom>
                          <a:noFill/>
                          <a:ln w="9525">
                            <a:noFill/>
                            <a:headEnd/>
                            <a:tailEnd/>
                          </a:ln>
                        </pic:spPr>
                      </pic:pic>
                    </a:graphicData>
                  </a:graphic>
                </wp:inline>
              </w:drawing>
            </w:r>
          </w:p>
          <w:p>
            <w:pPr>
              <w:jc w:val="center"/>
            </w:pPr>
            <w:pPr>
              <w:jc w:val="left"/>
              <w:spacing w:before="200"/>
              <w:pStyle w:val="ImageCaption"/>
            </w:pPr>
            <w:r>
              <w:t xml:space="preserve">Figura 5: Explicabilidad biofísica global mediante descomposiciones TreeSHAP: Distribución de valores Shapley para las 10 características más relevantes en el Chaco semiárido (panel superior) y en la Región Oriental (panel inferior), donde cada punto representa una celda del conjunto ciego coloreada por el valor normalizado de la variable.</w:t>
            </w:r>
          </w:p>
          <w:bookmarkEnd w:id="63"/>
        </w:tc>
      </w:tr>
    </w:tbl>
    <w:bookmarkEnd w:id="64"/>
    <w:bookmarkStart w:id="70" w:name="Xd400fc78ef45af2831f753f6a1c6cdfdf24e979"/>
    <w:p>
      <w:pPr>
        <w:pStyle w:val="Heading2"/>
      </w:pPr>
      <w:r>
        <w:t xml:space="preserve">5.4 5.4 Evaluación de Latencia y Rendimiento en Tiempo Real</w:t>
      </w:r>
    </w:p>
    <w:p>
      <w:pPr>
        <w:pStyle w:val="FirstParagraph"/>
      </w:pPr>
      <w:r>
        <w:t xml:space="preserve">El servicio automatizado de alerta (</w:t>
      </w:r>
      <w:hyperlink r:id="rId65">
        <w:r>
          <w:rPr>
            <w:rStyle w:val="VerbatimChar"/>
          </w:rPr>
          <w:t xml:space="preserve">src/alerta.py</w:t>
        </w:r>
      </w:hyperlink>
      <w:r>
        <w:t xml:space="preserve">) se evaluó mediante pruebas de estrés sobre la totalidad del país (</w:t>
      </w:r>
      <m:oMath>
        <m:r>
          <m:t>400.006</m:t>
        </m:r>
      </m:oMath>
      <w:r>
        <w:t xml:space="preserve"> </w:t>
      </w:r>
      <w:r>
        <w:t xml:space="preserve">celdas):</w:t>
      </w:r>
      <w:r>
        <w:t xml:space="preserve"> </w:t>
      </w:r>
      <w:r>
        <w:t xml:space="preserve">-</w:t>
      </w:r>
      <w:r>
        <w:t xml:space="preserve"> </w:t>
      </w:r>
      <w:r>
        <w:rPr>
          <w:b/>
          <w:bCs/>
        </w:rPr>
        <w:t xml:space="preserve">Carga de datos y grilla</w:t>
      </w:r>
      <w:r>
        <w:rPr>
          <w:b/>
          <w:bCs/>
        </w:rPr>
        <w:t xml:space="preserve"> </w:t>
      </w:r>
      <m:oMath>
        <m:r>
          <m:t>O</m:t>
        </m:r>
        <m:r>
          <m:rPr>
            <m:sty m:val="p"/>
          </m:rPr>
          <m:t>(</m:t>
        </m:r>
        <m:r>
          <m:t>1</m:t>
        </m:r>
        <m:r>
          <m:rPr>
            <m:sty m:val="p"/>
          </m:rPr>
          <m:t>)</m:t>
        </m:r>
      </m:oMath>
      <w:r>
        <w:rPr>
          <w:b/>
          <w:bCs/>
        </w:rPr>
        <w:t xml:space="preserve">:</w:t>
      </w:r>
      <w:r>
        <w:t xml:space="preserve"> </w:t>
      </w:r>
      <m:oMath>
        <m:r>
          <m:t>0</m:t>
        </m:r>
        <m:r>
          <m:rPr>
            <m:sty m:val="p"/>
          </m:rPr>
          <m:t>,</m:t>
        </m:r>
        <m:r>
          <m:t>15</m:t>
        </m:r>
        <m:r>
          <m:rPr>
            <m:nor/>
            <m:sty m:val="p"/>
          </m:rPr>
          <m:t> s</m:t>
        </m:r>
      </m:oMath>
      <w:r>
        <w:t xml:space="preserve">.</w:t>
      </w:r>
      <w:r>
        <w:t xml:space="preserve"> </w:t>
      </w:r>
      <w:r>
        <w:t xml:space="preserve">-</w:t>
      </w:r>
      <w:r>
        <w:t xml:space="preserve"> </w:t>
      </w:r>
      <w:r>
        <w:rPr>
          <w:b/>
          <w:bCs/>
        </w:rPr>
        <w:t xml:space="preserve">Gating biofísico de primera etapa:</w:t>
      </w:r>
      <w:r>
        <w:t xml:space="preserve"> </w:t>
      </w:r>
      <m:oMath>
        <m:r>
          <m:t>0</m:t>
        </m:r>
        <m:r>
          <m:rPr>
            <m:sty m:val="p"/>
          </m:rPr>
          <m:t>,</m:t>
        </m:r>
        <m:r>
          <m:t>08</m:t>
        </m:r>
        <m:r>
          <m:rPr>
            <m:nor/>
            <m:sty m:val="p"/>
          </m:rPr>
          <m:t> s</m:t>
        </m:r>
      </m:oMath>
      <w:r>
        <w:t xml:space="preserve">.</w:t>
      </w:r>
      <w:r>
        <w:t xml:space="preserve"> </w:t>
      </w:r>
      <w:r>
        <w:t xml:space="preserve">-</w:t>
      </w:r>
      <w:r>
        <w:t xml:space="preserve"> </w:t>
      </w:r>
      <w:r>
        <w:rPr>
          <w:b/>
          <w:bCs/>
        </w:rPr>
        <w:t xml:space="preserve">Inferencia dual LightGBM (Ignición + Propagación):</w:t>
      </w:r>
      <w:r>
        <w:t xml:space="preserve"> </w:t>
      </w:r>
      <m:oMath>
        <m:r>
          <m:t>0</m:t>
        </m:r>
        <m:r>
          <m:rPr>
            <m:sty m:val="p"/>
          </m:rPr>
          <m:t>,</m:t>
        </m:r>
        <m:r>
          <m:t>42</m:t>
        </m:r>
        <m:r>
          <m:rPr>
            <m:nor/>
            <m:sty m:val="p"/>
          </m:rPr>
          <m:t> s</m:t>
        </m:r>
      </m:oMath>
      <w:r>
        <w:t xml:space="preserve">.</w:t>
      </w:r>
      <w:r>
        <w:t xml:space="preserve"> </w:t>
      </w:r>
      <w:r>
        <w:t xml:space="preserve">-</w:t>
      </w:r>
      <w:r>
        <w:t xml:space="preserve"> </w:t>
      </w:r>
      <w:r>
        <w:rPr>
          <w:b/>
          <w:bCs/>
        </w:rPr>
        <w:t xml:space="preserve">Exportación tabular y GeoTIFF nacional:</w:t>
      </w:r>
      <w:r>
        <w:t xml:space="preserve"> </w:t>
      </w:r>
      <m:oMath>
        <m:r>
          <m:t>0</m:t>
        </m:r>
        <m:r>
          <m:rPr>
            <m:sty m:val="p"/>
          </m:rPr>
          <m:t>,</m:t>
        </m:r>
        <m:r>
          <m:t>10</m:t>
        </m:r>
        <m:r>
          <m:rPr>
            <m:nor/>
            <m:sty m:val="p"/>
          </m:rPr>
          <m:t> s</m:t>
        </m:r>
      </m:oMath>
      <w:r>
        <w:t xml:space="preserve">.</w:t>
      </w:r>
      <w:r>
        <w:t xml:space="preserve"> </w:t>
      </w:r>
      <w:r>
        <w:t xml:space="preserve">-</w:t>
      </w:r>
      <w:r>
        <w:t xml:space="preserve"> </w:t>
      </w:r>
      <w:r>
        <w:rPr>
          <w:b/>
          <w:bCs/>
        </w:rPr>
        <w:t xml:space="preserve">Tiempo total de ejecución de punta a punta:</w:t>
      </w:r>
      <w:r>
        <w:t xml:space="preserve"> </w:t>
      </w:r>
      <m:oMath>
        <m:r>
          <m:t>0</m:t>
        </m:r>
        <m:r>
          <m:rPr>
            <m:sty m:val="p"/>
          </m:rPr>
          <m:t>,</m:t>
        </m:r>
        <m:r>
          <m:t>75</m:t>
        </m:r>
        <m:r>
          <m:rPr>
            <m:nor/>
            <m:sty m:val="p"/>
          </m:rPr>
          <m:t> segundos</m:t>
        </m:r>
      </m:oMath>
      <w:r>
        <w:t xml:space="preserve">.</w:t>
      </w:r>
    </w:p>
    <w:p>
      <w:pPr>
        <w:pStyle w:val="BodyText"/>
      </w:pPr>
      <w:r>
        <w:t xml:space="preserve">Este rendimiento garantiza que una agencia estatal (como el Cuerpo de Bomberos o el INFONA) pueda ejecutar predicciones cada hora si se dispone de pronósticos numéricos de alta frecuencia sin requerir infraestructura de supercómputo. La cartografía operativa resultante a resolución nacional de 1 km² se ilustra en la</w:t>
      </w:r>
      <w:r>
        <w:t xml:space="preserve"> </w:t>
      </w:r>
      <w:hyperlink w:anchor="fig-mapa-operativo">
        <w:r>
          <w:rPr>
            <w:rStyle w:val="Hyperlink"/>
          </w:rPr>
          <w:t xml:space="preserve">Figura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9" w:name="fig-mapa-operativo"/>
          <w:p>
            <w:pPr>
              <w:pStyle w:val="Compact"/>
              <w:jc w:val="center"/>
            </w:pPr>
            <w:r>
              <w:drawing>
                <wp:inline>
                  <wp:extent cx="4533900" cy="5037666"/>
                  <wp:effectExtent b="0" l="0" r="0" t="0"/>
                  <wp:docPr descr="" title="" id="67" name="Picture"/>
                  <a:graphic>
                    <a:graphicData uri="http://schemas.openxmlformats.org/drawingml/2006/picture">
                      <pic:pic>
                        <pic:nvPicPr>
                          <pic:cNvPr descr="figuras/fig03_mapa_riesgo_operativo_nacional.png" id="68" name="Picture"/>
                          <pic:cNvPicPr>
                            <a:picLocks noChangeArrowheads="1" noChangeAspect="1"/>
                          </pic:cNvPicPr>
                        </pic:nvPicPr>
                        <pic:blipFill>
                          <a:blip r:embed="rId66"/>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6: Cartografía de predicción del riesgo operativo de incendios a escala soberana (1 km²): Ejemplo del producto espacial nacional generado por el servicio diario</w:t>
            </w:r>
            <w:r>
              <w:t xml:space="preserve"> </w:t>
            </w:r>
            <w:r>
              <w:rPr>
                <w:rStyle w:val="VerbatimChar"/>
              </w:rPr>
              <w:t xml:space="preserve">Incendios_PY</w:t>
            </w:r>
            <w:r>
              <w:t xml:space="preserve">, integrando el índice de ignición física desacoplado y la probabilidad táctica de avance de fuego.</w:t>
            </w:r>
          </w:p>
          <w:bookmarkEnd w:id="69"/>
        </w:tc>
      </w:tr>
    </w:tbl>
    <w:p>
      <w:r>
        <w:pict>
          <v:rect style="width:0;height:1.5pt" o:hralign="center" o:hrstd="t" o:hr="t"/>
        </w:pict>
      </w:r>
    </w:p>
    <w:bookmarkEnd w:id="70"/>
    <w:bookmarkEnd w:id="71"/>
    <w:bookmarkStart w:id="76" w:name="discusión"/>
    <w:p>
      <w:pPr>
        <w:pStyle w:val="Heading1"/>
      </w:pPr>
      <w:r>
        <w:t xml:space="preserve">6. 6. Discusión</w:t>
      </w:r>
    </w:p>
    <w:bookmarkStart w:id="72" w:name="Xda889537f016710562802a3266606dcae09ed30"/>
    <w:p>
      <w:pPr>
        <w:pStyle w:val="Heading2"/>
      </w:pPr>
      <w:r>
        <w:t xml:space="preserve">6.1 6.1 Por qué Fallan los Índices Boreales Canónicos en el Gran Chaco</w:t>
      </w:r>
    </w:p>
    <w:p>
      <w:pPr>
        <w:pStyle w:val="FirstParagraph"/>
      </w:pPr>
      <w:r>
        <w:t xml:space="preserve">Nuestros hallazgos demuestran de forma concluyente que la adopción acrítica del</w:t>
      </w:r>
      <w:r>
        <w:t xml:space="preserve"> </w:t>
      </w:r>
      <w:r>
        <w:rPr>
          <w:b/>
          <w:bCs/>
        </w:rPr>
        <w:t xml:space="preserve">Canadian FWI</w:t>
      </w:r>
      <w:r>
        <w:t xml:space="preserve"> </w:t>
      </w:r>
      <w:r>
        <w:t xml:space="preserve">en Sudamérica genera fallas operativas graves. El FWI fue calibrado originalmente bajo el supuesto de bosques cerrados de coníferas boreales (</w:t>
      </w:r>
      <w:r>
        <w:rPr>
          <w:i/>
          <w:iCs/>
        </w:rPr>
        <w:t xml:space="preserve">Pinus banksiana</w:t>
      </w:r>
      <w:r>
        <w:t xml:space="preserve">), donde el combustible crítico es el mantillo orgánico profundo (</w:t>
      </w:r>
      <w:r>
        <w:rPr>
          <w:i/>
          <w:iCs/>
        </w:rPr>
        <w:t xml:space="preserve">duff layer</w:t>
      </w:r>
      <w:r>
        <w:t xml:space="preserve">) y las tasas de evaporación son moderadas</w:t>
      </w:r>
      <w:r>
        <w:t xml:space="preserve"> </w:t>
      </w:r>
      <w:r>
        <w:t xml:space="preserve">(Flannigan et al., 2009; Van Wagner, 1987)</w:t>
      </w:r>
      <w:r>
        <w:t xml:space="preserve">.</w:t>
      </w:r>
    </w:p>
    <w:p>
      <w:pPr>
        <w:pStyle w:val="BodyText"/>
      </w:pPr>
      <w:r>
        <w:t xml:space="preserve">En el Gran Chaco y en mosaicos ecológicos análogos del Cerrado y Pantanal</w:t>
      </w:r>
      <w:r>
        <w:t xml:space="preserve"> </w:t>
      </w:r>
      <w:r>
        <w:t xml:space="preserve">(Alvarado et al., 2018; Pivello et al., 2021)</w:t>
      </w:r>
      <w:r>
        <w:t xml:space="preserve">, el régimen del fuego es radicalmente distinto:</w:t>
      </w:r>
      <w:r>
        <w:t xml:space="preserve"> </w:t>
      </w:r>
      <w:r>
        <w:t xml:space="preserve">1. El combustible dominante es fino (pastizales naturales y gramíneas invasoras en pasturas ganaderas) con tiempos de respuesta de secado de pocas horas, altamente sensibles a picos intradiarios de</w:t>
      </w:r>
      <w:r>
        <w:t xml:space="preserve"> </w:t>
      </w:r>
      <m:oMath>
        <m:r>
          <m:t>V</m:t>
        </m:r>
        <m:r>
          <m:t>P</m:t>
        </m:r>
        <m:r>
          <m:t>D</m:t>
        </m:r>
      </m:oMath>
      <w:r>
        <w:t xml:space="preserve">.</w:t>
      </w:r>
      <w:r>
        <w:t xml:space="preserve"> </w:t>
      </w:r>
      <w:r>
        <w:t xml:space="preserve">2. Las temperaturas extremas (</w:t>
      </w:r>
      <m:oMath>
        <m:r>
          <m:rPr>
            <m:sty m:val="p"/>
          </m:rPr>
          <m:t>&gt;</m:t>
        </m:r>
        <m:sSup>
          <m:e>
            <m:r>
              <m:t>40</m:t>
            </m:r>
          </m:e>
          <m:sup>
            <m:r>
              <m:rPr>
                <m:sty m:val="p"/>
              </m:rPr>
              <m:t>∘</m:t>
            </m:r>
          </m:sup>
        </m:sSup>
        <m:r>
          <m:rPr>
            <m:nor/>
            <m:sty m:val="p"/>
          </m:rPr>
          <m:t>C</m:t>
        </m:r>
      </m:oMath>
      <w:r>
        <w:t xml:space="preserve">) provocan una evaporación acelerada que los índices diarios tradicionales (calculados exclusivamente a las 12:00h locales) subestiman severamente al ignorar el ciclo diurno de la tarde.</w:t>
      </w:r>
      <w:r>
        <w:t xml:space="preserve"> </w:t>
      </w:r>
      <w:r>
        <w:t xml:space="preserve">3. El componente antrópico (quema deliberada de pasturas) se concentra en días donde el FWI aún reporta niveles</w:t>
      </w:r>
      <w:r>
        <w:t xml:space="preserve"> </w:t>
      </w:r>
      <w:r>
        <w:t xml:space="preserve">“moderados”</w:t>
      </w:r>
      <w:r>
        <w:t xml:space="preserve"> </w:t>
      </w:r>
      <w:r>
        <w:t xml:space="preserve">de peligro, provocando que los sistemas oficiales basados en FWI emitan alertas tardías.</w:t>
      </w:r>
    </w:p>
    <w:bookmarkEnd w:id="72"/>
    <w:bookmarkStart w:id="73" w:name="Xe143504139dc7344e78637b6380bb48516f1da7"/>
    <w:p>
      <w:pPr>
        <w:pStyle w:val="Heading2"/>
      </w:pPr>
      <w:r>
        <w:t xml:space="preserve">6.2 6.2 El Valor Científico del Desacoplamiento Honesto</w:t>
      </w:r>
    </w:p>
    <w:p>
      <w:pPr>
        <w:pStyle w:val="FirstParagraph"/>
      </w:pPr>
      <w:r>
        <w:t xml:space="preserve">La literatura reciente de machine learning aplicado al fuego abunda en publicaciones que reportan precisiones aparentemente excepcionales (</w:t>
      </w:r>
      <m:oMath>
        <m:r>
          <m:rPr>
            <m:sty m:val="p"/>
          </m:rPr>
          <m:t>&gt;</m:t>
        </m:r>
        <m:r>
          <m:t>95</m:t>
        </m:r>
        <m:r>
          <m:rPr>
            <m:nor/>
            <m:sty m:val="p"/>
          </m:rPr>
          <m:t> %</m:t>
        </m:r>
      </m:oMath>
      <w:r>
        <w:t xml:space="preserve">) mediante modelos únicos que agrupan variables meteorológicas con la distancia inmediata a focos previos</w:t>
      </w:r>
      <w:r>
        <w:t xml:space="preserve"> </w:t>
      </w:r>
      <w:r>
        <w:t xml:space="preserve">(Coffield et al., 2019; Sayad et al., 2019)</w:t>
      </w:r>
      <w:r>
        <w:t xml:space="preserve">. Tal como advierten las revisiones metodológicas contemporáneas</w:t>
      </w:r>
      <w:r>
        <w:t xml:space="preserve"> </w:t>
      </w:r>
      <w:r>
        <w:t xml:space="preserve">(Jain et al., 2020; Ploton et al., 2020)</w:t>
      </w:r>
      <w:r>
        <w:t xml:space="preserve">, esos modelos sufren de</w:t>
      </w:r>
      <w:r>
        <w:t xml:space="preserve"> </w:t>
      </w:r>
      <w:r>
        <w:rPr>
          <w:b/>
          <w:bCs/>
        </w:rPr>
        <w:t xml:space="preserve">ceguera selectiva ante la ignición primaria</w:t>
      </w:r>
      <w:r>
        <w:t xml:space="preserve">: cuando se elimina el atajo del fuego anterior, su capacidad predictiva real colapsa.</w:t>
      </w:r>
    </w:p>
    <w:p>
      <w:pPr>
        <w:pStyle w:val="BodyText"/>
      </w:pPr>
      <w:r>
        <w:t xml:space="preserve">Al separar analíticamente la</w:t>
      </w:r>
      <w:r>
        <w:t xml:space="preserve"> </w:t>
      </w:r>
      <w:r>
        <w:rPr>
          <w:b/>
          <w:bCs/>
        </w:rPr>
        <w:t xml:space="preserve">Ignición Física</w:t>
      </w:r>
      <w:r>
        <w:t xml:space="preserve"> </w:t>
      </w:r>
      <w:r>
        <w:t xml:space="preserve">de la</w:t>
      </w:r>
      <w:r>
        <w:t xml:space="preserve"> </w:t>
      </w:r>
      <w:r>
        <w:rPr>
          <w:b/>
          <w:bCs/>
        </w:rPr>
        <w:t xml:space="preserve">Propagación Táctica</w:t>
      </w:r>
      <w:r>
        <w:t xml:space="preserve">:</w:t>
      </w:r>
      <w:r>
        <w:t xml:space="preserve"> </w:t>
      </w:r>
      <w:r>
        <w:t xml:space="preserve">- Proveemos a los equipos de prevención y patrullaje territorial una herramienta objetiva que señala dónde el bosque está físicamente a punto de arder, antes de que aparezca la primera llama.</w:t>
      </w:r>
      <w:r>
        <w:t xml:space="preserve"> </w:t>
      </w:r>
      <w:r>
        <w:t xml:space="preserve">- Proveemos a los bomberos en el terreno un modelo táctico de combate capaz de anticipar hacia qué cuadrante avanzará el frente activo en las próximas 24 horas con una precisión del</w:t>
      </w:r>
      <w:r>
        <w:t xml:space="preserve"> </w:t>
      </w:r>
      <m:oMath>
        <m:r>
          <m:t>97</m:t>
        </m:r>
        <m:r>
          <m:rPr>
            <m:sty m:val="p"/>
          </m:rPr>
          <m:t>,</m:t>
        </m:r>
        <m:r>
          <m:t>71</m:t>
        </m:r>
        <m:r>
          <m:rPr>
            <m:nor/>
            <m:sty m:val="p"/>
          </m:rPr>
          <m:t> %</m:t>
        </m:r>
      </m:oMath>
      <w:r>
        <w:t xml:space="preserve">.</w:t>
      </w:r>
    </w:p>
    <w:bookmarkEnd w:id="73"/>
    <w:bookmarkStart w:id="74" w:name="Xcdb6614f49e377e95868282d3e14bf0f8e490ca"/>
    <w:p>
      <w:pPr>
        <w:pStyle w:val="Heading2"/>
      </w:pPr>
      <w:r>
        <w:t xml:space="preserve">6.3 6.3 Eficiencia y Soberanía Tecnológica para el Sur Global</w:t>
      </w:r>
    </w:p>
    <w:p>
      <w:pPr>
        <w:pStyle w:val="FirstParagraph"/>
      </w:pPr>
      <w:r>
        <w:t xml:space="preserve">Una barrera frecuente para la adopción de inteligencia artificial en países en desarrollo es la dependencia de costosos servicios en la nube o clusters de supercómputo inaccesibles para agencias públicas locales.</w:t>
      </w:r>
      <w:r>
        <w:t xml:space="preserve"> </w:t>
      </w:r>
      <w:r>
        <w:rPr>
          <w:rStyle w:val="VerbatimChar"/>
        </w:rPr>
        <w:t xml:space="preserve">Incendios_PY</w:t>
      </w:r>
      <w:r>
        <w:t xml:space="preserve"> </w:t>
      </w:r>
      <w:r>
        <w:t xml:space="preserve">fue deliberadamente concebido para derribar esta barrera:</w:t>
      </w:r>
      <w:r>
        <w:t xml:space="preserve"> </w:t>
      </w:r>
      <w:r>
        <w:t xml:space="preserve">- Al utilizar</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pipeline procesa la historia decenal completa en menos de 4 GB de RAM.</w:t>
      </w:r>
      <w:r>
        <w:t xml:space="preserve"> </w:t>
      </w:r>
      <w:r>
        <w:t xml:space="preserve">- El modelo completo puede reentrenarse en menos de 6 minutos en cualquier computadora portátil moderna (incluyendo procesadores ARM64 de consumo como Apple Silicon M-Series).</w:t>
      </w:r>
      <w:r>
        <w:t xml:space="preserve"> </w:t>
      </w:r>
      <w:r>
        <w:t xml:space="preserve">- Todo el código es 100 % abierto, sin dependencias propietarias, asegurando transferibilidad institucional directa hacia el</w:t>
      </w:r>
      <w:r>
        <w:t xml:space="preserve"> </w:t>
      </w:r>
      <w:r>
        <w:rPr>
          <w:b/>
          <w:bCs/>
        </w:rPr>
        <w:t xml:space="preserve">MADES</w:t>
      </w:r>
      <w:r>
        <w:t xml:space="preserve">, el</w:t>
      </w:r>
      <w:r>
        <w:t xml:space="preserve"> </w:t>
      </w:r>
      <w:r>
        <w:rPr>
          <w:b/>
          <w:bCs/>
        </w:rPr>
        <w:t xml:space="preserve">INFONA</w:t>
      </w:r>
      <w:r>
        <w:t xml:space="preserve"> </w:t>
      </w:r>
      <w:r>
        <w:t xml:space="preserve">y los</w:t>
      </w:r>
      <w:r>
        <w:t xml:space="preserve"> </w:t>
      </w:r>
      <w:r>
        <w:rPr>
          <w:b/>
          <w:bCs/>
        </w:rPr>
        <w:t xml:space="preserve">Cuerpos de Bomberos Voluntarios del Paraguay</w:t>
      </w:r>
      <w:r>
        <w:t xml:space="preserve">.</w:t>
      </w:r>
    </w:p>
    <w:bookmarkEnd w:id="74"/>
    <w:bookmarkStart w:id="75" w:name="limitaciones"/>
    <w:p>
      <w:pPr>
        <w:pStyle w:val="Heading2"/>
      </w:pPr>
      <w:r>
        <w:t xml:space="preserve">6.4 6.4 Limitaciones</w:t>
      </w:r>
    </w:p>
    <w:p>
      <w:pPr>
        <w:pStyle w:val="FirstParagraph"/>
      </w:pPr>
      <w:r>
        <w:t xml:space="preserve">El marco actual presenta dos limitaciones que deben reconocerse:</w:t>
      </w:r>
      <w:r>
        <w:t xml:space="preserve"> </w:t>
      </w:r>
      <w:r>
        <w:t xml:space="preserve">1.</w:t>
      </w:r>
      <w:r>
        <w:t xml:space="preserve"> </w:t>
      </w:r>
      <w:r>
        <w:rPr>
          <w:b/>
          <w:bCs/>
        </w:rPr>
        <w:t xml:space="preserve">Resolución de la Entrada Meteorológica:</w:t>
      </w:r>
      <w:r>
        <w:t xml:space="preserve"> </w:t>
      </w:r>
      <w:r>
        <w:t xml:space="preserve">El reanálisis ERA5-Land opera a</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lo que implica que las variaciones microclimáticas locales (como brisas de valles o islas de calor locales) son suavizadas espacialmente.</w:t>
      </w:r>
      <w:r>
        <w:t xml:space="preserve"> </w:t>
      </w:r>
      <w:r>
        <w:t xml:space="preserve">2.</w:t>
      </w:r>
      <w:r>
        <w:t xml:space="preserve"> </w:t>
      </w:r>
      <w:r>
        <w:rPr>
          <w:b/>
          <w:bCs/>
        </w:rPr>
        <w:t xml:space="preserve">Dependencia de la Cobertura de Nubes:</w:t>
      </w:r>
      <w:r>
        <w:t xml:space="preserve"> </w:t>
      </w:r>
      <w:r>
        <w:t xml:space="preserve">El sensor VIIRS opera en el espectro óptico e infrarrojo térmico, lo que significa que coberturas nubosas densas pueden impedir temporalmente la detección de focos en la fecha</w:t>
      </w:r>
      <w:r>
        <w:t xml:space="preserve"> </w:t>
      </w:r>
      <m:oMath>
        <m:r>
          <m:t>t</m:t>
        </m:r>
        <m:r>
          <m:rPr>
            <m:sty m:val="p"/>
          </m:rPr>
          <m:t>−</m:t>
        </m:r>
        <m:r>
          <m:t>1</m:t>
        </m:r>
      </m:oMath>
      <w:r>
        <w:t xml:space="preserve">, reduciendo transitoriamente la sensibilidad de la capa de propagación.</w:t>
      </w:r>
    </w:p>
    <w:p>
      <w:r>
        <w:pict>
          <v:rect style="width:0;height:1.5pt" o:hralign="center" o:hrstd="t" o:hr="t"/>
        </w:pict>
      </w:r>
    </w:p>
    <w:bookmarkEnd w:id="75"/>
    <w:bookmarkEnd w:id="76"/>
    <w:bookmarkStart w:id="82" w:name="conclusiones-y-trabajo-futuro"/>
    <w:p>
      <w:pPr>
        <w:pStyle w:val="Heading1"/>
      </w:pPr>
      <w:r>
        <w:t xml:space="preserve">7. 7. Conclusiones y Trabajo Futuro</w:t>
      </w:r>
    </w:p>
    <w:p>
      <w:pPr>
        <w:pStyle w:val="FirstParagraph"/>
      </w:pPr>
      <w:r>
        <w:t xml:space="preserve">Este trabajo introduce un marco computacional riguroso, desacoplado y reproducible para la predicción del peligro de incendios a escala soberana en Paraguay. Las conclusiones principales son:</w:t>
      </w:r>
    </w:p>
    <w:p>
      <w:pPr>
        <w:pStyle w:val="Compact"/>
        <w:numPr>
          <w:ilvl w:val="0"/>
          <w:numId w:val="1008"/>
        </w:numPr>
      </w:pPr>
      <w:r>
        <w:t xml:space="preserve">El cribado biofísico de primera etapa (</w:t>
      </w:r>
      <w:r>
        <w:rPr>
          <w:i/>
          <w:iCs/>
        </w:rPr>
        <w:t xml:space="preserve">Two-Stage Gating</w:t>
      </w:r>
      <w:r>
        <w:t xml:space="preserve">) reduce la dimensionalidad en un 92 % sin sacrificar la detección de incendios reales.</w:t>
      </w:r>
    </w:p>
    <w:p>
      <w:pPr>
        <w:pStyle w:val="Compact"/>
        <w:numPr>
          <w:ilvl w:val="0"/>
          <w:numId w:val="1008"/>
        </w:numPr>
      </w:pPr>
      <w:r>
        <w:t xml:space="preserve">El desacoplamiento entre Ignición Física y Propagación Táctica elimina el sesgo de atajo espacial, logrando una precisión táctica del</w:t>
      </w:r>
      <w:r>
        <w:t xml:space="preserve"> </w:t>
      </w:r>
      <m:oMath>
        <m:r>
          <m:t>90</m:t>
        </m:r>
        <m:r>
          <m:rPr>
            <m:sty m:val="p"/>
          </m:rPr>
          <m:t>,</m:t>
        </m:r>
        <m:r>
          <m:t>16</m:t>
        </m:r>
        <m:r>
          <m:rPr>
            <m:nor/>
            <m:sty m:val="p"/>
          </m:rPr>
          <m:t> %</m:t>
        </m:r>
      </m:oMath>
      <w:r>
        <w:t xml:space="preserve"> </w:t>
      </w:r>
      <w:r>
        <w:t xml:space="preserve">en propagación en el Chaco y superando al Canadian FWI por más de 28 a 32 puntos porcentuales de ROC-AUC en ignición primaria en ambas macro-regiones.</w:t>
      </w:r>
    </w:p>
    <w:p>
      <w:pPr>
        <w:pStyle w:val="Compact"/>
        <w:numPr>
          <w:ilvl w:val="0"/>
          <w:numId w:val="1008"/>
        </w:numPr>
      </w:pPr>
      <w:r>
        <w:t xml:space="preserve">La susceptibilidad espacial histórica (sin fuga temporal) provee el anclaje antrópico base, mientras que la presión dinámica cuadrática del viento (</w:t>
      </w:r>
      <m:oMath>
        <m:sSup>
          <m:e>
            <m:r>
              <m:t>v</m:t>
            </m:r>
          </m:e>
          <m:sup>
            <m:r>
              <m:t>2</m:t>
            </m:r>
          </m:sup>
        </m:sSup>
      </m:oMath>
      <w:r>
        <w:t xml:space="preserve">) gobierna la ignición chaqueña y la humedad del combustible fino (</w:t>
      </w:r>
      <m:oMath>
        <m:r>
          <m:t>F</m:t>
        </m:r>
        <m:r>
          <m:t>F</m:t>
        </m:r>
        <m:r>
          <m:t>M</m:t>
        </m:r>
        <m:r>
          <m:t>C</m:t>
        </m:r>
      </m:oMath>
      <w:r>
        <w:t xml:space="preserve">) la Región Oriental.</w:t>
      </w:r>
    </w:p>
    <w:p>
      <w:pPr>
        <w:pStyle w:val="Compact"/>
        <w:numPr>
          <w:ilvl w:val="0"/>
          <w:numId w:val="1008"/>
        </w:numPr>
      </w:pPr>
      <w:r>
        <w:t xml:space="preserve">El pipeline analítico ejecuta la inferencia nacional completa en</w:t>
      </w:r>
      <w:r>
        <w:t xml:space="preserve"> </w:t>
      </w:r>
      <m:oMath>
        <m:r>
          <m:t>0</m:t>
        </m:r>
        <m:r>
          <m:rPr>
            <m:sty m:val="p"/>
          </m:rPr>
          <m:t>,</m:t>
        </m:r>
        <m:r>
          <m:t>75</m:t>
        </m:r>
      </m:oMath>
      <w:r>
        <w:t xml:space="preserve"> </w:t>
      </w:r>
      <w:r>
        <w:t xml:space="preserve">segundos, permitiendo su despliegue operativo en tiempo real a costo computacional nulo.</w:t>
      </w:r>
    </w:p>
    <w:bookmarkStart w:id="81" w:name="Xdae893e2915d113180b7060a282cadd6c130de3"/>
    <w:p>
      <w:pPr>
        <w:pStyle w:val="Heading3"/>
      </w:pPr>
      <w:r>
        <w:t xml:space="preserve">7.0.1 Trabajo Futuro: Verificación Satelital Tri-Modal</w:t>
      </w:r>
    </w:p>
    <w:p>
      <w:pPr>
        <w:pStyle w:val="FirstParagraph"/>
      </w:pPr>
      <w:r>
        <w:t xml:space="preserve">Como evolución inmediata, proponemos la integración del sistema de predicción con un pipeline automatizado de</w:t>
      </w:r>
      <w:r>
        <w:t xml:space="preserve"> </w:t>
      </w:r>
      <w:r>
        <w:rPr>
          <w:b/>
          <w:bCs/>
        </w:rPr>
        <w:t xml:space="preserve">verificación satelital tri-modal multiespectral</w:t>
      </w:r>
      <w:r>
        <w:t xml:space="preserve"> </w:t>
      </w:r>
      <w:r>
        <w:t xml:space="preserve">sustentado en bases de datos de comportamiento global</w:t>
      </w:r>
      <w:r>
        <w:t xml:space="preserve"> </w:t>
      </w:r>
      <w:r>
        <w:t xml:space="preserve">(Artés et al., 2019)</w:t>
      </w:r>
      <w:r>
        <w:t xml:space="preserve"> </w:t>
      </w:r>
      <w:r>
        <w:t xml:space="preserve">y teledetección de cicatrices de quemado</w:t>
      </w:r>
      <w:r>
        <w:t xml:space="preserve"> </w:t>
      </w:r>
      <w:r>
        <w:t xml:space="preserve">(Chuvieco et al., 2019)</w:t>
      </w:r>
      <w:r>
        <w:t xml:space="preserve">:</w:t>
      </w:r>
      <w:r>
        <w:t xml:space="preserve"> </w:t>
      </w:r>
      <w:r>
        <w:t xml:space="preserve">-</w:t>
      </w:r>
      <w:r>
        <w:t xml:space="preserve"> </w:t>
      </w:r>
      <w:r>
        <w:rPr>
          <w:b/>
          <w:bCs/>
        </w:rPr>
        <w:t xml:space="preserve">Modo 1 (Regional Sinóptico):</w:t>
      </w:r>
      <w:r>
        <w:t xml:space="preserve"> </w:t>
      </w:r>
      <w:r>
        <w:t xml:space="preserve">Cartografía nacional diaria del índice de peligro a 1 km².</w:t>
      </w:r>
      <w:r>
        <w:t xml:space="preserve"> </w:t>
      </w:r>
      <w:r>
        <w:t xml:space="preserve">-</w:t>
      </w:r>
      <w:r>
        <w:t xml:space="preserve"> </w:t>
      </w:r>
      <w:r>
        <w:rPr>
          <w:b/>
          <w:bCs/>
        </w:rPr>
        <w:t xml:space="preserve">Modo 2 (Focal VIIRS 375 m):</w:t>
      </w:r>
      <w:r>
        <w:t xml:space="preserve"> </w:t>
      </w:r>
      <w:r>
        <w:t xml:space="preserve">Detección de anomalías térmicas y clusters de propagación activa.</w:t>
      </w:r>
      <w:r>
        <w:t xml:space="preserve"> </w:t>
      </w:r>
      <w:r>
        <w:t xml:space="preserve">-</w:t>
      </w:r>
      <w:r>
        <w:t xml:space="preserve"> </w:t>
      </w:r>
      <w:r>
        <w:rPr>
          <w:b/>
          <w:bCs/>
        </w:rPr>
        <w:t xml:space="preserve">Modo 3 (Infrarrojo de Onda Corta SWIR / Sentinel-2 / Landsat-9 a 20 m):</w:t>
      </w:r>
      <w:r>
        <w:t xml:space="preserve"> </w:t>
      </w:r>
      <w:r>
        <w:t xml:space="preserve">Inspección de alta resolución para la delimitación precisa de cicatrices de quemado (</w:t>
      </w:r>
      <w:r>
        <w:rPr>
          <w:i/>
          <w:iCs/>
        </w:rPr>
        <w:t xml:space="preserve">burn scars</w:t>
      </w:r>
      <w:r>
        <w:t xml:space="preserve">) y cálculo del índice normalizado de área quemada (</w:t>
      </w:r>
      <m:oMath>
        <m:r>
          <m:t>N</m:t>
        </m:r>
        <m:r>
          <m:t>B</m:t>
        </m:r>
        <m:r>
          <m:t>R</m:t>
        </m:r>
      </m:oMath>
      <w:r>
        <w:t xml:space="preserve">).</w:t>
      </w:r>
    </w:p>
    <w:p>
      <w:pPr>
        <w:pStyle w:val="BodyText"/>
      </w:pPr>
      <w:r>
        <w:t xml:space="preserve">La estructura operativa de este esquema multiescala y los tres modos de visualización se ilustran en la</w:t>
      </w:r>
      <w:r>
        <w:t xml:space="preserve"> </w:t>
      </w:r>
      <w:hyperlink w:anchor="fig-trimodal">
        <w:r>
          <w:rPr>
            <w:rStyle w:val="Hyperlink"/>
          </w:rPr>
          <w:t xml:space="preserve">Figura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0" w:name="fig-trimodal"/>
          <w:p>
            <w:pPr>
              <w:pStyle w:val="Compact"/>
              <w:jc w:val="center"/>
            </w:pPr>
            <w:r>
              <w:drawing>
                <wp:inline>
                  <wp:extent cx="5334000" cy="1987136"/>
                  <wp:effectExtent b="0" l="0" r="0" t="0"/>
                  <wp:docPr descr="" title="" id="78" name="Picture"/>
                  <a:graphic>
                    <a:graphicData uri="http://schemas.openxmlformats.org/drawingml/2006/picture">
                      <pic:pic>
                        <pic:nvPicPr>
                          <pic:cNvPr descr="figuras/fig06_comparativa_satelital_tres_modos.png" id="79" name="Picture"/>
                          <pic:cNvPicPr>
                            <a:picLocks noChangeArrowheads="1" noChangeAspect="1"/>
                          </pic:cNvPicPr>
                        </pic:nvPicPr>
                        <pic:blipFill>
                          <a:blip r:embed="rId77"/>
                          <a:stretch>
                            <a:fillRect/>
                          </a:stretch>
                        </pic:blipFill>
                        <pic:spPr bwMode="auto">
                          <a:xfrm>
                            <a:off x="0" y="0"/>
                            <a:ext cx="5334000" cy="1987136"/>
                          </a:xfrm>
                          <a:prstGeom prst="rect">
                            <a:avLst/>
                          </a:prstGeom>
                          <a:noFill/>
                          <a:ln w="9525">
                            <a:noFill/>
                            <a:headEnd/>
                            <a:tailEnd/>
                          </a:ln>
                        </pic:spPr>
                      </pic:pic>
                    </a:graphicData>
                  </a:graphic>
                </wp:inline>
              </w:drawing>
            </w:r>
          </w:p>
          <w:p>
            <w:pPr>
              <w:jc w:val="center"/>
            </w:pPr>
            <w:pPr>
              <w:jc w:val="left"/>
              <w:spacing w:before="200"/>
              <w:pStyle w:val="ImageCaption"/>
            </w:pPr>
            <w:r>
              <w:t xml:space="preserve">Figura 7: Esquema conceptual y operativo de la verificación satelital tri-modal multiespectral: Modo 1 (Alerta Regional a 1 km²), Modo 2 (Detección térmica focal VIIRS a 375 m) y Modo 3 (Confirmación espectral SWIR de alta resolución en frentes de fuego activos).</w:t>
            </w:r>
          </w:p>
          <w:bookmarkEnd w:id="80"/>
        </w:tc>
      </w:tr>
    </w:tbl>
    <w:p>
      <w:r>
        <w:pict>
          <v:rect style="width:0;height:1.5pt" o:hralign="center" o:hrstd="t" o:hr="t"/>
        </w:pict>
      </w:r>
    </w:p>
    <w:bookmarkEnd w:id="81"/>
    <w:bookmarkEnd w:id="82"/>
    <w:bookmarkStart w:id="85" w:name="Xce78c41521918f7ee75d0354003d52e87d74cef"/>
    <w:p>
      <w:pPr>
        <w:pStyle w:val="Heading1"/>
      </w:pPr>
      <w:r>
        <w:t xml:space="preserve">8. 8. Disponibilidad del Código Computacional (Computer Code Availability)</w:t>
      </w:r>
    </w:p>
    <w:p>
      <w:pPr>
        <w:pStyle w:val="FirstParagraph"/>
      </w:pPr>
      <w:r>
        <w:t xml:space="preserve">En cumplimiento de las políticas obligatorias de reproducibilidad de</w:t>
      </w:r>
      <w:r>
        <w:t xml:space="preserve"> </w:t>
      </w:r>
      <w:r>
        <w:rPr>
          <w:i/>
          <w:iCs/>
        </w:rPr>
        <w:t xml:space="preserve">Computers &amp; Geosciences</w:t>
      </w:r>
      <w:r>
        <w:t xml:space="preserve">, la</w:t>
      </w:r>
      <w:r>
        <w:t xml:space="preserve"> </w:t>
      </w:r>
      <w:hyperlink w:anchor="tbl-code">
        <w:r>
          <w:rPr>
            <w:rStyle w:val="Hyperlink"/>
          </w:rPr>
          <w:t xml:space="preserve">Tabla 5</w:t>
        </w:r>
      </w:hyperlink>
      <w:r>
        <w:t xml:space="preserve"> </w:t>
      </w:r>
      <w:r>
        <w:t xml:space="preserve">detalla los metadatos completos del software.</w:t>
      </w:r>
    </w:p>
    <w:tbl>
      <w:tblPr>
        <w:tblStyle w:val="Table"/>
        <w:tblW w:type="pct" w:w="5000"/>
        <w:tblLayout w:type="fixed"/>
        <w:tblLook w:firstRow="0" w:lastRow="0" w:firstColumn="0" w:lastColumn="0" w:noHBand="0" w:noVBand="0" w:val="0000"/>
      </w:tblPr>
      <w:tblGrid>
        <w:gridCol w:w="7920"/>
      </w:tblGrid>
      <w:tr>
        <w:tc>
          <w:tcPr/>
          <w:bookmarkStart w:id="84" w:name="tbl-code"/>
          <w:p>
            <w:pPr>
              <w:jc w:val="center"/>
            </w:pPr>
            <w:pPr>
              <w:jc w:val="left"/>
              <w:spacing w:before="200"/>
              <w:pStyle w:val="ImageCaption"/>
            </w:pPr>
            <w:r>
              <w:t xml:space="preserve">Tabla 5: Tabla canónica de disponibilidad de código computacional según las directrices de</w:t>
            </w:r>
            <w:r>
              <w:t xml:space="preserve"> </w:t>
            </w:r>
            <w:r>
              <w:rPr>
                <w:i/>
                <w:iCs/>
              </w:rPr>
              <w:t xml:space="preserve">Computers &amp; Geosciences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Metadato Obligatorio</w:t>
                  </w:r>
                </w:p>
              </w:tc>
              <w:tc>
                <w:tcPr/>
                <w:p>
                  <w:pPr>
                    <w:pStyle w:val="Compact"/>
                    <w:jc w:val="left"/>
                    <w:jc w:val="center"/>
                  </w:pPr>
                  <w:r>
                    <w:t xml:space="preserve">Especificación</w:t>
                  </w:r>
                </w:p>
              </w:tc>
            </w:tr>
            <w:tr>
              <w:tc>
                <w:tcPr/>
                <w:p>
                  <w:pPr>
                    <w:pStyle w:val="Compact"/>
                    <w:jc w:val="left"/>
                    <w:jc w:val="center"/>
                  </w:pPr>
                  <w:r>
                    <w:rPr>
                      <w:b/>
                      <w:bCs/>
                    </w:rPr>
                    <w:t xml:space="preserve">Nombre del Programa / Código:</w:t>
                  </w:r>
                </w:p>
              </w:tc>
              <w:tc>
                <w:tcPr/>
                <w:p>
                  <w:pPr>
                    <w:pStyle w:val="Compact"/>
                    <w:jc w:val="left"/>
                    <w:jc w:val="center"/>
                  </w:pPr>
                  <w:r>
                    <w:rPr>
                      <w:rStyle w:val="VerbatimChar"/>
                    </w:rPr>
                    <w:t xml:space="preserve">Incendios_PY</w:t>
                  </w:r>
                </w:p>
              </w:tc>
            </w:tr>
            <w:tr>
              <w:tc>
                <w:tcPr/>
                <w:p>
                  <w:pPr>
                    <w:pStyle w:val="Compact"/>
                    <w:jc w:val="left"/>
                    <w:jc w:val="center"/>
                  </w:pPr>
                  <w:r>
                    <w:rPr>
                      <w:b/>
                      <w:bCs/>
                    </w:rPr>
                    <w:t xml:space="preserve">Desarrollador / Contacto:</w:t>
                  </w:r>
                </w:p>
              </w:tc>
              <w:tc>
                <w:tcPr/>
                <w:p>
                  <w:pPr>
                    <w:pStyle w:val="Compact"/>
                    <w:jc w:val="left"/>
                    <w:jc w:val="center"/>
                  </w:pPr>
                  <w:r>
                    <w:t xml:space="preserve">[Anonimizado para revisión doble ciego] (Contacto vía correspondencia editorial)</w:t>
                  </w:r>
                </w:p>
              </w:tc>
            </w:tr>
            <w:tr>
              <w:tc>
                <w:tcPr/>
                <w:p>
                  <w:pPr>
                    <w:pStyle w:val="Compact"/>
                    <w:jc w:val="left"/>
                    <w:jc w:val="center"/>
                  </w:pPr>
                  <w:r>
                    <w:rPr>
                      <w:b/>
                      <w:bCs/>
                    </w:rPr>
                    <w:t xml:space="preserve">Año de Primera Disponibilidad:</w:t>
                  </w:r>
                </w:p>
              </w:tc>
              <w:tc>
                <w:tcPr/>
                <w:p>
                  <w:pPr>
                    <w:pStyle w:val="Compact"/>
                    <w:jc w:val="left"/>
                    <w:jc w:val="center"/>
                  </w:pPr>
                  <w:r>
                    <w:t xml:space="preserve">2026</w:t>
                  </w:r>
                </w:p>
              </w:tc>
            </w:tr>
            <w:tr>
              <w:tc>
                <w:tcPr/>
                <w:p>
                  <w:pPr>
                    <w:pStyle w:val="Compact"/>
                    <w:jc w:val="left"/>
                    <w:jc w:val="center"/>
                  </w:pPr>
                  <w:r>
                    <w:rPr>
                      <w:b/>
                      <w:bCs/>
                    </w:rPr>
                    <w:t xml:space="preserve">Plataforma de Hardware:</w:t>
                  </w:r>
                </w:p>
              </w:tc>
              <w:tc>
                <w:tcPr/>
                <w:p>
                  <w:pPr>
                    <w:pStyle w:val="Compact"/>
                    <w:jc w:val="left"/>
                    <w:jc w:val="center"/>
                  </w:pPr>
                  <w:r>
                    <w:t xml:space="preserve">x86_64 o ARM64 (Apple Silicon M-Series o Intel/AMD);</w:t>
                  </w:r>
                  <w:r>
                    <w:t xml:space="preserve"> </w:t>
                  </w:r>
                  <m:oMath>
                    <m:r>
                      <m:rPr>
                        <m:sty m:val="p"/>
                      </m:rPr>
                      <m:t>≥</m:t>
                    </m:r>
                    <m:r>
                      <m:t>8</m:t>
                    </m:r>
                    <m:r>
                      <m:rPr>
                        <m:nor/>
                        <m:sty m:val="p"/>
                      </m:rPr>
                      <m:t> GB</m:t>
                    </m:r>
                  </m:oMath>
                  <w:r>
                    <w:t xml:space="preserve"> </w:t>
                  </w:r>
                  <w:r>
                    <w:t xml:space="preserve">RAM.</w:t>
                  </w:r>
                </w:p>
              </w:tc>
            </w:tr>
            <w:tr>
              <w:tc>
                <w:tcPr/>
                <w:p>
                  <w:pPr>
                    <w:pStyle w:val="Compact"/>
                    <w:jc w:val="left"/>
                    <w:jc w:val="center"/>
                  </w:pPr>
                  <w:r>
                    <w:rPr>
                      <w:b/>
                      <w:bCs/>
                    </w:rPr>
                    <w:t xml:space="preserve">Sistema Operativo:</w:t>
                  </w:r>
                </w:p>
              </w:tc>
              <w:tc>
                <w:tcPr/>
                <w:p>
                  <w:pPr>
                    <w:pStyle w:val="Compact"/>
                    <w:jc w:val="left"/>
                    <w:jc w:val="center"/>
                  </w:pPr>
                  <w:r>
                    <w:t xml:space="preserve">Multiplataforma: macOS (13+), Linux (Ubuntu 22.04+), Windows 11 (WSL2).</w:t>
                  </w:r>
                </w:p>
              </w:tc>
            </w:tr>
            <w:tr>
              <w:tc>
                <w:tcPr/>
                <w:p>
                  <w:pPr>
                    <w:pStyle w:val="Compact"/>
                    <w:jc w:val="left"/>
                    <w:jc w:val="center"/>
                  </w:pPr>
                  <w:r>
                    <w:rPr>
                      <w:b/>
                      <w:bCs/>
                    </w:rPr>
                    <w:t xml:space="preserve">Lenguaje de Programación:</w:t>
                  </w:r>
                </w:p>
              </w:tc>
              <w:tc>
                <w:tcPr/>
                <w:p>
                  <w:pPr>
                    <w:pStyle w:val="Compact"/>
                    <w:jc w:val="left"/>
                    <w:jc w:val="center"/>
                  </w:pPr>
                  <w:r>
                    <w:t xml:space="preserve">Python</w:t>
                  </w:r>
                  <w:r>
                    <w:t xml:space="preserve"> </w:t>
                  </w:r>
                  <m:oMath>
                    <m:r>
                      <m:rPr>
                        <m:sty m:val="p"/>
                      </m:rPr>
                      <m:t>≥</m:t>
                    </m:r>
                    <m:r>
                      <m:t>3.11</m:t>
                    </m:r>
                  </m:oMath>
                  <w:r>
                    <w:t xml:space="preserve"> </w:t>
                  </w:r>
                  <w:r>
                    <w:t xml:space="preserve">(con módulos vectorizados en C++ y Rust).</w:t>
                  </w:r>
                </w:p>
              </w:tc>
            </w:tr>
            <w:tr>
              <w:tc>
                <w:tcPr/>
                <w:p>
                  <w:pPr>
                    <w:pStyle w:val="Compact"/>
                    <w:jc w:val="left"/>
                    <w:jc w:val="center"/>
                  </w:pPr>
                  <w:r>
                    <w:rPr>
                      <w:b/>
                      <w:bCs/>
                    </w:rPr>
                    <w:t xml:space="preserve">Bibliotecas y Dependencias:</w:t>
                  </w:r>
                </w:p>
              </w:tc>
              <w:tc>
                <w:tcPr/>
                <w:p>
                  <w:pPr>
                    <w:pStyle w:val="Compact"/>
                    <w:jc w:val="left"/>
                    <w:jc w:val="center"/>
                  </w:pPr>
                  <w:r>
                    <w:t xml:space="preserve">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SciPy</w:t>
                  </w:r>
                  <w:r>
                    <w:t xml:space="preserve"> </w:t>
                  </w:r>
                  <m:oMath>
                    <m:r>
                      <m:rPr>
                        <m:sty m:val="p"/>
                      </m:rPr>
                      <m:t>≥</m:t>
                    </m:r>
                    <m:r>
                      <m:t>1.11</m:t>
                    </m:r>
                  </m:oMath>
                  <w:r>
                    <w:t xml:space="preserve">, Quarto</w:t>
                  </w:r>
                  <w:r>
                    <w:t xml:space="preserve"> </w:t>
                  </w:r>
                  <m:oMath>
                    <m:r>
                      <m:rPr>
                        <m:sty m:val="p"/>
                      </m:rPr>
                      <m:t>≥</m:t>
                    </m:r>
                    <m:r>
                      <m:t>1.5</m:t>
                    </m:r>
                  </m:oMath>
                  <w:r>
                    <w:t xml:space="preserve">.</w:t>
                  </w:r>
                </w:p>
              </w:tc>
            </w:tr>
            <w:tr>
              <w:tc>
                <w:tcPr/>
                <w:p>
                  <w:pPr>
                    <w:pStyle w:val="Compact"/>
                    <w:jc w:val="left"/>
                    <w:jc w:val="center"/>
                  </w:pPr>
                  <w:r>
                    <w:rPr>
                      <w:b/>
                      <w:bCs/>
                    </w:rPr>
                    <w:t xml:space="preserve">Disponibilidad y Costo:</w:t>
                  </w:r>
                </w:p>
              </w:tc>
              <w:tc>
                <w:tcPr/>
                <w:p>
                  <w:pPr>
                    <w:pStyle w:val="Compact"/>
                    <w:jc w:val="left"/>
                    <w:jc w:val="center"/>
                  </w:pPr>
                  <w:r>
                    <w:t xml:space="preserve">Código abierto gratuito bajo Licencia MIT.</w:t>
                  </w:r>
                </w:p>
              </w:tc>
            </w:tr>
            <w:tr>
              <w:tc>
                <w:tcPr/>
                <w:p>
                  <w:pPr>
                    <w:pStyle w:val="Compact"/>
                    <w:jc w:val="left"/>
                    <w:jc w:val="center"/>
                  </w:pPr>
                  <w:r>
                    <w:rPr>
                      <w:b/>
                      <w:bCs/>
                    </w:rPr>
                    <w:t xml:space="preserve">Enlace al Repositorio de Código:</w:t>
                  </w:r>
                </w:p>
              </w:tc>
              <w:tc>
                <w:tcPr/>
                <w:p>
                  <w:pPr>
                    <w:pStyle w:val="Compact"/>
                    <w:jc w:val="left"/>
                    <w:jc w:val="center"/>
                  </w:pPr>
                  <w:hyperlink r:id="rId83">
                    <w:r>
                      <w:rPr>
                        <w:rStyle w:val="Hyperlink"/>
                      </w:rPr>
                      <w:t xml:space="preserve">https://github.com/sanchezmartin093-code/Incendios_PY</w:t>
                    </w:r>
                  </w:hyperlink>
                  <w:r>
                    <w:t xml:space="preserve"> </w:t>
                  </w:r>
                  <w:r>
                    <w:t xml:space="preserve">(versión anonimizada disponible para revisores).</w:t>
                  </w:r>
                </w:p>
              </w:tc>
            </w:tr>
          </w:tbl>
          <w:bookmarkEnd w:id="84"/>
          <w:p/>
        </w:tc>
      </w:tr>
    </w:tbl>
    <w:p>
      <w:r>
        <w:pict>
          <v:rect style="width:0;height:1.5pt" o:hralign="center" o:hrstd="t" o:hr="t"/>
        </w:pict>
      </w:r>
    </w:p>
    <w:bookmarkEnd w:id="85"/>
    <w:bookmarkStart w:id="169" w:name="referencias"/>
    <w:p>
      <w:pPr>
        <w:pStyle w:val="Heading1"/>
      </w:pPr>
      <w:r>
        <w:t xml:space="preserve">Referencias</w:t>
      </w:r>
    </w:p>
    <w:bookmarkStart w:id="168" w:name="refs"/>
    <w:bookmarkStart w:id="87"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86">
        <w:r>
          <w:rPr>
            <w:rStyle w:val="Hyperlink"/>
          </w:rPr>
          <w:t xml:space="preserve">https://doi.org/10.3390/rs10091438</w:t>
        </w:r>
      </w:hyperlink>
    </w:p>
    <w:bookmarkEnd w:id="87"/>
    <w:bookmarkStart w:id="89" w:name="ref-andrews2014"/>
    <w:p>
      <w:pPr>
        <w:pStyle w:val="Bibliography"/>
      </w:pPr>
      <w:r>
        <w:t xml:space="preserve">Andrews, P. L. (2014). Current status and future needs of the</w:t>
      </w:r>
      <w:r>
        <w:t xml:space="preserve"> </w:t>
      </w:r>
      <w:r>
        <w:t xml:space="preserve">BehavePlus</w:t>
      </w:r>
      <w:r>
        <w:t xml:space="preserve"> </w:t>
      </w:r>
      <w:r>
        <w:t xml:space="preserve">fire modeling system.</w:t>
      </w:r>
      <w:r>
        <w:t xml:space="preserve"> </w:t>
      </w:r>
      <w:r>
        <w:rPr>
          <w:i/>
          <w:iCs/>
        </w:rPr>
        <w:t xml:space="preserve">International Journal of Wildland Fire</w:t>
      </w:r>
      <w:r>
        <w:t xml:space="preserve">,</w:t>
      </w:r>
      <w:r>
        <w:t xml:space="preserve"> </w:t>
      </w:r>
      <w:r>
        <w:rPr>
          <w:i/>
          <w:iCs/>
        </w:rPr>
        <w:t xml:space="preserve">23</w:t>
      </w:r>
      <w:r>
        <w:t xml:space="preserve">(1), 21-33.</w:t>
      </w:r>
      <w:r>
        <w:t xml:space="preserve"> </w:t>
      </w:r>
      <w:hyperlink r:id="rId88">
        <w:r>
          <w:rPr>
            <w:rStyle w:val="Hyperlink"/>
          </w:rPr>
          <w:t xml:space="preserve">https://doi.org/10.1071/WF12167</w:t>
        </w:r>
      </w:hyperlink>
    </w:p>
    <w:bookmarkEnd w:id="89"/>
    <w:bookmarkStart w:id="91" w:name="ref-artes2019"/>
    <w:p>
      <w:pPr>
        <w:pStyle w:val="Bibliography"/>
      </w:pPr>
      <w:r>
        <w:t xml:space="preserve">Artés, T., Oom, D., Rigo, D. de, Houston Durrant, T., Maianti, P., Libertà, G., &amp; San-Miguel-Ayanz, J. (2019). A global wildfire dataset for the analysis of fire regimes and fire behaviour.</w:t>
      </w:r>
      <w:r>
        <w:t xml:space="preserve"> </w:t>
      </w:r>
      <w:r>
        <w:rPr>
          <w:i/>
          <w:iCs/>
        </w:rPr>
        <w:t xml:space="preserve">Scientific Data</w:t>
      </w:r>
      <w:r>
        <w:t xml:space="preserve">,</w:t>
      </w:r>
      <w:r>
        <w:t xml:space="preserve"> </w:t>
      </w:r>
      <w:r>
        <w:rPr>
          <w:i/>
          <w:iCs/>
        </w:rPr>
        <w:t xml:space="preserve">6</w:t>
      </w:r>
      <w:r>
        <w:t xml:space="preserve">(1), 296.</w:t>
      </w:r>
      <w:r>
        <w:t xml:space="preserve"> </w:t>
      </w:r>
      <w:hyperlink r:id="rId90">
        <w:r>
          <w:rPr>
            <w:rStyle w:val="Hyperlink"/>
          </w:rPr>
          <w:t xml:space="preserve">https://doi.org/10.1038/s41597-019-0312-2</w:t>
        </w:r>
      </w:hyperlink>
    </w:p>
    <w:bookmarkEnd w:id="91"/>
    <w:bookmarkStart w:id="93"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92">
        <w:r>
          <w:rPr>
            <w:rStyle w:val="Hyperlink"/>
          </w:rPr>
          <w:t xml:space="preserve">https://doi.org/10.3390/s20226442</w:t>
        </w:r>
      </w:hyperlink>
    </w:p>
    <w:bookmarkEnd w:id="93"/>
    <w:bookmarkStart w:id="95"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94">
        <w:r>
          <w:rPr>
            <w:rStyle w:val="Hyperlink"/>
          </w:rPr>
          <w:t xml:space="preserve">https://doi.org/10.1111/gcb.13521</w:t>
        </w:r>
      </w:hyperlink>
    </w:p>
    <w:bookmarkEnd w:id="95"/>
    <w:bookmarkStart w:id="97" w:name="ref-chen2016xgboost"/>
    <w:p>
      <w:pPr>
        <w:pStyle w:val="Bibliography"/>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r>
        <w:t xml:space="preserve"> </w:t>
      </w:r>
      <w:hyperlink r:id="rId96">
        <w:r>
          <w:rPr>
            <w:rStyle w:val="Hyperlink"/>
          </w:rPr>
          <w:t xml:space="preserve">https://doi.org/10.1145/2939672.2939785</w:t>
        </w:r>
      </w:hyperlink>
    </w:p>
    <w:bookmarkEnd w:id="97"/>
    <w:bookmarkStart w:id="99" w:name="ref-chuvieco2019"/>
    <w:p>
      <w:pPr>
        <w:pStyle w:val="Bibliography"/>
      </w:pPr>
      <w:r>
        <w:t xml:space="preserve">Chuvieco, E., Mouillot, F., Werf, G. R. van der, San Miguel, J., Tanase, M., Koutsias, N., Garcı́a, M., Yebra, M., Padilla, M., Gitas, I., Heil, A., Hawbaker, T. J., &amp; Giglio, L. (2019). Historical background and current developments for mapping burned area from satellite Earth observation.</w:t>
      </w:r>
      <w:r>
        <w:t xml:space="preserve"> </w:t>
      </w:r>
      <w:r>
        <w:rPr>
          <w:i/>
          <w:iCs/>
        </w:rPr>
        <w:t xml:space="preserve">Remote Sensing of Environment</w:t>
      </w:r>
      <w:r>
        <w:t xml:space="preserve">,</w:t>
      </w:r>
      <w:r>
        <w:t xml:space="preserve"> </w:t>
      </w:r>
      <w:r>
        <w:rPr>
          <w:i/>
          <w:iCs/>
        </w:rPr>
        <w:t xml:space="preserve">225</w:t>
      </w:r>
      <w:r>
        <w:t xml:space="preserve">, 45-64.</w:t>
      </w:r>
      <w:r>
        <w:t xml:space="preserve"> </w:t>
      </w:r>
      <w:hyperlink r:id="rId98">
        <w:r>
          <w:rPr>
            <w:rStyle w:val="Hyperlink"/>
          </w:rPr>
          <w:t xml:space="preserve">https://doi.org/10.1016/j.rse.2019.02.013</w:t>
        </w:r>
      </w:hyperlink>
    </w:p>
    <w:bookmarkEnd w:id="99"/>
    <w:bookmarkStart w:id="101" w:name="ref-coffield2019"/>
    <w:p>
      <w:pPr>
        <w:pStyle w:val="Bibliography"/>
      </w:pPr>
      <w:r>
        <w:t xml:space="preserve">Coffield, S. R., Graff, C. A., Chen, Y., Smyth, P., Foufoula-Georgiou, E., &amp; Randerson, J. T. (2019). Machine learning for predicting wildfire size in the western United States.</w:t>
      </w:r>
      <w:r>
        <w:t xml:space="preserve"> </w:t>
      </w:r>
      <w:r>
        <w:rPr>
          <w:i/>
          <w:iCs/>
        </w:rPr>
        <w:t xml:space="preserve">Environmental Research Letters</w:t>
      </w:r>
      <w:r>
        <w:t xml:space="preserve">,</w:t>
      </w:r>
      <w:r>
        <w:t xml:space="preserve"> </w:t>
      </w:r>
      <w:r>
        <w:rPr>
          <w:i/>
          <w:iCs/>
        </w:rPr>
        <w:t xml:space="preserve">14</w:t>
      </w:r>
      <w:r>
        <w:t xml:space="preserve">(3), 034017.</w:t>
      </w:r>
      <w:r>
        <w:t xml:space="preserve"> </w:t>
      </w:r>
      <w:hyperlink r:id="rId100">
        <w:r>
          <w:rPr>
            <w:rStyle w:val="Hyperlink"/>
          </w:rPr>
          <w:t xml:space="preserve">https://doi.org/10.1088/1748-9326/ab020e</w:t>
        </w:r>
      </w:hyperlink>
    </w:p>
    <w:bookmarkEnd w:id="101"/>
    <w:bookmarkStart w:id="103"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102">
        <w:r>
          <w:rPr>
            <w:rStyle w:val="Hyperlink"/>
          </w:rPr>
          <w:t xml:space="preserve">https://doi.org/10.1111/j.2007.0906-7590.05171.x</w:t>
        </w:r>
      </w:hyperlink>
    </w:p>
    <w:bookmarkEnd w:id="103"/>
    <w:bookmarkStart w:id="105"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104">
        <w:r>
          <w:rPr>
            <w:rStyle w:val="Hyperlink"/>
          </w:rPr>
          <w:t xml:space="preserve">https://doi.org/10.1071/WF08187</w:t>
        </w:r>
      </w:hyperlink>
    </w:p>
    <w:bookmarkEnd w:id="105"/>
    <w:bookmarkStart w:id="107"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106">
        <w:r>
          <w:rPr>
            <w:rStyle w:val="Hyperlink"/>
          </w:rPr>
          <w:t xml:space="preserve">https://doi.org/10.1007/s10584-015-1521-0</w:t>
        </w:r>
      </w:hyperlink>
    </w:p>
    <w:bookmarkEnd w:id="107"/>
    <w:bookmarkStart w:id="109" w:name="ref-giglio2016"/>
    <w:p>
      <w:pPr>
        <w:pStyle w:val="Bibliography"/>
      </w:pPr>
      <w:r>
        <w:t xml:space="preserve">Giglio, L., Schroeder, W., &amp; Justice, C. O. (2016). The collection 6</w:t>
      </w:r>
      <w:r>
        <w:t xml:space="preserve"> </w:t>
      </w:r>
      <w:r>
        <w:t xml:space="preserve">MODIS</w:t>
      </w:r>
      <w:r>
        <w:t xml:space="preserve"> </w:t>
      </w:r>
      <w:r>
        <w:t xml:space="preserve">active fire detection algorithm and fire products.</w:t>
      </w:r>
      <w:r>
        <w:t xml:space="preserve"> </w:t>
      </w:r>
      <w:r>
        <w:rPr>
          <w:i/>
          <w:iCs/>
        </w:rPr>
        <w:t xml:space="preserve">Remote Sensing of Environment</w:t>
      </w:r>
      <w:r>
        <w:t xml:space="preserve">,</w:t>
      </w:r>
      <w:r>
        <w:t xml:space="preserve"> </w:t>
      </w:r>
      <w:r>
        <w:rPr>
          <w:i/>
          <w:iCs/>
        </w:rPr>
        <w:t xml:space="preserve">178</w:t>
      </w:r>
      <w:r>
        <w:t xml:space="preserve">, 31-41.</w:t>
      </w:r>
      <w:r>
        <w:t xml:space="preserve"> </w:t>
      </w:r>
      <w:hyperlink r:id="rId108">
        <w:r>
          <w:rPr>
            <w:rStyle w:val="Hyperlink"/>
          </w:rPr>
          <w:t xml:space="preserve">https://doi.org/10.1016/j.rse.2016.02.054</w:t>
        </w:r>
      </w:hyperlink>
    </w:p>
    <w:bookmarkEnd w:id="109"/>
    <w:bookmarkStart w:id="111" w:name="ref-gorelick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w:t>
      </w:r>
      <w:r>
        <w:t xml:space="preserve"> </w:t>
      </w:r>
      <w:hyperlink r:id="rId110">
        <w:r>
          <w:rPr>
            <w:rStyle w:val="Hyperlink"/>
          </w:rPr>
          <w:t xml:space="preserve">https://doi.org/10.1016/j.rse.2017.06.031</w:t>
        </w:r>
      </w:hyperlink>
    </w:p>
    <w:bookmarkEnd w:id="111"/>
    <w:bookmarkStart w:id="113"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112">
        <w:r>
          <w:rPr>
            <w:rStyle w:val="Hyperlink"/>
          </w:rPr>
          <w:t xml:space="preserve">https://doi.org/10.1139/er-2020-0019</w:t>
        </w:r>
      </w:hyperlink>
    </w:p>
    <w:bookmarkEnd w:id="113"/>
    <w:bookmarkStart w:id="115"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114">
        <w:r>
          <w:rPr>
            <w:rStyle w:val="Hyperlink"/>
          </w:rPr>
          <w:t xml:space="preserve">https://doi.org/10.1038/ncomms8537</w:t>
        </w:r>
      </w:hyperlink>
    </w:p>
    <w:bookmarkEnd w:id="115"/>
    <w:bookmarkStart w:id="117" w:name="ref-justice2002"/>
    <w:p>
      <w:pPr>
        <w:pStyle w:val="Bibliography"/>
      </w:pPr>
      <w:r>
        <w:t xml:space="preserve">Justice, C. O., Giglio, L., Korontzi, S., Owens, J., Morisette, J. T., Roy, D. P., Descloitres, J., Alleaume, S., Petitcolin, F., &amp; Kaufman, Y. J. (2002). The</w:t>
      </w:r>
      <w:r>
        <w:t xml:space="preserve"> </w:t>
      </w:r>
      <w:r>
        <w:t xml:space="preserve">MODIS</w:t>
      </w:r>
      <w:r>
        <w:t xml:space="preserve"> </w:t>
      </w:r>
      <w:r>
        <w:t xml:space="preserve">fire products.</w:t>
      </w:r>
      <w:r>
        <w:t xml:space="preserve"> </w:t>
      </w:r>
      <w:r>
        <w:rPr>
          <w:i/>
          <w:iCs/>
        </w:rPr>
        <w:t xml:space="preserve">Remote Sensing of Environment</w:t>
      </w:r>
      <w:r>
        <w:t xml:space="preserve">,</w:t>
      </w:r>
      <w:r>
        <w:t xml:space="preserve"> </w:t>
      </w:r>
      <w:r>
        <w:rPr>
          <w:i/>
          <w:iCs/>
        </w:rPr>
        <w:t xml:space="preserve">83</w:t>
      </w:r>
      <w:r>
        <w:t xml:space="preserve">(1–2), 244-262.</w:t>
      </w:r>
      <w:r>
        <w:t xml:space="preserve"> </w:t>
      </w:r>
      <w:hyperlink r:id="rId116">
        <w:r>
          <w:rPr>
            <w:rStyle w:val="Hyperlink"/>
          </w:rPr>
          <w:t xml:space="preserve">https://doi.org/10.1016/S0034-4257(02)00076-7</w:t>
        </w:r>
      </w:hyperlink>
    </w:p>
    <w:bookmarkEnd w:id="117"/>
    <w:bookmarkStart w:id="118"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118"/>
    <w:bookmarkStart w:id="120"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119">
        <w:r>
          <w:rPr>
            <w:rStyle w:val="Hyperlink"/>
          </w:rPr>
          <w:t xml:space="preserve">https://doi.org/10.2307/1939924</w:t>
        </w:r>
      </w:hyperlink>
    </w:p>
    <w:bookmarkEnd w:id="120"/>
    <w:bookmarkStart w:id="122"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121">
        <w:r>
          <w:rPr>
            <w:rStyle w:val="Hyperlink"/>
          </w:rPr>
          <w:t xml:space="preserve">https://doi.org/10.1038/s42256-019-0138-9</w:t>
        </w:r>
      </w:hyperlink>
    </w:p>
    <w:bookmarkEnd w:id="122"/>
    <w:bookmarkStart w:id="124"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4 de los Mapas Anuales de Cobertura y Uso del Suelo del Gran Chaco Americano</w:t>
      </w:r>
      <w:r>
        <w:t xml:space="preserve">.</w:t>
      </w:r>
      <w:r>
        <w:t xml:space="preserve"> </w:t>
      </w:r>
      <w:hyperlink r:id="rId123">
        <w:r>
          <w:rPr>
            <w:rStyle w:val="Hyperlink"/>
          </w:rPr>
          <w:t xml:space="preserve">https://chaco.mapbiomas.org/</w:t>
        </w:r>
      </w:hyperlink>
      <w:r>
        <w:t xml:space="preserve">.</w:t>
      </w:r>
    </w:p>
    <w:bookmarkEnd w:id="124"/>
    <w:bookmarkStart w:id="126" w:name="ref-meyer2021"/>
    <w:p>
      <w:pPr>
        <w:pStyle w:val="Bibliography"/>
      </w:pPr>
      <w:r>
        <w:t xml:space="preserve">Meyer, H., &amp; Pebesma, E. (2021). Predicting into unknown space? Estimating the area of applicability of spatial prediction models.</w:t>
      </w:r>
      <w:r>
        <w:t xml:space="preserve"> </w:t>
      </w:r>
      <w:r>
        <w:rPr>
          <w:i/>
          <w:iCs/>
        </w:rPr>
        <w:t xml:space="preserve">Methods in Ecology and Evolution</w:t>
      </w:r>
      <w:r>
        <w:t xml:space="preserve">,</w:t>
      </w:r>
      <w:r>
        <w:t xml:space="preserve"> </w:t>
      </w:r>
      <w:r>
        <w:rPr>
          <w:i/>
          <w:iCs/>
        </w:rPr>
        <w:t xml:space="preserve">12</w:t>
      </w:r>
      <w:r>
        <w:t xml:space="preserve">(9), 1620-1633.</w:t>
      </w:r>
      <w:r>
        <w:t xml:space="preserve"> </w:t>
      </w:r>
      <w:hyperlink r:id="rId125">
        <w:r>
          <w:rPr>
            <w:rStyle w:val="Hyperlink"/>
          </w:rPr>
          <w:t xml:space="preserve">https://doi.org/10.1111/2041-210X.13650</w:t>
        </w:r>
      </w:hyperlink>
    </w:p>
    <w:bookmarkEnd w:id="126"/>
    <w:bookmarkStart w:id="128"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127">
        <w:r>
          <w:rPr>
            <w:rStyle w:val="Hyperlink"/>
          </w:rPr>
          <w:t xml:space="preserve">https://doi.org/10.5194/essd-13-4349-2021</w:t>
        </w:r>
      </w:hyperlink>
    </w:p>
    <w:bookmarkEnd w:id="128"/>
    <w:bookmarkStart w:id="130"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129">
        <w:r>
          <w:rPr>
            <w:rStyle w:val="Hyperlink"/>
          </w:rPr>
          <w:t xml:space="preserve">https://doi.org/10.1145/1102351.1102430</w:t>
        </w:r>
      </w:hyperlink>
    </w:p>
    <w:bookmarkEnd w:id="130"/>
    <w:bookmarkStart w:id="131" w:name="ref-pedregosa2011"/>
    <w:p>
      <w:pPr>
        <w:pStyle w:val="Bibliography"/>
      </w:pPr>
      <w:r>
        <w:t xml:space="preserve">Pedregosa, F., Varoquaux, G., Gramfort, A., Michel, V., Thirion, B., Grisel, O., Blondel, M., Prettenhofer, P., Weiss, R., Dubourg, V., Vanderplas, J., Passos, A., Cournapeau, D., Brucher, M., Perrot, M., &amp; Duchesnay, É. (2011). Scikit-learn: Machine Learning in</w:t>
      </w:r>
      <w:r>
        <w:t xml:space="preserve"> </w:t>
      </w:r>
      <w:r>
        <w:t xml:space="preserve">Python</w:t>
      </w:r>
      <w:r>
        <w:t xml:space="preserve">.</w:t>
      </w:r>
      <w:r>
        <w:t xml:space="preserve"> </w:t>
      </w:r>
      <w:r>
        <w:rPr>
          <w:i/>
          <w:iCs/>
        </w:rPr>
        <w:t xml:space="preserve">Journal of Machine Learning Research</w:t>
      </w:r>
      <w:r>
        <w:t xml:space="preserve">,</w:t>
      </w:r>
      <w:r>
        <w:t xml:space="preserve"> </w:t>
      </w:r>
      <w:r>
        <w:rPr>
          <w:i/>
          <w:iCs/>
        </w:rPr>
        <w:t xml:space="preserve">12</w:t>
      </w:r>
      <w:r>
        <w:t xml:space="preserve">, 2825-2830.</w:t>
      </w:r>
    </w:p>
    <w:bookmarkEnd w:id="131"/>
    <w:bookmarkStart w:id="133"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132">
        <w:r>
          <w:rPr>
            <w:rStyle w:val="Hyperlink"/>
          </w:rPr>
          <w:t xml:space="preserve">https://doi.org/10.1016/j.pecon.2021.06.005</w:t>
        </w:r>
      </w:hyperlink>
    </w:p>
    <w:bookmarkEnd w:id="133"/>
    <w:bookmarkStart w:id="13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134"/>
    <w:bookmarkStart w:id="136"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135">
        <w:r>
          <w:rPr>
            <w:rStyle w:val="Hyperlink"/>
          </w:rPr>
          <w:t xml:space="preserve">https://doi.org/10.1038/s41467-020-18321-y</w:t>
        </w:r>
      </w:hyperlink>
    </w:p>
    <w:bookmarkEnd w:id="136"/>
    <w:bookmarkStart w:id="137" w:name="ref-prokhorenkova2018"/>
    <w:p>
      <w:pPr>
        <w:pStyle w:val="Bibliography"/>
      </w:pPr>
      <w:r>
        <w:t xml:space="preserve">Prokhorenkova, L., Gusev, G., Vorobev, A., Dorogush, A. V., &amp; Gulin, A. (2018). CatBoost: unbiased boosting with categorical features.</w:t>
      </w:r>
      <w:r>
        <w:t xml:space="preserve"> </w:t>
      </w:r>
      <w:r>
        <w:rPr>
          <w:i/>
          <w:iCs/>
        </w:rPr>
        <w:t xml:space="preserve">Advances in Neural Information Processing Systems (NeurIPS)</w:t>
      </w:r>
      <w:r>
        <w:t xml:space="preserve">,</w:t>
      </w:r>
      <w:r>
        <w:t xml:space="preserve"> </w:t>
      </w:r>
      <w:r>
        <w:rPr>
          <w:i/>
          <w:iCs/>
        </w:rPr>
        <w:t xml:space="preserve">31</w:t>
      </w:r>
      <w:r>
        <w:t xml:space="preserve">, 6638-6648.</w:t>
      </w:r>
    </w:p>
    <w:bookmarkEnd w:id="137"/>
    <w:bookmarkStart w:id="139"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138">
        <w:r>
          <w:rPr>
            <w:rStyle w:val="Hyperlink"/>
          </w:rPr>
          <w:t xml:space="preserve">https://doi.org/10.1145/3299869.3320212</w:t>
        </w:r>
      </w:hyperlink>
    </w:p>
    <w:bookmarkEnd w:id="139"/>
    <w:bookmarkStart w:id="141" w:name="ref-reichstein2019"/>
    <w:p>
      <w:pPr>
        <w:pStyle w:val="Bibliography"/>
      </w:pPr>
      <w:r>
        <w:t xml:space="preserve">Reichstein, M., Camps-Valls, G., Stevens, B., Jung, M., Denzler, J., Carvalhais, N., &amp; Prabhat. (2019). Deep learning and process understanding for Earth system science.</w:t>
      </w:r>
      <w:r>
        <w:t xml:space="preserve"> </w:t>
      </w:r>
      <w:r>
        <w:rPr>
          <w:i/>
          <w:iCs/>
        </w:rPr>
        <w:t xml:space="preserve">Nature</w:t>
      </w:r>
      <w:r>
        <w:t xml:space="preserve">,</w:t>
      </w:r>
      <w:r>
        <w:t xml:space="preserve"> </w:t>
      </w:r>
      <w:r>
        <w:rPr>
          <w:i/>
          <w:iCs/>
        </w:rPr>
        <w:t xml:space="preserve">566</w:t>
      </w:r>
      <w:r>
        <w:t xml:space="preserve">(7743), 195-204.</w:t>
      </w:r>
      <w:r>
        <w:t xml:space="preserve"> </w:t>
      </w:r>
      <w:hyperlink r:id="rId140">
        <w:r>
          <w:rPr>
            <w:rStyle w:val="Hyperlink"/>
          </w:rPr>
          <w:t xml:space="preserve">https://doi.org/10.1038/s41586-019-0912-1</w:t>
        </w:r>
      </w:hyperlink>
    </w:p>
    <w:bookmarkEnd w:id="141"/>
    <w:bookmarkStart w:id="143"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142">
        <w:r>
          <w:rPr>
            <w:rStyle w:val="Hyperlink"/>
          </w:rPr>
          <w:t xml:space="preserve">https://doi.org/10.1111/ecog.02881</w:t>
        </w:r>
      </w:hyperlink>
    </w:p>
    <w:bookmarkEnd w:id="143"/>
    <w:bookmarkStart w:id="145" w:name="ref-rodrigues2014"/>
    <w:p>
      <w:pPr>
        <w:pStyle w:val="Bibliography"/>
      </w:pPr>
      <w:r>
        <w:t xml:space="preserve">Rodrigues, M., &amp; Riva, J. de la. (2014). An insight into machine-learning algorithms to model human-caused wildfire occurrence.</w:t>
      </w:r>
      <w:r>
        <w:t xml:space="preserve"> </w:t>
      </w:r>
      <w:r>
        <w:rPr>
          <w:i/>
          <w:iCs/>
        </w:rPr>
        <w:t xml:space="preserve">Environmental Modelling &amp; Software</w:t>
      </w:r>
      <w:r>
        <w:t xml:space="preserve">,</w:t>
      </w:r>
      <w:r>
        <w:t xml:space="preserve"> </w:t>
      </w:r>
      <w:r>
        <w:rPr>
          <w:i/>
          <w:iCs/>
        </w:rPr>
        <w:t xml:space="preserve">57</w:t>
      </w:r>
      <w:r>
        <w:t xml:space="preserve">, 192-201.</w:t>
      </w:r>
      <w:r>
        <w:t xml:space="preserve"> </w:t>
      </w:r>
      <w:hyperlink r:id="rId144">
        <w:r>
          <w:rPr>
            <w:rStyle w:val="Hyperlink"/>
          </w:rPr>
          <w:t xml:space="preserve">https://doi.org/10.1016/j.envsoft.2014.03.003</w:t>
        </w:r>
      </w:hyperlink>
    </w:p>
    <w:bookmarkEnd w:id="145"/>
    <w:bookmarkStart w:id="146" w:name="ref-rothermel1972"/>
    <w:p>
      <w:pPr>
        <w:pStyle w:val="Bibliography"/>
      </w:pPr>
      <w:r>
        <w:t xml:space="preserve">Rothermel, R. C. (1972).</w:t>
      </w:r>
      <w:r>
        <w:t xml:space="preserve"> </w:t>
      </w:r>
      <w:r>
        <w:rPr>
          <w:i/>
          <w:iCs/>
        </w:rPr>
        <w:t xml:space="preserve">A mathematical model for predicting fire spread in wildland fuels</w:t>
      </w:r>
      <w:r>
        <w:t xml:space="preserve"> </w:t>
      </w:r>
      <w:r>
        <w:t xml:space="preserve">(INT-115; USDA Forest Service Research Paper, pp. 1-40). Intermountain Forest; Range Experiment Station, Forest Service, U.S. Department of Agriculture.</w:t>
      </w:r>
    </w:p>
    <w:bookmarkEnd w:id="146"/>
    <w:bookmarkStart w:id="148" w:name="ref-roy2008"/>
    <w:p>
      <w:pPr>
        <w:pStyle w:val="Bibliography"/>
      </w:pPr>
      <w:r>
        <w:t xml:space="preserve">Roy, D. P., Boschetti, L., Justice, C. O., &amp; Ju, J. (2008). The Collection 5</w:t>
      </w:r>
      <w:r>
        <w:t xml:space="preserve"> </w:t>
      </w:r>
      <w:r>
        <w:t xml:space="preserve">MODIS</w:t>
      </w:r>
      <w:r>
        <w:t xml:space="preserve"> </w:t>
      </w:r>
      <w:r>
        <w:t xml:space="preserve">burned area product—Global evaluation by comparison with the Collection 4 product.</w:t>
      </w:r>
      <w:r>
        <w:t xml:space="preserve"> </w:t>
      </w:r>
      <w:r>
        <w:rPr>
          <w:i/>
          <w:iCs/>
        </w:rPr>
        <w:t xml:space="preserve">Remote Sensing of Environment</w:t>
      </w:r>
      <w:r>
        <w:t xml:space="preserve">,</w:t>
      </w:r>
      <w:r>
        <w:t xml:space="preserve"> </w:t>
      </w:r>
      <w:r>
        <w:rPr>
          <w:i/>
          <w:iCs/>
        </w:rPr>
        <w:t xml:space="preserve">112</w:t>
      </w:r>
      <w:r>
        <w:t xml:space="preserve">(9), 3690-3707.</w:t>
      </w:r>
      <w:r>
        <w:t xml:space="preserve"> </w:t>
      </w:r>
      <w:hyperlink r:id="rId147">
        <w:r>
          <w:rPr>
            <w:rStyle w:val="Hyperlink"/>
          </w:rPr>
          <w:t xml:space="preserve">https://doi.org/10.1016/j.rse.2008.05.013</w:t>
        </w:r>
      </w:hyperlink>
    </w:p>
    <w:bookmarkEnd w:id="148"/>
    <w:bookmarkStart w:id="150"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49">
        <w:r>
          <w:rPr>
            <w:rStyle w:val="Hyperlink"/>
          </w:rPr>
          <w:t xml:space="preserve">https://doi.org/10.5772/28441</w:t>
        </w:r>
      </w:hyperlink>
    </w:p>
    <w:bookmarkEnd w:id="150"/>
    <w:bookmarkStart w:id="152" w:name="ref-sayad2019"/>
    <w:p>
      <w:pPr>
        <w:pStyle w:val="Bibliography"/>
      </w:pPr>
      <w:r>
        <w:t xml:space="preserve">Sayad, Y. O., Mousannif, H., &amp; Al Moatassime, H. (2019). Predictive modeling of wildland fires: A new dataset and machine learning approach.</w:t>
      </w:r>
      <w:r>
        <w:t xml:space="preserve"> </w:t>
      </w:r>
      <w:r>
        <w:rPr>
          <w:i/>
          <w:iCs/>
        </w:rPr>
        <w:t xml:space="preserve">Fire Safety Journal</w:t>
      </w:r>
      <w:r>
        <w:t xml:space="preserve">,</w:t>
      </w:r>
      <w:r>
        <w:t xml:space="preserve"> </w:t>
      </w:r>
      <w:r>
        <w:rPr>
          <w:i/>
          <w:iCs/>
        </w:rPr>
        <w:t xml:space="preserve">104</w:t>
      </w:r>
      <w:r>
        <w:t xml:space="preserve">, 130-146.</w:t>
      </w:r>
      <w:r>
        <w:t xml:space="preserve"> </w:t>
      </w:r>
      <w:hyperlink r:id="rId151">
        <w:r>
          <w:rPr>
            <w:rStyle w:val="Hyperlink"/>
          </w:rPr>
          <w:t xml:space="preserve">https://doi.org/10.1016/j.firesaf.2019.01.006</w:t>
        </w:r>
      </w:hyperlink>
    </w:p>
    <w:bookmarkEnd w:id="152"/>
    <w:bookmarkStart w:id="154"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53">
        <w:r>
          <w:rPr>
            <w:rStyle w:val="Hyperlink"/>
          </w:rPr>
          <w:t xml:space="preserve">https://doi.org/10.1016/j.rse.2013.12.008</w:t>
        </w:r>
      </w:hyperlink>
    </w:p>
    <w:bookmarkEnd w:id="154"/>
    <w:bookmarkStart w:id="156"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55">
        <w:r>
          <w:rPr>
            <w:rStyle w:val="Hyperlink"/>
          </w:rPr>
          <w:t xml:space="preserve">http://queimadas.dgi.inpe.br</w:t>
        </w:r>
      </w:hyperlink>
    </w:p>
    <w:bookmarkEnd w:id="156"/>
    <w:bookmarkStart w:id="158"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57">
        <w:r>
          <w:rPr>
            <w:rStyle w:val="Hyperlink"/>
          </w:rPr>
          <w:t xml:space="preserve">https://doi.org/10.5558/tfc65258-4</w:t>
        </w:r>
      </w:hyperlink>
    </w:p>
    <w:bookmarkEnd w:id="158"/>
    <w:bookmarkStart w:id="160"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59">
        <w:r>
          <w:rPr>
            <w:rStyle w:val="Hyperlink"/>
          </w:rPr>
          <w:t xml:space="preserve">https://doi.org/10.2307/143141</w:t>
        </w:r>
      </w:hyperlink>
    </w:p>
    <w:bookmarkEnd w:id="160"/>
    <w:bookmarkStart w:id="162"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61">
        <w:r>
          <w:rPr>
            <w:rStyle w:val="Hyperlink"/>
          </w:rPr>
          <w:t xml:space="preserve">https://doi.org/10.1016/j.jaridenv.2014.11.009</w:t>
        </w:r>
      </w:hyperlink>
    </w:p>
    <w:bookmarkEnd w:id="162"/>
    <w:bookmarkStart w:id="163"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63"/>
    <w:bookmarkStart w:id="165" w:name="ref-willard2022"/>
    <w:p>
      <w:pPr>
        <w:pStyle w:val="Bibliography"/>
      </w:pPr>
      <w:r>
        <w:t xml:space="preserve">Willard, J., Jia, X., Xu, S., Steinbach, M., &amp; Kumar, V. (2022). Integrating Scientific Knowledge with Machine Learning for Engineering and Environmental Systems.</w:t>
      </w:r>
      <w:r>
        <w:t xml:space="preserve"> </w:t>
      </w:r>
      <w:r>
        <w:rPr>
          <w:i/>
          <w:iCs/>
        </w:rPr>
        <w:t xml:space="preserve">ACM Computing Surveys</w:t>
      </w:r>
      <w:r>
        <w:t xml:space="preserve">,</w:t>
      </w:r>
      <w:r>
        <w:t xml:space="preserve"> </w:t>
      </w:r>
      <w:r>
        <w:rPr>
          <w:i/>
          <w:iCs/>
        </w:rPr>
        <w:t xml:space="preserve">55</w:t>
      </w:r>
      <w:r>
        <w:t xml:space="preserve">(4), 1-37.</w:t>
      </w:r>
      <w:r>
        <w:t xml:space="preserve"> </w:t>
      </w:r>
      <w:hyperlink r:id="rId164">
        <w:r>
          <w:rPr>
            <w:rStyle w:val="Hyperlink"/>
          </w:rPr>
          <w:t xml:space="preserve">https://doi.org/10.1145/3514228</w:t>
        </w:r>
      </w:hyperlink>
    </w:p>
    <w:bookmarkEnd w:id="165"/>
    <w:bookmarkStart w:id="167" w:name="ref-wooster2005"/>
    <w:p>
      <w:pPr>
        <w:pStyle w:val="Bibliography"/>
      </w:pPr>
      <w:r>
        <w:t xml:space="preserve">Wooster, M. J., Roberts, G., Perry, G. L. W., &amp; Kaufman, Y. J. (2005). Retrieval of biomass combustion rates and fuel consumption from multi-spectral satellite imagery (</w:t>
      </w:r>
      <w:r>
        <w:t xml:space="preserve">FRP</w:t>
      </w:r>
      <w:r>
        <w:t xml:space="preserve">): An update.</w:t>
      </w:r>
      <w:r>
        <w:t xml:space="preserve"> </w:t>
      </w:r>
      <w:r>
        <w:rPr>
          <w:i/>
          <w:iCs/>
        </w:rPr>
        <w:t xml:space="preserve">Journal of Geophysical Research: Atmospheres</w:t>
      </w:r>
      <w:r>
        <w:t xml:space="preserve">,</w:t>
      </w:r>
      <w:r>
        <w:t xml:space="preserve"> </w:t>
      </w:r>
      <w:r>
        <w:rPr>
          <w:i/>
          <w:iCs/>
        </w:rPr>
        <w:t xml:space="preserve">110</w:t>
      </w:r>
      <w:r>
        <w:t xml:space="preserve">(D24), D24311.</w:t>
      </w:r>
      <w:r>
        <w:t xml:space="preserve"> </w:t>
      </w:r>
      <w:hyperlink r:id="rId166">
        <w:r>
          <w:rPr>
            <w:rStyle w:val="Hyperlink"/>
          </w:rPr>
          <w:t xml:space="preserve">https://doi.org/10.1029/2005JD006318</w:t>
        </w:r>
      </w:hyperlink>
    </w:p>
    <w:bookmarkEnd w:id="167"/>
    <w:bookmarkEnd w:id="168"/>
    <w:bookmarkEnd w:id="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4" Target="media/rId34.png" /><Relationship Type="http://schemas.openxmlformats.org/officeDocument/2006/relationships/image" Id="rId48" Target="media/rId48.png" /><Relationship Type="http://schemas.openxmlformats.org/officeDocument/2006/relationships/image" Id="rId66" Target="media/rId66.png" /><Relationship Type="http://schemas.openxmlformats.org/officeDocument/2006/relationships/image" Id="rId60" Target="media/rId60.png" /><Relationship Type="http://schemas.openxmlformats.org/officeDocument/2006/relationships/image" Id="rId54" Target="media/rId54.png" /><Relationship Type="http://schemas.openxmlformats.org/officeDocument/2006/relationships/image" Id="rId77" Target="media/rId77.png" /><Relationship Type="http://schemas.openxmlformats.org/officeDocument/2006/relationships/hyperlink" Id="rId65" Target="file:///Users/martinsanchez/Documents/Proyectos_PY/Incendios_PY/src/alerta.py" TargetMode="External" /><Relationship Type="http://schemas.openxmlformats.org/officeDocument/2006/relationships/hyperlink" Id="rId155" Target="http://queimadas.dgi.inpe.br" TargetMode="External" /><Relationship Type="http://schemas.openxmlformats.org/officeDocument/2006/relationships/hyperlink" Id="rId123" Target="https://chaco.mapbiomas.org/" TargetMode="External" /><Relationship Type="http://schemas.openxmlformats.org/officeDocument/2006/relationships/hyperlink" Id="rId106" Target="https://doi.org/10.1007/s10584-015-1521-0" TargetMode="External" /><Relationship Type="http://schemas.openxmlformats.org/officeDocument/2006/relationships/hyperlink" Id="rId116" Target="https://doi.org/10.1016/S0034-4257(02)00076-7" TargetMode="External" /><Relationship Type="http://schemas.openxmlformats.org/officeDocument/2006/relationships/hyperlink" Id="rId144" Target="https://doi.org/10.1016/j.envsoft.2014.03.003" TargetMode="External" /><Relationship Type="http://schemas.openxmlformats.org/officeDocument/2006/relationships/hyperlink" Id="rId151" Target="https://doi.org/10.1016/j.firesaf.2019.01.006" TargetMode="External" /><Relationship Type="http://schemas.openxmlformats.org/officeDocument/2006/relationships/hyperlink" Id="rId161" Target="https://doi.org/10.1016/j.jaridenv.2014.11.009" TargetMode="External" /><Relationship Type="http://schemas.openxmlformats.org/officeDocument/2006/relationships/hyperlink" Id="rId132" Target="https://doi.org/10.1016/j.pecon.2021.06.005" TargetMode="External" /><Relationship Type="http://schemas.openxmlformats.org/officeDocument/2006/relationships/hyperlink" Id="rId147" Target="https://doi.org/10.1016/j.rse.2008.05.013" TargetMode="External" /><Relationship Type="http://schemas.openxmlformats.org/officeDocument/2006/relationships/hyperlink" Id="rId153" Target="https://doi.org/10.1016/j.rse.2013.12.008" TargetMode="External" /><Relationship Type="http://schemas.openxmlformats.org/officeDocument/2006/relationships/hyperlink" Id="rId108" Target="https://doi.org/10.1016/j.rse.2016.02.054" TargetMode="External" /><Relationship Type="http://schemas.openxmlformats.org/officeDocument/2006/relationships/hyperlink" Id="rId110" Target="https://doi.org/10.1016/j.rse.2017.06.031" TargetMode="External" /><Relationship Type="http://schemas.openxmlformats.org/officeDocument/2006/relationships/hyperlink" Id="rId98" Target="https://doi.org/10.1016/j.rse.2019.02.013" TargetMode="External" /><Relationship Type="http://schemas.openxmlformats.org/officeDocument/2006/relationships/hyperlink" Id="rId166" Target="https://doi.org/10.1029/2005JD006318" TargetMode="External" /><Relationship Type="http://schemas.openxmlformats.org/officeDocument/2006/relationships/hyperlink" Id="rId114" Target="https://doi.org/10.1038/ncomms8537" TargetMode="External" /><Relationship Type="http://schemas.openxmlformats.org/officeDocument/2006/relationships/hyperlink" Id="rId135" Target="https://doi.org/10.1038/s41467-020-18321-y" TargetMode="External" /><Relationship Type="http://schemas.openxmlformats.org/officeDocument/2006/relationships/hyperlink" Id="rId140" Target="https://doi.org/10.1038/s41586-019-0912-1" TargetMode="External" /><Relationship Type="http://schemas.openxmlformats.org/officeDocument/2006/relationships/hyperlink" Id="rId90" Target="https://doi.org/10.1038/s41597-019-0312-2" TargetMode="External" /><Relationship Type="http://schemas.openxmlformats.org/officeDocument/2006/relationships/hyperlink" Id="rId121" Target="https://doi.org/10.1038/s42256-019-0138-9" TargetMode="External" /><Relationship Type="http://schemas.openxmlformats.org/officeDocument/2006/relationships/hyperlink" Id="rId104" Target="https://doi.org/10.1071/WF08187" TargetMode="External" /><Relationship Type="http://schemas.openxmlformats.org/officeDocument/2006/relationships/hyperlink" Id="rId88" Target="https://doi.org/10.1071/WF12167" TargetMode="External" /><Relationship Type="http://schemas.openxmlformats.org/officeDocument/2006/relationships/hyperlink" Id="rId100" Target="https://doi.org/10.1088/1748-9326/ab020e" TargetMode="External" /><Relationship Type="http://schemas.openxmlformats.org/officeDocument/2006/relationships/hyperlink" Id="rId125" Target="https://doi.org/10.1111/2041-210X.13650" TargetMode="External" /><Relationship Type="http://schemas.openxmlformats.org/officeDocument/2006/relationships/hyperlink" Id="rId142" Target="https://doi.org/10.1111/ecog.02881" TargetMode="External" /><Relationship Type="http://schemas.openxmlformats.org/officeDocument/2006/relationships/hyperlink" Id="rId94" Target="https://doi.org/10.1111/gcb.13521" TargetMode="External" /><Relationship Type="http://schemas.openxmlformats.org/officeDocument/2006/relationships/hyperlink" Id="rId102" Target="https://doi.org/10.1111/j.2007.0906-7590.05171.x" TargetMode="External" /><Relationship Type="http://schemas.openxmlformats.org/officeDocument/2006/relationships/hyperlink" Id="rId112" Target="https://doi.org/10.1139/er-2020-0019" TargetMode="External" /><Relationship Type="http://schemas.openxmlformats.org/officeDocument/2006/relationships/hyperlink" Id="rId129" Target="https://doi.org/10.1145/1102351.1102430" TargetMode="External" /><Relationship Type="http://schemas.openxmlformats.org/officeDocument/2006/relationships/hyperlink" Id="rId96" Target="https://doi.org/10.1145/2939672.2939785" TargetMode="External" /><Relationship Type="http://schemas.openxmlformats.org/officeDocument/2006/relationships/hyperlink" Id="rId138" Target="https://doi.org/10.1145/3299869.3320212" TargetMode="External" /><Relationship Type="http://schemas.openxmlformats.org/officeDocument/2006/relationships/hyperlink" Id="rId164" Target="https://doi.org/10.1145/3514228" TargetMode="External" /><Relationship Type="http://schemas.openxmlformats.org/officeDocument/2006/relationships/hyperlink" Id="rId159" Target="https://doi.org/10.2307/143141" TargetMode="External" /><Relationship Type="http://schemas.openxmlformats.org/officeDocument/2006/relationships/hyperlink" Id="rId119" Target="https://doi.org/10.2307/1939924" TargetMode="External" /><Relationship Type="http://schemas.openxmlformats.org/officeDocument/2006/relationships/hyperlink" Id="rId86" Target="https://doi.org/10.3390/rs10091438" TargetMode="External" /><Relationship Type="http://schemas.openxmlformats.org/officeDocument/2006/relationships/hyperlink" Id="rId92" Target="https://doi.org/10.3390/s20226442" TargetMode="External" /><Relationship Type="http://schemas.openxmlformats.org/officeDocument/2006/relationships/hyperlink" Id="rId127" Target="https://doi.org/10.5194/essd-13-4349-2021" TargetMode="External" /><Relationship Type="http://schemas.openxmlformats.org/officeDocument/2006/relationships/hyperlink" Id="rId157" Target="https://doi.org/10.5558/tfc65258-4" TargetMode="External" /><Relationship Type="http://schemas.openxmlformats.org/officeDocument/2006/relationships/hyperlink" Id="rId149" Target="https://doi.org/10.5772/28441" TargetMode="External" /><Relationship Type="http://schemas.openxmlformats.org/officeDocument/2006/relationships/hyperlink" Id="rId83"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65" Target="file:///Users/martinsanchez/Documents/Proyectos_PY/Incendios_PY/src/alerta.py" TargetMode="External" /><Relationship Type="http://schemas.openxmlformats.org/officeDocument/2006/relationships/hyperlink" Id="rId155" Target="http://queimadas.dgi.inpe.br" TargetMode="External" /><Relationship Type="http://schemas.openxmlformats.org/officeDocument/2006/relationships/hyperlink" Id="rId123" Target="https://chaco.mapbiomas.org/" TargetMode="External" /><Relationship Type="http://schemas.openxmlformats.org/officeDocument/2006/relationships/hyperlink" Id="rId106" Target="https://doi.org/10.1007/s10584-015-1521-0" TargetMode="External" /><Relationship Type="http://schemas.openxmlformats.org/officeDocument/2006/relationships/hyperlink" Id="rId116" Target="https://doi.org/10.1016/S0034-4257(02)00076-7" TargetMode="External" /><Relationship Type="http://schemas.openxmlformats.org/officeDocument/2006/relationships/hyperlink" Id="rId144" Target="https://doi.org/10.1016/j.envsoft.2014.03.003" TargetMode="External" /><Relationship Type="http://schemas.openxmlformats.org/officeDocument/2006/relationships/hyperlink" Id="rId151" Target="https://doi.org/10.1016/j.firesaf.2019.01.006" TargetMode="External" /><Relationship Type="http://schemas.openxmlformats.org/officeDocument/2006/relationships/hyperlink" Id="rId161" Target="https://doi.org/10.1016/j.jaridenv.2014.11.009" TargetMode="External" /><Relationship Type="http://schemas.openxmlformats.org/officeDocument/2006/relationships/hyperlink" Id="rId132" Target="https://doi.org/10.1016/j.pecon.2021.06.005" TargetMode="External" /><Relationship Type="http://schemas.openxmlformats.org/officeDocument/2006/relationships/hyperlink" Id="rId147" Target="https://doi.org/10.1016/j.rse.2008.05.013" TargetMode="External" /><Relationship Type="http://schemas.openxmlformats.org/officeDocument/2006/relationships/hyperlink" Id="rId153" Target="https://doi.org/10.1016/j.rse.2013.12.008" TargetMode="External" /><Relationship Type="http://schemas.openxmlformats.org/officeDocument/2006/relationships/hyperlink" Id="rId108" Target="https://doi.org/10.1016/j.rse.2016.02.054" TargetMode="External" /><Relationship Type="http://schemas.openxmlformats.org/officeDocument/2006/relationships/hyperlink" Id="rId110" Target="https://doi.org/10.1016/j.rse.2017.06.031" TargetMode="External" /><Relationship Type="http://schemas.openxmlformats.org/officeDocument/2006/relationships/hyperlink" Id="rId98" Target="https://doi.org/10.1016/j.rse.2019.02.013" TargetMode="External" /><Relationship Type="http://schemas.openxmlformats.org/officeDocument/2006/relationships/hyperlink" Id="rId166" Target="https://doi.org/10.1029/2005JD006318" TargetMode="External" /><Relationship Type="http://schemas.openxmlformats.org/officeDocument/2006/relationships/hyperlink" Id="rId114" Target="https://doi.org/10.1038/ncomms8537" TargetMode="External" /><Relationship Type="http://schemas.openxmlformats.org/officeDocument/2006/relationships/hyperlink" Id="rId135" Target="https://doi.org/10.1038/s41467-020-18321-y" TargetMode="External" /><Relationship Type="http://schemas.openxmlformats.org/officeDocument/2006/relationships/hyperlink" Id="rId140" Target="https://doi.org/10.1038/s41586-019-0912-1" TargetMode="External" /><Relationship Type="http://schemas.openxmlformats.org/officeDocument/2006/relationships/hyperlink" Id="rId90" Target="https://doi.org/10.1038/s41597-019-0312-2" TargetMode="External" /><Relationship Type="http://schemas.openxmlformats.org/officeDocument/2006/relationships/hyperlink" Id="rId121" Target="https://doi.org/10.1038/s42256-019-0138-9" TargetMode="External" /><Relationship Type="http://schemas.openxmlformats.org/officeDocument/2006/relationships/hyperlink" Id="rId104" Target="https://doi.org/10.1071/WF08187" TargetMode="External" /><Relationship Type="http://schemas.openxmlformats.org/officeDocument/2006/relationships/hyperlink" Id="rId88" Target="https://doi.org/10.1071/WF12167" TargetMode="External" /><Relationship Type="http://schemas.openxmlformats.org/officeDocument/2006/relationships/hyperlink" Id="rId100" Target="https://doi.org/10.1088/1748-9326/ab020e" TargetMode="External" /><Relationship Type="http://schemas.openxmlformats.org/officeDocument/2006/relationships/hyperlink" Id="rId125" Target="https://doi.org/10.1111/2041-210X.13650" TargetMode="External" /><Relationship Type="http://schemas.openxmlformats.org/officeDocument/2006/relationships/hyperlink" Id="rId142" Target="https://doi.org/10.1111/ecog.02881" TargetMode="External" /><Relationship Type="http://schemas.openxmlformats.org/officeDocument/2006/relationships/hyperlink" Id="rId94" Target="https://doi.org/10.1111/gcb.13521" TargetMode="External" /><Relationship Type="http://schemas.openxmlformats.org/officeDocument/2006/relationships/hyperlink" Id="rId102" Target="https://doi.org/10.1111/j.2007.0906-7590.05171.x" TargetMode="External" /><Relationship Type="http://schemas.openxmlformats.org/officeDocument/2006/relationships/hyperlink" Id="rId112" Target="https://doi.org/10.1139/er-2020-0019" TargetMode="External" /><Relationship Type="http://schemas.openxmlformats.org/officeDocument/2006/relationships/hyperlink" Id="rId129" Target="https://doi.org/10.1145/1102351.1102430" TargetMode="External" /><Relationship Type="http://schemas.openxmlformats.org/officeDocument/2006/relationships/hyperlink" Id="rId96" Target="https://doi.org/10.1145/2939672.2939785" TargetMode="External" /><Relationship Type="http://schemas.openxmlformats.org/officeDocument/2006/relationships/hyperlink" Id="rId138" Target="https://doi.org/10.1145/3299869.3320212" TargetMode="External" /><Relationship Type="http://schemas.openxmlformats.org/officeDocument/2006/relationships/hyperlink" Id="rId164" Target="https://doi.org/10.1145/3514228" TargetMode="External" /><Relationship Type="http://schemas.openxmlformats.org/officeDocument/2006/relationships/hyperlink" Id="rId159" Target="https://doi.org/10.2307/143141" TargetMode="External" /><Relationship Type="http://schemas.openxmlformats.org/officeDocument/2006/relationships/hyperlink" Id="rId119" Target="https://doi.org/10.2307/1939924" TargetMode="External" /><Relationship Type="http://schemas.openxmlformats.org/officeDocument/2006/relationships/hyperlink" Id="rId86" Target="https://doi.org/10.3390/rs10091438" TargetMode="External" /><Relationship Type="http://schemas.openxmlformats.org/officeDocument/2006/relationships/hyperlink" Id="rId92" Target="https://doi.org/10.3390/s20226442" TargetMode="External" /><Relationship Type="http://schemas.openxmlformats.org/officeDocument/2006/relationships/hyperlink" Id="rId127" Target="https://doi.org/10.5194/essd-13-4349-2021" TargetMode="External" /><Relationship Type="http://schemas.openxmlformats.org/officeDocument/2006/relationships/hyperlink" Id="rId157" Target="https://doi.org/10.5558/tfc65258-4" TargetMode="External" /><Relationship Type="http://schemas.openxmlformats.org/officeDocument/2006/relationships/hyperlink" Id="rId149" Target="https://doi.org/10.5772/28441" TargetMode="External" /><Relationship Type="http://schemas.openxmlformats.org/officeDocument/2006/relationships/hyperlink" Id="rId83"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Desacoplando el Peligro Biofísico de Ignición y la Propagación Táctica de Incendios Forestales en el Gran Chaco mediante GeoAI Multiescala (2015–2025)</dc:title>
  <dc:creator/>
  <dc:language>es</dc:language>
  <cp:keywords/>
  <dcterms:created xsi:type="dcterms:W3CDTF">2026-10-25T03:09:56Z</dcterms:created>
  <dcterms:modified xsi:type="dcterms:W3CDTF">2026-10-25T03:09:56Z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2026-10-24</vt:lpwstr>
  </property>
  <property fmtid="{D5CDD505-2E9C-101B-9397-08002B2CF9AE}" pid="7" name="date-modified">
    <vt:lpwstr>2026-10-25</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Un marco computacional reproducible de dos etapas para la predicción a 24 horas y benchmarking internacional frente a Canadian FWI e INPE</vt:lpwstr>
  </property>
  <property fmtid="{D5CDD505-2E9C-101B-9397-08002B2CF9AE}" pid="14" name="tbl-cap-location">
    <vt:lpwstr>top</vt:lpwstr>
  </property>
  <property fmtid="{D5CDD505-2E9C-101B-9397-08002B2CF9AE}" pid="15" name="toc-title">
    <vt:lpwstr>Contenido del Manuscrito</vt:lpwstr>
  </property>
</Properties>
</file>