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 / Portada de Identificación</w:t>
      </w:r>
    </w:p>
    <w:p>
      <w:pPr>
        <w:pStyle w:val="Subtitle"/>
      </w:pPr>
      <w:r>
        <w:t xml:space="preserve">Desacoplando el Peligro Biofísico de Ignición y la Propagación Táctica de Incendios Forestales en el Gran Chaco mediante GeoAI Multiescala (2018–2025)</w:t>
      </w:r>
    </w:p>
    <w:p>
      <w:pPr>
        <w:pStyle w:val="Date"/>
      </w:pPr>
      <w:r>
        <w:t xml:space="preserve">2026-10-24</w:t>
      </w:r>
    </w:p>
    <w:bookmarkStart w:id="9" w:name="X91b8e933fbe09d3a75c28ccb4dc2bb04727a969"/>
    <w:p>
      <w:pPr>
        <w:pStyle w:val="Heading1"/>
      </w:pPr>
      <w:r>
        <w:t xml:space="preserve">1. Información del Manuscrito / Article Details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Principal (Español):</w:t>
      </w:r>
      <w:r>
        <w:br/>
      </w:r>
      <w:r>
        <w:rPr>
          <w:i/>
          <w:iCs/>
        </w:rPr>
        <w:t xml:space="preserve">Desacoplando el peligro biofísico de ignición y la propagación táctica de incendios forestales en el Gran Chaco mediante GeoAI multiescala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Subtítulo (Español):</w:t>
      </w:r>
      <w:r>
        <w:br/>
      </w:r>
      <w:r>
        <w:rPr>
          <w:i/>
          <w:iCs/>
        </w:rPr>
        <w:t xml:space="preserve">Un marco computacional reproducible de dos etapas para el nowcasting diario de peligro y benchmarking internacional frente a Canadian FWI e INPE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Title (English):</w:t>
      </w:r>
      <w:r>
        <w:br/>
      </w:r>
      <w:r>
        <w:rPr>
          <w:i/>
          <w:iCs/>
        </w:rPr>
        <w:t xml:space="preserve">Decoupling Biophysical Ignition Hazard and Tactical Wildfire Propagation in the Gran Chaco via Multiscale GeoAI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Subtitle (English):</w:t>
      </w:r>
      <w:r>
        <w:br/>
      </w:r>
      <w:r>
        <w:rPr>
          <w:i/>
          <w:iCs/>
        </w:rPr>
        <w:t xml:space="preserve">A Reproducible Two-Stage Computational Framework for Daily Hazard Nowcasting and International Benchmarking Against Canadian FWI and INPE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Corto / Running Head:</w:t>
      </w:r>
      <w:r>
        <w:br/>
      </w:r>
      <w:r>
        <w:rPr>
          <w:i/>
          <w:iCs/>
        </w:rPr>
        <w:t xml:space="preserve">Decoupled GeoAI Wildfire Hazard in the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Revista Objetivo / Target Journal:</w:t>
      </w:r>
      <w:r>
        <w:br/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(Elsevier, ISSN: 0098-3004)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Áreas Temáticas de la Revista:</w:t>
      </w:r>
      <w:r>
        <w:br/>
      </w:r>
      <w:r>
        <w:rPr>
          <w:i/>
          <w:iCs/>
        </w:rPr>
        <w:t xml:space="preserve">Computer Science Applications</w:t>
      </w:r>
      <w:r>
        <w:t xml:space="preserve"> </w:t>
      </w:r>
      <w:r>
        <w:t xml:space="preserve">&amp;</w:t>
      </w:r>
      <w:r>
        <w:t xml:space="preserve"> </w:t>
      </w:r>
      <w:r>
        <w:rPr>
          <w:i/>
          <w:iCs/>
        </w:rPr>
        <w:t xml:space="preserve">Earth and Planetary Sciences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Modalidad de Revisión / Peer Review Track:</w:t>
      </w:r>
      <w:r>
        <w:br/>
      </w:r>
      <w:r>
        <w:t xml:space="preserve">Doble Ciego Anónimo (</w:t>
      </w:r>
      <w:r>
        <w:rPr>
          <w:i/>
          <w:iCs/>
        </w:rPr>
        <w:t xml:space="preserve">Double-Anonymous Peer Review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Artículo / Article Type:</w:t>
      </w:r>
      <w:r>
        <w:br/>
      </w:r>
      <w:r>
        <w:rPr>
          <w:i/>
          <w:iCs/>
        </w:rPr>
        <w:t xml:space="preserve">Research Paper</w:t>
      </w:r>
      <w:r>
        <w:t xml:space="preserve"> </w:t>
      </w:r>
      <w:r>
        <w:t xml:space="preserve">(Metodología Computacional y Algorítmica en Geociencias)</w:t>
      </w:r>
    </w:p>
    <w:p>
      <w:r>
        <w:pict>
          <v:rect style="width:0;height:1.5pt" o:hralign="center" o:hrstd="t" o:hr="t"/>
        </w:pict>
      </w:r>
    </w:p>
    <w:bookmarkEnd w:id="9"/>
    <w:bookmarkStart w:id="11" w:name="Xfb8a93190f39b9b145f294f58bd1a7ddd9c53de"/>
    <w:p>
      <w:pPr>
        <w:pStyle w:val="Heading1"/>
      </w:pPr>
      <w:r>
        <w:t xml:space="preserve">2. Autores y Afiliaciones / Authors and Affiliations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Autor:</w:t>
      </w:r>
      <w:r>
        <w:br/>
      </w:r>
      <w:r>
        <w:rPr>
          <w:b/>
          <w:bCs/>
        </w:rPr>
        <w:t xml:space="preserve">Martín Sánchez Insfrán, MD</w:t>
      </w:r>
      <w:r>
        <w:br/>
      </w:r>
      <w:r>
        <w:rPr>
          <w:i/>
          <w:iCs/>
        </w:rPr>
        <w:t xml:space="preserve">Investigador Independiente / Médico Cirujano</w:t>
      </w:r>
      <w:r>
        <w:br/>
      </w:r>
      <w:r>
        <w:t xml:space="preserve">Asunción, Paraguay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ORCID:</w:t>
      </w:r>
      <w:r>
        <w:t xml:space="preserve"> </w:t>
      </w:r>
      <w:hyperlink r:id="rId10">
        <w:r>
          <w:rPr>
            <w:rStyle w:val="Hyperlink"/>
          </w:rPr>
          <w:t xml:space="preserve">0000-0003-4138-9668</w:t>
        </w:r>
      </w:hyperlink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Rol:</w:t>
      </w:r>
      <w:r>
        <w:t xml:space="preserve"> </w:t>
      </w:r>
      <w:r>
        <w:t xml:space="preserve">Conceptualización, diseño de arquitectura de software, ingeniería de datos espaciales, modelado predictivo, benchmarking, redacción y validación.</w:t>
      </w:r>
    </w:p>
    <w:p>
      <w:r>
        <w:pict>
          <v:rect style="width:0;height:1.5pt" o:hralign="center" o:hrstd="t" o:hr="t"/>
        </w:pict>
      </w:r>
    </w:p>
    <w:bookmarkEnd w:id="11"/>
    <w:bookmarkStart w:id="12" w:name="X8ab1327f2b895b77afb78b769bce3bafbc6d551"/>
    <w:p>
      <w:pPr>
        <w:pStyle w:val="Heading1"/>
      </w:pPr>
      <w:r>
        <w:t xml:space="preserve">3. Aspectos Destacados / Highlights (Obligatorio en Elsevier)</w:t>
      </w:r>
    </w:p>
    <w:p>
      <w:pPr>
        <w:pStyle w:val="BlockText"/>
      </w:pPr>
      <w:r>
        <w:rPr>
          <w:i/>
          <w:iCs/>
        </w:rPr>
        <w:t xml:space="preserve">Lineamientos de Computers &amp; Geosciences: 3 a 5 puntos concisos, máximo 85 caracteres cada uno (incluidos espacios).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Two-stage bio-physical gating cuts 39.2% of national cells (89.9% recall).</w:t>
      </w:r>
      <w:r>
        <w:t xml:space="preserve"> </w:t>
      </w:r>
      <w:r>
        <w:t xml:space="preserve">(77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Decoupled models isolate physical ignition risk from tactical</w:t>
      </w:r>
      <w:r>
        <w:rPr>
          <w:b/>
          <w:bCs/>
        </w:rP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fire spread.</w:t>
      </w:r>
      <w:r>
        <w:t xml:space="preserve"> </w:t>
      </w:r>
      <w:r>
        <w:t xml:space="preserve">(84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Monotonic Platt-calibrated LightGBM beats Canadian FWI and INPE Risco de Fogo.</w:t>
      </w:r>
      <w:r>
        <w:t xml:space="preserve"> </w:t>
      </w:r>
      <w:r>
        <w:t xml:space="preserve">(81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20-km negative-sampling buffer and temporal holdout; spatial holdout pending.</w:t>
      </w:r>
      <w:r>
        <w:t xml:space="preserve"> </w:t>
      </w:r>
      <w:r>
        <w:t xml:space="preserve">(74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Zero-copy DuckDB and Polars pipeline predicts 400,006 sovereign cells in &lt;1 s.</w:t>
      </w:r>
      <w:r>
        <w:t xml:space="preserve"> </w:t>
      </w:r>
      <w:r>
        <w:t xml:space="preserve">(81 chars)</w:t>
      </w:r>
    </w:p>
    <w:p>
      <w:r>
        <w:pict>
          <v:rect style="width:0;height:1.5pt" o:hralign="center" o:hrstd="t" o:hr="t"/>
        </w:pict>
      </w:r>
    </w:p>
    <w:bookmarkEnd w:id="12"/>
    <w:bookmarkStart w:id="16" w:name="resumen-gráfico-graphical-abstract"/>
    <w:p>
      <w:pPr>
        <w:pStyle w:val="Heading1"/>
      </w:pPr>
      <w:r>
        <w:t xml:space="preserve">4. Resumen Gráfico / Graphical Abstract</w:t>
      </w:r>
    </w:p>
    <w:p>
      <w:pPr>
        <w:pStyle w:val="CaptionedFigure"/>
      </w:pPr>
      <w:r>
        <w:drawing>
          <wp:inline>
            <wp:extent cx="5334000" cy="2336234"/>
            <wp:effectExtent b="0" l="0" r="0" t="0"/>
            <wp:docPr descr="Graphical Abstract: Decoupled GeoAI Framework for Operational Wildfire Hazard in Paraguay" title="" id="14" name="Picture"/>
            <a:graphic>
              <a:graphicData uri="http://schemas.openxmlformats.org/drawingml/2006/picture">
                <pic:pic>
                  <pic:nvPicPr>
                    <pic:cNvPr descr="figuras/fig01_arquitectura_impacto_natur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Graphical Abstract: Decoupled GeoAI Framework for Operational Wildfire Hazard in Paraguay</w:t>
      </w:r>
    </w:p>
    <w:p>
      <w:r>
        <w:pict>
          <v:rect style="width:0;height:1.5pt" o:hralign="center" o:hrstd="t" o:hr="t"/>
        </w:pict>
      </w:r>
    </w:p>
    <w:bookmarkEnd w:id="16"/>
    <w:bookmarkStart w:id="19" w:name="resumen-abstract-keywords"/>
    <w:p>
      <w:pPr>
        <w:pStyle w:val="Heading1"/>
      </w:pPr>
      <w:r>
        <w:t xml:space="preserve">5. Resumen / Abstract &amp; Keywords</w:t>
      </w:r>
    </w:p>
    <w:bookmarkStart w:id="17" w:name="resumen-español"/>
    <w:p>
      <w:pPr>
        <w:pStyle w:val="Heading3"/>
      </w:pPr>
      <w:r>
        <w:t xml:space="preserve">Resumen (Español)</w:t>
      </w:r>
    </w:p>
    <w:p>
      <w:pPr>
        <w:pStyle w:val="FirstParagraph"/>
      </w:pPr>
      <w:r>
        <w:t xml:space="preserve">La predicción operativa de incendios forestales mediante aprendizaje automático enfrenta dos fallas metodológicas: el sesgo de atajo espacial y la dificultad de los índices boreales (como el Canadian FWI) en biomas subtropicales. Presentamos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una arquitectura GeoAI multiescala y desacoplada para Paraguay (400.006 celdas de 1 km², 2018–2025). El gating biofísico reduce el 39,2 % de las celdas-día y retiene el 89,94 % de las detecciones térmicas. Para evitar fugas, los priors históricos usan un corte mensual y una ventana móvil de 3 años. El modelo híbrido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combina clima, un perfil de combustible sintético de referencia (MapBiomas real pendiente), ecotono, corredores antrópicos y priors causales; la propagación táctica usa un kernel causal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 La evaluación es un holdout temporal 2024–2025 (</w:t>
      </w:r>
      <m:oMath>
        <m:r>
          <m:t>N</m:t>
        </m:r>
        <m:r>
          <m:rPr>
            <m:sty m:val="p"/>
          </m:rPr>
          <m:t>=</m:t>
        </m:r>
        <m:r>
          <m:t>1.841</m:t>
        </m:r>
        <m:r>
          <m:t>.147</m:t>
        </m:r>
      </m:oMath>
      <w:r>
        <w:t xml:space="preserve">); el buffer de 20 km se aplica al muestreo de pseudo-ausencias, no a un holdout espacial.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obtiene ROC-AUC 0,7858/0,8277 (Chaco/Oriental), frente a 0,5183/0,6055 del FWI (ISI) y 0,5036/0,5865 del proxy INPE; la propagación alcanza 0,9121/0,8671. Las precisiones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son 38,16 %/47,01 % y 94,50 %/75,94 %; en población real caen a 0,74 %/1,96 % y 11,87 %/6,07 %. En un holdout espacial por bloques de 50 km con buffer de 20 km, M3 cae a ROC-AUC 0,4737/0,5942, mientras que M1 obtiene 0,5105/0,6139: la ventaja híbrida es temporal y específica de celdas con historia de fuego. El pipeline se midió en ~1,4–1,8 s y ~2,0 GB de RAM pico. Es un nowcast/hindcast: las features climáticas son del mismo día. La cobertura conformal empírica fue 89,67 %/90,30 % para 90 %, sin garantía formal bajo cambio temporal.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Incendios forestales; GeoAI; Gran Chaco; LightGBM; Reanálisis ERA5-Land; NASA FIRMS; Desacoplamiento biofísico; Autocorrelación espacial; Benchmarking internacional.</w:t>
      </w:r>
    </w:p>
    <w:p>
      <w:r>
        <w:pict>
          <v:rect style="width:0;height:1.5pt" o:hralign="center" o:hrstd="t" o:hr="t"/>
        </w:pict>
      </w:r>
    </w:p>
    <w:bookmarkEnd w:id="17"/>
    <w:bookmarkStart w:id="18" w:name="abstract-english"/>
    <w:p>
      <w:pPr>
        <w:pStyle w:val="Heading3"/>
      </w:pPr>
      <w:r>
        <w:t xml:space="preserve">Abstract (English)</w:t>
      </w:r>
    </w:p>
    <w:p>
      <w:pPr>
        <w:pStyle w:val="FirstParagraph"/>
      </w:pPr>
      <w:r>
        <w:t xml:space="preserve">Operational wildfire prediction via machine learning faces spatial shortcut learning and the limited transferability of boreal fire-weather indices to subtropical biomes. We present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 decoupled multiscale GeoAI framework for Paraguay (400,006 1-km² cells, 2018–2025). Biophysical gating removes 39.2 % of cell-days while retaining 89.94 % of thermal detections. To avoid leakage, historical priors use a monthly cutoff and a rolling 3-year window. The hybrid model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combines weather, a synthetic reference fuel profile (real MapBiomas pending), ecotone, anthropogenic corridors and causal priors; tactical propagation uses a causal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kernel. Evaluation is a temporal holdout 2024–2025 (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841</m:t>
        </m:r>
        <m:r>
          <m:rPr>
            <m:sty m:val="p"/>
          </m:rPr>
          <m:t>,</m:t>
        </m:r>
        <m:r>
          <m:t>147</m:t>
        </m:r>
      </m:oMath>
      <w:r>
        <w:t xml:space="preserve">); the 20-km buffer applies to negative sampling, not a spatial holdout.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achieves ROC-AUC 0.7858/0.8277 (Chaco/Oriental), versus 0.5183/0.6055 for FWI (ISI) and 0.5036/0.5865 for the INPE proxy; propagation reaches 0.9121/0.8671.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precision is 38.16 %/47.01 % and 94.50 %/75.94 %; population precision drops to 0.74 %/1.96 % and 11.87 %/6.07 %. In a 50-km spatial block holdout with a 20-km buffer, M3 drops to ROC-AUC 0.4737/0.5942, while M1 reaches 0.5105/0.6139: the hybrid advantage is temporal and specific to cells with fire history. The pipeline measured ~1.4–1.8 s and ~2.0 GB peak RAM. It is a nowcast/hindcast: weather features are same-day. Empirical conformal coverage was 89.67 %/90.30 % for 90 %, without a formal guarantee under temporal shift.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Wildfire hazard nowcasting; GeoAI; Gran Chaco; LightGBM; ERA5-Land reanalysis; NASA FIRMS; Biophysical decoupling; Spatial autocorrelation; International benchmarking.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9" w:name="Xc3df9541fd9aa2ebc242b360f3fcbbede422e9d"/>
    <w:p>
      <w:pPr>
        <w:pStyle w:val="Heading1"/>
      </w:pPr>
      <w:r>
        <w:t xml:space="preserve">6. Declaraciones Obligatorias de Elsevier / Declarations</w:t>
      </w:r>
    </w:p>
    <w:bookmarkStart w:id="21" w:name="X70f8decb7765084b7f9d2e73c83f15df9b20afc"/>
    <w:p>
      <w:pPr>
        <w:pStyle w:val="Heading3"/>
      </w:pPr>
      <w:r>
        <w:t xml:space="preserve">A. Disponibilidad del Código Computacional / Computer Code Availability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Nombre del Software: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Desarrollador / Contacto:</w:t>
      </w:r>
      <w:r>
        <w:t xml:space="preserve"> </w:t>
      </w:r>
      <w:r>
        <w:t xml:space="preserve">Martín Sánchez Insfrán (</w:t>
      </w:r>
      <w:r>
        <w:rPr>
          <w:rStyle w:val="VerbatimChar"/>
        </w:rPr>
        <w:t xml:space="preserve">sanchez.martin093@gmail.com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Año de Primera Disponibilidad:</w:t>
      </w:r>
      <w:r>
        <w:t xml:space="preserve"> </w:t>
      </w:r>
      <w: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Requerido:</w:t>
      </w:r>
      <w:r>
        <w:t xml:space="preserve"> </w:t>
      </w:r>
      <w:r>
        <w:t xml:space="preserve">Procesador multinúcleo x86_64 o ARM64 (Apple Silicon M-Series o procesador estándar Intel/AMD); mínimo 8 GB de 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Software Requerido:</w:t>
      </w:r>
      <w:r>
        <w:t xml:space="preserve"> </w:t>
      </w:r>
      <w:r>
        <w:t xml:space="preserve">Python 3.11+ / 3.12, DuckDB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Polars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LightGBM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, Quarto</w:t>
      </w:r>
      <w:r>
        <w:t xml:space="preserve"> </w:t>
      </w:r>
      <m:oMath>
        <m:r>
          <m:rPr>
            <m:sty m:val="p"/>
          </m:rPr>
          <m:t>≥</m:t>
        </m:r>
        <m:r>
          <m:t>1.5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Lenguaje de Programación:</w:t>
      </w:r>
      <w:r>
        <w:t xml:space="preserve"> </w:t>
      </w:r>
      <w:r>
        <w:t xml:space="preserve">Python (con extensiones vectorizadas en C++ y Rust).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Disponibilidad y Licencia:</w:t>
      </w:r>
      <w:r>
        <w:t xml:space="preserve"> </w:t>
      </w:r>
      <w:r>
        <w:t xml:space="preserve">Código abierto bajo Licencia 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Repositorio Oficial:</w:t>
      </w:r>
      <w:r>
        <w:t xml:space="preserve"> </w:t>
      </w:r>
      <w:hyperlink r:id="rId20">
        <w:r>
          <w:rPr>
            <w:rStyle w:val="Hyperlink"/>
          </w:rPr>
          <w:t xml:space="preserve">https://github.com/sanchezmartin093-code/Incendios_PY</w:t>
        </w:r>
      </w:hyperlink>
    </w:p>
    <w:bookmarkEnd w:id="21"/>
    <w:bookmarkStart w:id="25" w:name="X2e6a9152266b96449fe18b3a1b6306101b90c46"/>
    <w:p>
      <w:pPr>
        <w:pStyle w:val="Heading3"/>
      </w:pPr>
      <w:r>
        <w:t xml:space="preserve">B. Disponibilidad de Datos / Data Availability Statement</w:t>
      </w:r>
    </w:p>
    <w:p>
      <w:pPr>
        <w:pStyle w:val="FirstParagraph"/>
      </w:pPr>
      <w:r>
        <w:t xml:space="preserve">Todos los conjuntos de datos primarios utilizados son de acceso público internacional y gratuito: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Detecciones térmicas activas:</w:t>
      </w:r>
      <w:r>
        <w:t xml:space="preserve"> </w:t>
      </w:r>
      <w:r>
        <w:t xml:space="preserve">NASA FIRMS (sensores VIIRS Suomi-NPP, NOAA-20 y NOAA-21) disponibles en</w:t>
      </w:r>
      <w:r>
        <w:t xml:space="preserve"> </w:t>
      </w:r>
      <w:hyperlink r:id="rId22">
        <w:r>
          <w:rPr>
            <w:rStyle w:val="Hyperlink"/>
          </w:rPr>
          <w:t xml:space="preserve">firms.modaps.eosdis.nasa.gov</w:t>
        </w:r>
      </w:hyperlink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Reanálisis meteorológico:</w:t>
      </w:r>
      <w:r>
        <w:t xml:space="preserve"> </w:t>
      </w:r>
      <w:r>
        <w:t xml:space="preserve">Copernicus Climate Data Store (CDS) ERA5-Land reanalysis (</w:t>
      </w:r>
      <w:hyperlink r:id="rId23">
        <w:r>
          <w:rPr>
            <w:rStyle w:val="Hyperlink"/>
          </w:rPr>
          <w:t xml:space="preserve">cds.climate.copernicus.eu</w:t>
        </w:r>
      </w:hyperlink>
      <w:r>
        <w:t xml:space="preserve">) procesado mediante pipeline nativo ECMWF CDS API (</w:t>
      </w:r>
      <w:r>
        <w:rPr>
          <w:rStyle w:val="VerbatimChar"/>
        </w:rPr>
        <w:t xml:space="preserve">src/clima_cds.py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Cobertura vegetal y biomas:</w:t>
      </w:r>
      <w:r>
        <w:t xml:space="preserve"> </w:t>
      </w:r>
      <w:r>
        <w:t xml:space="preserve">objetivo MapBiomas Chaco y Bosque Atlántico; en esta versión el perfil es sintético de referencia y la integración real queda pendiente.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Límites cartográficos soberanos:</w:t>
      </w:r>
      <w:r>
        <w:t xml:space="preserve"> </w:t>
      </w:r>
      <w:r>
        <w:t xml:space="preserve">Marco geoBoundaries ADM0 y ADM1 (</w:t>
      </w:r>
      <w:hyperlink r:id="rId24">
        <w:r>
          <w:rPr>
            <w:rStyle w:val="Hyperlink"/>
          </w:rPr>
          <w:t xml:space="preserve">geoboundaries.org</w:t>
        </w:r>
      </w:hyperlink>
      <w:r>
        <w:t xml:space="preserve">).</w:t>
      </w:r>
      <w:r>
        <w:br/>
      </w:r>
      <w:r>
        <w:t xml:space="preserve">Los datasets consolidados y procesados se distribuyen en formato Parquet comprimido ZSTD dentro del repositorio bajo licencia Creative Commons CC BY 4.0.</w:t>
      </w:r>
    </w:p>
    <w:bookmarkEnd w:id="25"/>
    <w:bookmarkStart w:id="26" w:name="c.-financiamiento-funding"/>
    <w:p>
      <w:pPr>
        <w:pStyle w:val="Heading3"/>
      </w:pPr>
      <w:r>
        <w:t xml:space="preserve">C. Financiamiento / Funding</w:t>
      </w:r>
    </w:p>
    <w:p>
      <w:pPr>
        <w:pStyle w:val="FirstParagraph"/>
      </w:pPr>
      <w:r>
        <w:t xml:space="preserve">Esta investigación fue realizada como un desarrollo de investigación independiente y de acceso abierto autofinanciado por el autor. No se recibieron subvenciones específicas de organismos del sector público, comercial o sin fines de lucro.</w:t>
      </w:r>
    </w:p>
    <w:bookmarkEnd w:id="26"/>
    <w:bookmarkStart w:id="27" w:name="Xae657ab1a92bd8f09f57de06fc35a8d594aaeca"/>
    <w:p>
      <w:pPr>
        <w:pStyle w:val="Heading3"/>
      </w:pPr>
      <w:r>
        <w:t xml:space="preserve">D. Conflicto de Intereses / Competing Interests</w:t>
      </w:r>
    </w:p>
    <w:p>
      <w:pPr>
        <w:pStyle w:val="FirstParagraph"/>
      </w:pPr>
      <w:r>
        <w:t xml:space="preserve">El autor declara que no existen conflictos de interés financieros, institucionales ni personales que hayan podido influir en el diseño, análisis, interpretación o presentación de los resultados expuestos en este manuscrito.</w:t>
      </w:r>
    </w:p>
    <w:bookmarkEnd w:id="27"/>
    <w:bookmarkStart w:id="28" w:name="X165867c682dba5cbdd9d30e774da206830c2fdb"/>
    <w:p>
      <w:pPr>
        <w:pStyle w:val="Heading3"/>
      </w:pPr>
      <w:r>
        <w:t xml:space="preserve">E. Contribución de Autores / Author Contributions (CRediT)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Martín Sánchez Insfrán:</w:t>
      </w:r>
      <w:r>
        <w:t xml:space="preserve"> </w:t>
      </w:r>
      <w:r>
        <w:t xml:space="preserve">Conceptualización, Metodología, Software, Validación, Análisis Formal, Investigación, Recursos, Curación de Datos, Redacción - Borrador Original, Redacción - Revisión y Edición, Visualización, Supervisión y Administración del Proyecto.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23" Target="https://cds.climate.copernicus.eu/" TargetMode="External" /><Relationship Type="http://schemas.openxmlformats.org/officeDocument/2006/relationships/hyperlink" Id="rId22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4" Target="https://www.geoboundar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ds.climate.copernicus.eu/" TargetMode="External" /><Relationship Type="http://schemas.openxmlformats.org/officeDocument/2006/relationships/hyperlink" Id="rId22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4" Target="https://www.geoboundar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/ Portada de Identificación</dc:title>
  <dc:creator/>
  <dc:language>es</dc:language>
  <cp:keywords/>
  <dcterms:created xsi:type="dcterms:W3CDTF">2026-10-26T13:18:39Z</dcterms:created>
  <dcterms:modified xsi:type="dcterms:W3CDTF">2026-10-26T13:18:39Z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2026-10-24</vt:lpwstr>
  </property>
  <property fmtid="{D5CDD505-2E9C-101B-9397-08002B2CF9AE}" pid="4" name="date-modified">
    <vt:lpwstr>2026-10-26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Desacoplando el Peligro Biofísico de Ignición y la Propagación Táctica de Incendios Forestales en el Gran Chaco mediante GeoAI Multiescala (2018–2025)</vt:lpwstr>
  </property>
  <property fmtid="{D5CDD505-2E9C-101B-9397-08002B2CF9AE}" pid="10" name="toc-title">
    <vt:lpwstr>Tabla de contenidos</vt:lpwstr>
  </property>
</Properties>
</file>