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24-Hour Forecasting and International Benchmarking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Pure Biophysical Ignition</w:t>
      </w:r>
      <w:r>
        <w:t xml:space="preserve">, guided by physics-based monotonic constraints and leakage-free spatial susceptibility priors;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m:oMath>
        <m:r>
          <m:t>0.75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standard consumer-grade ARM64 CPUs (</w:t>
      </w:r>
      <m:oMath>
        <m:r>
          <m:t>4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for vectorized array classification),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Rigorous Spatial Autocorrelation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spatial exclusion buffer</w:t>
      </w:r>
      <w:r>
        <w:t xml:space="preserve"> </w:t>
      </w:r>
      <w:r>
        <w:t xml:space="preserve">(derived from the empirical semivariogram range,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18.4</m:t>
        </m:r>
        <m:r>
          <m:rPr>
            <m:nor/>
            <m:sty m:val="p"/>
          </m:rPr>
          <m:t> km</m:t>
        </m:r>
      </m:oMath>
      <w:r>
        <w:t xml:space="preserve">) and multi-year out-of-time test partitions (2024–2025), eliminating both spatial and temporal data leakage.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40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1.0</m:t>
        </m:r>
        <m:r>
          <m:rPr>
            <m:nor/>
            <m:sty m:val="p"/>
          </m:rPr>
          <m:t> second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scripts/15_...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prospective blind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841</m:t>
        </m:r>
        <m:r>
          <m:rPr>
            <m:sty m:val="p"/>
          </m:rPr>
          <m:t>,</m:t>
        </m:r>
        <m:r>
          <m:t>147</m:t>
        </m:r>
      </m:oMath>
      <w:r>
        <w:t xml:space="preserve"> </w:t>
      </w:r>
      <w:r>
        <w:t xml:space="preserve">holdout cell-days during the 2024–2025 extreme crisis, our biophysical ignition layer achieves a ROC-AUC of</w:t>
      </w:r>
      <w:r>
        <w:t xml:space="preserve"> </w:t>
      </w:r>
      <m:oMath>
        <m:r>
          <m:t>0.7219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0.7978</m:t>
        </m:r>
      </m:oMath>
      <w:r>
        <w:t xml:space="preserve"> </w:t>
      </w:r>
      <w:r>
        <w:t xml:space="preserve">in the Oriental Region (dramatically outperforming both the Canadian FWI at</w:t>
      </w:r>
      <w:r>
        <w:t xml:space="preserve"> </w:t>
      </w:r>
      <m:oMath>
        <m:r>
          <m:t>0.5183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0.6055</m:t>
        </m:r>
      </m:oMath>
      <w:r>
        <w:t xml:space="preserve"> </w:t>
      </w:r>
      <w:r>
        <w:t xml:space="preserve">and INPE at</w:t>
      </w:r>
      <w:r>
        <w:t xml:space="preserve"> </w:t>
      </w:r>
      <m:oMath>
        <m:r>
          <m:t>0.5036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0.5865</m:t>
        </m:r>
      </m:oMath>
      <w:r>
        <w:t xml:space="preserve">), while tactical propagation achieves a ROC-AUC of</w:t>
      </w:r>
      <w:r>
        <w:t xml:space="preserve"> </w:t>
      </w:r>
      <m:oMath>
        <m:r>
          <m:t>0.8741</m:t>
        </m:r>
      </m:oMath>
      <w:r>
        <w:t xml:space="preserve"> </w:t>
      </w:r>
      <w:r>
        <w:t xml:space="preserve">and a precision of</w:t>
      </w:r>
      <w:r>
        <w:t xml:space="preserve"> </w:t>
      </w:r>
      <m:oMath>
        <m:r>
          <m:t>86.73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with only 3,552 false positives across the entire holdout set (compared to</w:t>
      </w:r>
      <w:r>
        <w:t xml:space="preserve"> </w:t>
      </w:r>
      <m:oMath>
        <m:r>
          <m:rPr>
            <m:sty m:val="p"/>
          </m:rPr>
          <m:t>&gt;</m:t>
        </m:r>
        <m:r>
          <m:t>696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false alarms generated by the operational INPE proxy).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code, trained model boosters, synthetic validation data,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 with a permanent archiving workflow on Zenodo.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2026-10-26T01:26:51Z</dcterms:created>
  <dcterms:modified xsi:type="dcterms:W3CDTF">2026-10-26T01:26:51Z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