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bookmarkStart w:id="9" w:name="abstract"/>
    <w:p>
      <w:pPr>
        <w:pStyle w:val="Heading1"/>
      </w:pPr>
      <w:r>
        <w:t xml:space="preserve">Abstract</w:t>
      </w:r>
    </w:p>
    <w:p>
      <w:pPr>
        <w:pStyle w:val="FirstParagraph"/>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17"/>
    <w:bookmarkStart w:id="22"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&amp;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1"/>
        </w:tc>
      </w:tr>
    </w:tbl>
    <w:bookmarkEnd w:id="22"/>
    <w:bookmarkEnd w:id="23"/>
    <w:bookmarkStart w:id="46"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0.3029 and 0.8963 in Chaco and 2.1509 and 0.0750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Because the INPE implementation weights A by land-cover fractions (the primary specification), we repeated the benchmark with a fixed A = 3.0 (the INPE open-savanna coefficient, fixed a priori). The fixed version reaches ROC-AUC 0.4979/0.5497 versus 0.5389/0.4990 for local A (ΔROC = −0.0409/+0.0508; p = 0.001; Table S22). The sign of the difference is region-dependent, but both versions remain far below M3 (0.8021/0.7534), so the weak INPE performance is not an artefact of the local land-cover weighting. Combining the two indices with the full M3 feature set does not close the gap: the augmented GBT reaches ROC-AUC 0.8013/0.7547 versus 0.8021/0.7534 for M3 (Δ = −0.0009/+0.0013; p = 0.182/0.001; Table S11 continuation). Once fuel, accessibility and historical context are present, the indices add essentially no ranking information; in Oriental the small gain is statistically detectable but operationally negligible.</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artefact of the single 2024–2025 split. Across 20 runs (five seeds × two capacities × two regions), the M3−M2 difference remained positive in every run, with mean differences of +0.0036/+0.0035 in Chaco and +0.0128/+0.0128 in Oriental for the current/high-capacity configurations (Table S25). 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(0.5105/0.5457;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 A permuted-label negative control reached AUC 0.6297/0.5138; removing historical features did not lower it (0.6276/0.5168), indicating residual cell-level association or feature leakage in Chaco (Table S32; Figure S7). The M3 score should therefore be read as a nowcast/prioritization signal, not a causal attribution. External spatial validation in Boquerón, after excluding the department and a 25-km buffer and recomputing priors, reproduced the M2/M3 discrimination (ROC-AUC 0.8104/0.8120; PR-AUC 0.2440/0.2505) but not a significant M3−M2 gain (+0.0016; p = 0.254). FWI was below chance (0.4719) and INPE reached 0.5845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8"/>
    <w:bookmarkStart w:id="43" w:name="operational-value"/>
    <w:p>
      <w:pPr>
        <w:pStyle w:val="Heading2"/>
      </w:pPr>
      <w:r>
        <w:t xml:space="preserve">3.4 Operational value</w:t>
      </w:r>
    </w:p>
    <w:p>
      <w:pPr>
        <w:pStyle w:val="FirstParagraph"/>
      </w:pPr>
      <w:r>
        <w:t xml:space="preserve">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 xml:space="preserve">α</w:t>
      </w:r>
      <w:r>
        <w:t xml:space="preserve"> </w:t>
      </w:r>
      <w:r>
        <w:t xml:space="preserve">=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 xml:space="preserve">Decision curve analysis on the case-control sample (Figure S4; Table S23) reproduces the ordering: at</w:t>
      </w:r>
      <w:r>
        <w:t xml:space="preserve"> </w:t>
      </w:r>
      <m:oMath>
        <m:sSub>
          <m:e>
            <m:r>
              <m:t>p</m:t>
            </m:r>
          </m:e>
          <m:sub>
            <m:r>
              <m:t>t</m:t>
            </m:r>
          </m:sub>
        </m:sSub>
        <m:r>
          <m:rPr>
            <m:sty m:val="p"/>
          </m:rPr>
          <m:t>=</m:t>
        </m:r>
        <m:r>
          <m:t>0.10</m:t>
        </m:r>
      </m:oMath>
      <w:r>
        <w:t xml:space="preserve">, M3 yields 37.6/29.4 net detections per 1 000 sampled cell-days, M2 37.7/27.3, M1 13.5/19.9 and FWI 0.1/2.8 (Chaco/Oriental); the propagation model remains positive up to</w:t>
      </w:r>
      <w:r>
        <w:t xml:space="preserve"> </w:t>
      </w:r>
      <m:oMath>
        <m:sSub>
          <m:e>
            <m:r>
              <m:t>p</m:t>
            </m:r>
          </m:e>
          <m:sub>
            <m:r>
              <m:t>t</m:t>
            </m:r>
          </m:sub>
        </m:sSub>
        <m:r>
          <m:rPr>
            <m:sty m:val="p"/>
          </m:rPr>
          <m:t>≈</m:t>
        </m:r>
        <m:r>
          <m:t>0.7</m:t>
        </m:r>
      </m:oMath>
      <w:r>
        <w:t xml:space="preserve">. Because net benefit is computed on the case-control sample, it complements the population-weighted decision value in Table S14.</w:t>
      </w:r>
    </w:p>
    <w:p>
      <w:pPr>
        <w:pStyle w:val="BodyText"/>
      </w:pPr>
      <w:r>
        <w:t xml:space="preserve">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maximises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 xml:space="preserve">At their frozen F0.5 operating points, FWI and INPE have positive decision value only in a narrow low-α window (0.0001–0.0005) and negative value for α ≥ 0.001 (V clipped at −1); even in that window they remain far below M3/M2 (Chaco FWI 0.069 vs M3 0.372 at α = 0.0001; Oriental FWI 0.095 vs M3 0.313 at α = 0.0005). Allowing the indices their best validation threshold at each α leaves the ranking unchanged (Table S24). The AUC advantage of M3 therefore translates into decision value against the indices, but not uniformly against M2.</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2"/>
        </w:tc>
      </w:tr>
    </w:tbl>
    <w:bookmarkEnd w:id="43"/>
    <w:bookmarkStart w:id="44" w:name="calibration"/>
    <w:p>
      <w:pPr>
        <w:pStyle w:val="Heading2"/>
      </w:pPr>
      <w:r>
        <w:t xml:space="preserve">3.5 Calibration</w:t>
      </w:r>
    </w:p>
    <w:p>
      <w:pPr>
        <w:pStyle w:val="FirstParagraph"/>
      </w:pPr>
      <w:r>
        <w:t xml:space="preserve">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bookmarkEnd w:id="44"/>
    <w:bookmarkStart w:id="45" w:name="reproducibility-checks"/>
    <w:p>
      <w:pPr>
        <w:pStyle w:val="Heading2"/>
      </w:pPr>
      <w:r>
        <w:t xml:space="preserve">3.6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5"/>
    <w:bookmarkEnd w:id="46"/>
    <w:bookmarkStart w:id="51" w:name="discussion"/>
    <w:p>
      <w:pPr>
        <w:pStyle w:val="Heading1"/>
      </w:pPr>
      <w:r>
        <w:t xml:space="preserve">4. Discussion</w:t>
      </w:r>
    </w:p>
    <w:bookmarkStart w:id="47"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7"/>
    <w:bookmarkStart w:id="48"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A permuted-label negative control sharpens this point. Retraining M3 on shuffled training labels yields AUC 0.6297/0.5138, and removing the historical features does not lower it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8"/>
    <w:bookmarkStart w:id="49"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9"/>
    <w:bookmarkStart w:id="50"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external test is within Paraguay; it provides derived population metrics but no cross-country transport, and M3’s gain over M2 is not significant at the primary 25-km buffer.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50"/>
    <w:bookmarkEnd w:id="51"/>
    <w:bookmarkStart w:id="52"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(0.4719) and INPE reached 0.5845.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2"/>
    <w:bookmarkStart w:id="54" w:name="data-availability"/>
    <w:p>
      <w:pPr>
        <w:pStyle w:val="Heading1"/>
      </w:pPr>
      <w:r>
        <w:t xml:space="preserve">Data availability</w:t>
      </w:r>
    </w:p>
    <w:p>
      <w:pPr>
        <w:pStyle w:val="FirstParagraph"/>
      </w:pPr>
      <w:r>
        <w:t xml:space="preserve">Processed data, test predictions, trained models and derived tables are available in the anonymized review repository under CC BY 4.0 and are documented under the data concept DOI</w:t>
      </w:r>
      <w:r>
        <w:t xml:space="preserve"> </w:t>
      </w:r>
      <w:hyperlink r:id="rId53">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6" w:name="funding"/>
    <w:p>
      <w:pPr>
        <w:pStyle w:val="Heading1"/>
      </w:pPr>
      <w:r>
        <w:t xml:space="preserve">Funding</w:t>
      </w:r>
    </w:p>
    <w:p>
      <w:pPr>
        <w:pStyle w:val="FirstParagraph"/>
      </w:pPr>
      <w:r>
        <w:t xml:space="preserve">This research received no specific grant from public, commercial or not-for-profit funding agencies.</w:t>
      </w:r>
    </w:p>
    <w:bookmarkEnd w:id="56"/>
    <w:bookmarkStart w:id="57" w:name="competing-interests"/>
    <w:p>
      <w:pPr>
        <w:pStyle w:val="Heading1"/>
      </w:pPr>
      <w:r>
        <w:t xml:space="preserve">Competing interests</w:t>
      </w:r>
    </w:p>
    <w:p>
      <w:pPr>
        <w:pStyle w:val="FirstParagraph"/>
      </w:pPr>
      <w:r>
        <w:t xml:space="preserve">The author declares no competing financial or non-financial interests.</w:t>
      </w:r>
    </w:p>
    <w:bookmarkEnd w:id="57"/>
    <w:bookmarkStart w:id="58" w:name="author-contributions"/>
    <w:p>
      <w:pPr>
        <w:pStyle w:val="Heading1"/>
      </w:pPr>
      <w:r>
        <w:t xml:space="preserve">Author contributions</w:t>
      </w:r>
    </w:p>
    <w:p>
      <w:pPr>
        <w:pStyle w:val="FirstParagraph"/>
      </w:pPr>
      <w:r>
        <w:t xml:space="preserve">Author 1: conceptualization, methodology, software, data curation, formal analysis, validation, visualization, writing—original draft, writing—review and editing, project administration.</w:t>
      </w:r>
    </w:p>
    <w:bookmarkEnd w:id="58"/>
    <w:bookmarkStart w:id="59" w:name="generative-ai-declaration"/>
    <w:p>
      <w:pPr>
        <w:pStyle w:val="Heading1"/>
      </w:pPr>
      <w:r>
        <w:t xml:space="preserve">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9"/>
    <w:bookmarkStart w:id="61"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anonymized for peer review; contact via the Editor-in-Chief</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r>
        <w:t xml:space="preserve">anonymized review repository (link provided in the submission system)</w:t>
      </w:r>
      <w:r>
        <w:br/>
      </w:r>
      <w:r>
        <w:rPr>
          <w:b/>
          <w:bCs/>
        </w:rPr>
        <w:t xml:space="preserve">Code concept DOI (latest version):</w:t>
      </w:r>
      <w:r>
        <w:t xml:space="preserve"> </w:t>
      </w:r>
      <w:hyperlink r:id="rId60">
        <w:r>
          <w:rPr>
            <w:rStyle w:val="Hyperlink"/>
          </w:rPr>
          <w:t xml:space="preserve">10.5281/zenodo.23675104</w:t>
        </w:r>
      </w:hyperlink>
      <w:r>
        <w:br/>
      </w:r>
      <w:r>
        <w:rPr>
          <w:b/>
          <w:bCs/>
        </w:rPr>
        <w:t xml:space="preserve">Data concept DOI (latest version):</w:t>
      </w:r>
      <w:r>
        <w:t xml:space="preserve"> </w:t>
      </w:r>
      <w:hyperlink r:id="rId53">
        <w:r>
          <w:rPr>
            <w:rStyle w:val="Hyperlink"/>
          </w:rPr>
          <w:t xml:space="preserve">10.5281/zenodo.23675278</w:t>
        </w:r>
      </w:hyperlink>
      <w:r>
        <w:br/>
      </w:r>
      <w:r>
        <w:rPr>
          <w:b/>
          <w:bCs/>
        </w:rPr>
        <w:t xml:space="preserve">Version:</w:t>
      </w:r>
      <w:r>
        <w:t xml:space="preserve"> </w:t>
      </w:r>
      <w:r>
        <w:t xml:space="preserve">v2.1.0 (version DOI assigned on Zenodo deposition)</w:t>
      </w:r>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61"/>
    <w:bookmarkStart w:id="114" w:name="references"/>
    <w:p>
      <w:pPr>
        <w:pStyle w:val="Heading1"/>
      </w:pPr>
      <w:r>
        <w:t xml:space="preserve">References</w:t>
      </w:r>
    </w:p>
    <w:bookmarkStart w:id="113" w:name="refs"/>
    <w:bookmarkStart w:id="63"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0">
        <w:r>
          <w:rPr>
            <w:rStyle w:val="Hyperlink"/>
          </w:rPr>
          <w:t xml:space="preserve">https://doi.org/10.1071/WF08187</w:t>
        </w:r>
      </w:hyperlink>
    </w:p>
    <w:bookmarkEnd w:id="71"/>
    <w:bookmarkStart w:id="73"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2">
        <w:r>
          <w:rPr>
            <w:rStyle w:val="Hyperlink"/>
          </w:rPr>
          <w:t xml:space="preserve">https://doi.org/10.1007/s10584-015-1521-0</w:t>
        </w:r>
      </w:hyperlink>
    </w:p>
    <w:bookmarkEnd w:id="73"/>
    <w:bookmarkStart w:id="75"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4">
        <w:r>
          <w:rPr>
            <w:rStyle w:val="Hyperlink"/>
          </w:rPr>
          <w:t xml:space="preserve">https://doi.org/10.1126/science.1244693</w:t>
        </w:r>
      </w:hyperlink>
    </w:p>
    <w:bookmarkEnd w:id="75"/>
    <w:bookmarkStart w:id="77"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6">
        <w:r>
          <w:rPr>
            <w:rStyle w:val="Hyperlink"/>
          </w:rPr>
          <w:t xml:space="preserve">https://doi.org/10.1139/er-2020-0019</w:t>
        </w:r>
      </w:hyperlink>
    </w:p>
    <w:bookmarkEnd w:id="77"/>
    <w:bookmarkStart w:id="79"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8">
        <w:r>
          <w:rPr>
            <w:rStyle w:val="Hyperlink"/>
          </w:rPr>
          <w:t xml:space="preserve">https://doi.org/10.1038/ncomms8537</w:t>
        </w:r>
      </w:hyperlink>
    </w:p>
    <w:bookmarkEnd w:id="79"/>
    <w:bookmarkStart w:id="80"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0"/>
    <w:bookmarkStart w:id="82"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1">
        <w:r>
          <w:rPr>
            <w:rStyle w:val="Hyperlink"/>
          </w:rPr>
          <w:t xml:space="preserve">https://doi.org/10.2307/1939924</w:t>
        </w:r>
      </w:hyperlink>
    </w:p>
    <w:bookmarkEnd w:id="82"/>
    <w:bookmarkStart w:id="84"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3">
        <w:r>
          <w:rPr>
            <w:rStyle w:val="Hyperlink"/>
          </w:rPr>
          <w:t xml:space="preserve">https://doi.org/10.1038/s42256-019-0138-9</w:t>
        </w:r>
      </w:hyperlink>
    </w:p>
    <w:bookmarkEnd w:id="84"/>
    <w:bookmarkStart w:id="86"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5">
        <w:r>
          <w:rPr>
            <w:rStyle w:val="Hyperlink"/>
          </w:rPr>
          <w:t xml:space="preserve">https://chaco.mapbiomas.org/</w:t>
        </w:r>
      </w:hyperlink>
      <w:r>
        <w:t xml:space="preserve">.</w:t>
      </w:r>
    </w:p>
    <w:bookmarkEnd w:id="86"/>
    <w:bookmarkStart w:id="88"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7">
        <w:r>
          <w:rPr>
            <w:rStyle w:val="Hyperlink"/>
          </w:rPr>
          <w:t xml:space="preserve">https://doi.org/10.5194/essd-13-4349-2021</w:t>
        </w:r>
      </w:hyperlink>
    </w:p>
    <w:bookmarkEnd w:id="88"/>
    <w:bookmarkStart w:id="9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9">
        <w:r>
          <w:rPr>
            <w:rStyle w:val="Hyperlink"/>
          </w:rPr>
          <w:t xml:space="preserve">https://doi.org/10.1145/1102351.1102430</w:t>
        </w:r>
      </w:hyperlink>
    </w:p>
    <w:bookmarkEnd w:id="90"/>
    <w:bookmarkStart w:id="92"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1">
        <w:r>
          <w:rPr>
            <w:rStyle w:val="Hyperlink"/>
          </w:rPr>
          <w:t xml:space="preserve">https://doi.org/10.1016/j.pecon.2021.06.005</w:t>
        </w:r>
      </w:hyperlink>
    </w:p>
    <w:bookmarkEnd w:id="92"/>
    <w:bookmarkStart w:id="93"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3"/>
    <w:bookmarkStart w:id="95"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4">
        <w:r>
          <w:rPr>
            <w:rStyle w:val="Hyperlink"/>
          </w:rPr>
          <w:t xml:space="preserve">https://doi.org/10.1038/s41467-020-18321-y</w:t>
        </w:r>
      </w:hyperlink>
    </w:p>
    <w:bookmarkEnd w:id="95"/>
    <w:bookmarkStart w:id="97"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6">
        <w:r>
          <w:rPr>
            <w:rStyle w:val="Hyperlink"/>
          </w:rPr>
          <w:t xml:space="preserve">https://doi.org/10.1145/3299869.3320212</w:t>
        </w:r>
      </w:hyperlink>
    </w:p>
    <w:bookmarkEnd w:id="97"/>
    <w:bookmarkStart w:id="99"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8">
        <w:r>
          <w:rPr>
            <w:rStyle w:val="Hyperlink"/>
          </w:rPr>
          <w:t xml:space="preserve">https://doi.org/10.1111/ecog.02881</w:t>
        </w:r>
      </w:hyperlink>
    </w:p>
    <w:bookmarkEnd w:id="99"/>
    <w:bookmarkStart w:id="101"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0">
        <w:r>
          <w:rPr>
            <w:rStyle w:val="Hyperlink"/>
          </w:rPr>
          <w:t xml:space="preserve">https://doi.org/10.5772/28441</w:t>
        </w:r>
      </w:hyperlink>
    </w:p>
    <w:bookmarkEnd w:id="101"/>
    <w:bookmarkStart w:id="103"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2">
        <w:r>
          <w:rPr>
            <w:rStyle w:val="Hyperlink"/>
          </w:rPr>
          <w:t xml:space="preserve">https://doi.org/10.1016/j.rse.2013.12.008</w:t>
        </w:r>
      </w:hyperlink>
    </w:p>
    <w:bookmarkEnd w:id="103"/>
    <w:bookmarkStart w:id="105"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4">
        <w:r>
          <w:rPr>
            <w:rStyle w:val="Hyperlink"/>
          </w:rPr>
          <w:t xml:space="preserve">http://queimadas.dgi.inpe.br</w:t>
        </w:r>
      </w:hyperlink>
    </w:p>
    <w:bookmarkEnd w:id="105"/>
    <w:bookmarkStart w:id="107"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6">
        <w:r>
          <w:rPr>
            <w:rStyle w:val="Hyperlink"/>
          </w:rPr>
          <w:t xml:space="preserve">https://doi.org/10.5558/tfc65258-4</w:t>
        </w:r>
      </w:hyperlink>
    </w:p>
    <w:bookmarkEnd w:id="107"/>
    <w:bookmarkStart w:id="109"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08">
        <w:r>
          <w:rPr>
            <w:rStyle w:val="Hyperlink"/>
          </w:rPr>
          <w:t xml:space="preserve">https://doi.org/10.2307/143141</w:t>
        </w:r>
      </w:hyperlink>
    </w:p>
    <w:bookmarkEnd w:id="109"/>
    <w:bookmarkStart w:id="111"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0">
        <w:r>
          <w:rPr>
            <w:rStyle w:val="Hyperlink"/>
          </w:rPr>
          <w:t xml:space="preserve">https://doi.org/10.1016/j.jaridenv.2014.11.009</w:t>
        </w:r>
      </w:hyperlink>
    </w:p>
    <w:bookmarkEnd w:id="111"/>
    <w:bookmarkStart w:id="112"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4" Target="http://queimadas.dgi.inpe.br" TargetMode="External" /><Relationship Type="http://schemas.openxmlformats.org/officeDocument/2006/relationships/hyperlink" Id="rId85" Target="https://chaco.mapbiomas.org/" TargetMode="External" /><Relationship Type="http://schemas.openxmlformats.org/officeDocument/2006/relationships/hyperlink" Id="rId72" Target="https://doi.org/10.1007/s10584-015-1521-0" TargetMode="External" /><Relationship Type="http://schemas.openxmlformats.org/officeDocument/2006/relationships/hyperlink" Id="rId110" Target="https://doi.org/10.1016/j.jaridenv.2014.11.009" TargetMode="External" /><Relationship Type="http://schemas.openxmlformats.org/officeDocument/2006/relationships/hyperlink" Id="rId91" Target="https://doi.org/10.1016/j.pecon.2021.06.005" TargetMode="External" /><Relationship Type="http://schemas.openxmlformats.org/officeDocument/2006/relationships/hyperlink" Id="rId102" Target="https://doi.org/10.1016/j.rse.2013.12.008" TargetMode="External" /><Relationship Type="http://schemas.openxmlformats.org/officeDocument/2006/relationships/hyperlink" Id="rId78" Target="https://doi.org/10.1038/ncomms8537" TargetMode="External" /><Relationship Type="http://schemas.openxmlformats.org/officeDocument/2006/relationships/hyperlink" Id="rId94" Target="https://doi.org/10.1038/s41467-020-18321-y" TargetMode="External" /><Relationship Type="http://schemas.openxmlformats.org/officeDocument/2006/relationships/hyperlink" Id="rId83" Target="https://doi.org/10.1038/s42256-019-0138-9" TargetMode="External" /><Relationship Type="http://schemas.openxmlformats.org/officeDocument/2006/relationships/hyperlink" Id="rId70" Target="https://doi.org/10.1071/WF08187" TargetMode="External" /><Relationship Type="http://schemas.openxmlformats.org/officeDocument/2006/relationships/hyperlink" Id="rId98"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4" Target="https://doi.org/10.1126/science.1244693" TargetMode="External" /><Relationship Type="http://schemas.openxmlformats.org/officeDocument/2006/relationships/hyperlink" Id="rId76" Target="https://doi.org/10.1139/er-2020-0019" TargetMode="External" /><Relationship Type="http://schemas.openxmlformats.org/officeDocument/2006/relationships/hyperlink" Id="rId89" Target="https://doi.org/10.1145/1102351.1102430" TargetMode="External" /><Relationship Type="http://schemas.openxmlformats.org/officeDocument/2006/relationships/hyperlink" Id="rId96" Target="https://doi.org/10.1145/3299869.3320212" TargetMode="External" /><Relationship Type="http://schemas.openxmlformats.org/officeDocument/2006/relationships/hyperlink" Id="rId108" Target="https://doi.org/10.2307/143141" TargetMode="External" /><Relationship Type="http://schemas.openxmlformats.org/officeDocument/2006/relationships/hyperlink" Id="rId81"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87" Target="https://doi.org/10.5194/essd-13-4349-2021" TargetMode="External" /><Relationship Type="http://schemas.openxmlformats.org/officeDocument/2006/relationships/hyperlink" Id="rId60"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6" Target="https://doi.org/10.5558/tfc65258-4" TargetMode="External" /><Relationship Type="http://schemas.openxmlformats.org/officeDocument/2006/relationships/hyperlink" Id="rId100"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04" Target="http://queimadas.dgi.inpe.br" TargetMode="External" /><Relationship Type="http://schemas.openxmlformats.org/officeDocument/2006/relationships/hyperlink" Id="rId85" Target="https://chaco.mapbiomas.org/" TargetMode="External" /><Relationship Type="http://schemas.openxmlformats.org/officeDocument/2006/relationships/hyperlink" Id="rId72" Target="https://doi.org/10.1007/s10584-015-1521-0" TargetMode="External" /><Relationship Type="http://schemas.openxmlformats.org/officeDocument/2006/relationships/hyperlink" Id="rId110" Target="https://doi.org/10.1016/j.jaridenv.2014.11.009" TargetMode="External" /><Relationship Type="http://schemas.openxmlformats.org/officeDocument/2006/relationships/hyperlink" Id="rId91" Target="https://doi.org/10.1016/j.pecon.2021.06.005" TargetMode="External" /><Relationship Type="http://schemas.openxmlformats.org/officeDocument/2006/relationships/hyperlink" Id="rId102" Target="https://doi.org/10.1016/j.rse.2013.12.008" TargetMode="External" /><Relationship Type="http://schemas.openxmlformats.org/officeDocument/2006/relationships/hyperlink" Id="rId78" Target="https://doi.org/10.1038/ncomms8537" TargetMode="External" /><Relationship Type="http://schemas.openxmlformats.org/officeDocument/2006/relationships/hyperlink" Id="rId94" Target="https://doi.org/10.1038/s41467-020-18321-y" TargetMode="External" /><Relationship Type="http://schemas.openxmlformats.org/officeDocument/2006/relationships/hyperlink" Id="rId83" Target="https://doi.org/10.1038/s42256-019-0138-9" TargetMode="External" /><Relationship Type="http://schemas.openxmlformats.org/officeDocument/2006/relationships/hyperlink" Id="rId70" Target="https://doi.org/10.1071/WF08187" TargetMode="External" /><Relationship Type="http://schemas.openxmlformats.org/officeDocument/2006/relationships/hyperlink" Id="rId98"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4" Target="https://doi.org/10.1126/science.1244693" TargetMode="External" /><Relationship Type="http://schemas.openxmlformats.org/officeDocument/2006/relationships/hyperlink" Id="rId76" Target="https://doi.org/10.1139/er-2020-0019" TargetMode="External" /><Relationship Type="http://schemas.openxmlformats.org/officeDocument/2006/relationships/hyperlink" Id="rId89" Target="https://doi.org/10.1145/1102351.1102430" TargetMode="External" /><Relationship Type="http://schemas.openxmlformats.org/officeDocument/2006/relationships/hyperlink" Id="rId96" Target="https://doi.org/10.1145/3299869.3320212" TargetMode="External" /><Relationship Type="http://schemas.openxmlformats.org/officeDocument/2006/relationships/hyperlink" Id="rId108" Target="https://doi.org/10.2307/143141" TargetMode="External" /><Relationship Type="http://schemas.openxmlformats.org/officeDocument/2006/relationships/hyperlink" Id="rId81"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87" Target="https://doi.org/10.5194/essd-13-4349-2021" TargetMode="External" /><Relationship Type="http://schemas.openxmlformats.org/officeDocument/2006/relationships/hyperlink" Id="rId60"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6" Target="https://doi.org/10.5558/tfc65258-4" TargetMode="External" /><Relationship Type="http://schemas.openxmlformats.org/officeDocument/2006/relationships/hyperlink" Id="rId100"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2026-10-28T22:29:39Z</dcterms:created>
  <dcterms:modified xsi:type="dcterms:W3CDTF">2026-10-28T22:29:39Z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