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A reproducible computational framework for decoupled wildfire ignition and propagation benchmarking in the Gran Chaco (2018–2025)</w:t>
      </w:r>
    </w:p>
    <w:p>
      <w:pPr>
        <w:pStyle w:val="Subtitle"/>
      </w:pPr>
      <w:r>
        <w:t>D2 targets, M3/M2 inference, and an open benchmark against Canadian FWI and INPE</w:t>
      </w:r>
    </w:p>
    <w:bookmarkStart w:id="9" w:name="abstract"/>
    <w:p>
      <w:pPr>
        <w:pStyle w:val="Heading1"/>
      </w:pPr>
      <w:r>
        <w:t>Abstract</w:t>
      </w:r>
    </w:p>
    <w:p>
      <w:pPr>
        <w:pStyle w:val="FirstParagraph"/>
      </w:pPr>
      <w:r>
        <w:t>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t</w:t>
      </w:r>
      <w:r>
        <w:t xml:space="preserve"> </w:t>
      </w:r>
      <w:r>
        <w:t>with no fire within 25 km on day</w:t>
      </w:r>
      <w:r>
        <w:t xml:space="preserve"> </w:t>
      </w:r>
      <w:r>
        <w:rPr>
          <w:i/>
          <w:iCs/>
        </w:rPr>
        <w:t>t</w:t>
      </w:r>
      <w:r>
        <w:t>−1 and no same-cell fire in the previous 10 days; propagation is evaluated within 25 km of a day</w:t>
      </w:r>
      <w:r>
        <w:t xml:space="preserve"> </w:t>
      </w:r>
      <w:r>
        <w:rPr>
          <w:i/>
          <w:iCs/>
        </w:rPr>
        <w:t>t</w:t>
      </w:r>
      <w:r>
        <w:t>−1 fire. A biophysical gate removes non-combustible and wet cell-days. A hybrid LightGBM model (M3) predicts ignition without day</w:t>
      </w:r>
      <w:r>
        <w:t xml:space="preserve"> </w:t>
      </w:r>
      <w:r>
        <w:rPr>
          <w:i/>
          <w:iCs/>
        </w:rPr>
        <w:t>t</w:t>
      </w:r>
      <w:r>
        <w:t>−1 fire inputs, using M2 as a fallback for cells without history and M1 as a biophysical baseline. On 2023 validation, M3 reaches an area under the receiver operating characteristic curve (ROC-AUC) of 0.7844/0.7628 (Chaco/Oriental) versus 0.7817/0.7496 for M2. In 2023 spatial blocks, M2 is most robust (0.6773/0.7470); M1 does not beat M2 on cells without history. An independent confirmation holdout also retained M2 (0.6871/0.6621). On the retrospective 2024–2025 test, M3 reaches 0.8021/0.7534 versus 0.5173/0.5564 for the Canadian Forest Fire Weather Index (FWI) and 0.5389/0.4990 for the INPE Risco de Fogo; propagation reaches 0.9039/0.7859. Population-level ignition precision is 0.082 %/0.198 % (95 % CI 0.075–0.088/0.178–0.222), and decision value is concentrated in propagation, confirming a screening-and-prioritization role rather than a stand-alone warning system. The contribution is the open D2 operator, gated inference and evaluation harness, released as reproducible software.</w:t>
      </w:r>
    </w:p>
    <w:p>
      <w:pPr>
        <w:pStyle w:val="BodyText"/>
      </w:pPr>
      <w:r>
        <w:rPr>
          <w:b/>
          <w:bCs/>
        </w:rPr>
        <w:t>Keywords:</w:t>
      </w:r>
      <w:r>
        <w:t xml:space="preserve"> </w:t>
      </w:r>
      <w:r>
        <w:t>Wildfire nowcasting; GeoAI; reproducibility; spatial cross-validation; LightGBM; Gran Chaco.</w:t>
      </w:r>
    </w:p>
    <w:bookmarkEnd w:id="9"/>
    <w:bookmarkStart w:id="10" w:name="introduction"/>
    <w:p>
      <w:pPr>
        <w:pStyle w:val="Heading1"/>
      </w:pPr>
      <w:r>
        <w:t>1. Introduction</w:t>
      </w:r>
    </w:p>
    <w:p>
      <w:pPr>
        <w:pStyle w:val="FirstParagraph"/>
      </w:pPr>
      <w:r>
        <w:t>Vegetation fires in the South American Gran Chaco are a recurring threat to ecosystems, regional climate and public health</w:t>
      </w:r>
      <w:r>
        <w:t xml:space="preserve"> </w:t>
      </w:r>
      <w:r>
        <w:t>(Baumann et al., 2017; Flannigan et al., 2009; Jolly et al., 2015)</w:t>
      </w:r>
      <w:r>
        <w:t>. The region combines some of the fastest agricultural frontiers in South America with prolonged dry seasons and extreme heat</w:t>
      </w:r>
      <w:r>
        <w:t xml:space="preserve"> </w:t>
      </w:r>
      <w:r>
        <w:t>(Alvarado et al., 2018; Pivello et al., 2021; Vallejos et al., 2015)</w:t>
      </w:r>
      <w:r>
        <w:t>. Operational fire danger there is still largely based on fire-weather indices developed for temperate or tropical savanna systems: the Canadian Forest Fire Weather Index (FWI)</w:t>
      </w:r>
      <w:r>
        <w:t xml:space="preserve"> </w:t>
      </w:r>
      <w:r>
        <w:t>(San-Miguel-Ayanz et al., 2012; Stocks et al., 1989; Van Wagner, 1987)</w:t>
      </w:r>
      <w:r>
        <w:t xml:space="preserve"> </w:t>
      </w:r>
      <w:r>
        <w:t>and the Instituto Nacional de Pesquisas Espaciais (INPE) Risco de Fogo</w:t>
      </w:r>
      <w:r>
        <w:t xml:space="preserve"> </w:t>
      </w:r>
      <w:r>
        <w:t>(Setzer et al., 2019)</w:t>
      </w:r>
      <w:r>
        <w:t>. These indices are widely used, but they were not designed for the moisture-limited, fuel-limited and strongly anthropogenic ignition regime of the Dry Chaco.</w:t>
      </w:r>
    </w:p>
    <w:p>
      <w:pPr>
        <w:pStyle w:val="BodyText"/>
      </w:pPr>
      <w:r>
        <w:t>Machine learning has become a common alternative for fire susceptibility mapping</w:t>
      </w:r>
      <w:r>
        <w:t xml:space="preserve"> </w:t>
      </w:r>
      <w:r>
        <w:t>(Barmpoutis et al., 2020; Jain et al., 2020)</w:t>
      </w:r>
      <w:r>
        <w:t>, typically with gradient-boosted trees</w:t>
      </w:r>
      <w:r>
        <w:t xml:space="preserve"> </w:t>
      </w:r>
      <w:r>
        <w:t>(Ke et al., 2017)</w:t>
      </w:r>
      <w:r>
        <w:t>. Two methodological problems limit the operational value of many published models. First, when spatial lags or</w:t>
      </w:r>
      <w:r>
        <w:t xml:space="preserve"> </w:t>
      </w:r>
      <w:r>
        <w:rPr>
          <w:i/>
          <w:iCs/>
        </w:rPr>
        <w:t>t</w:t>
      </w:r>
      <w:r>
        <w:t>−1 fire variables enter the ignition layer, the model learns persistence rather than ignition; reported discrimination can be high while the model is unable to anticipate new ignitions</w:t>
      </w:r>
      <w:r>
        <w:t xml:space="preserve"> </w:t>
      </w:r>
      <w:r>
        <w:t>(Dormann et al., 2007; Legendre, 1993; Ploton et al., 2020; Roberts et al., 2017; Tobler, 1970)</w:t>
      </w:r>
      <w:r>
        <w:t>.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We address these methodological and operational constraints over the continuous 2018–2025 Visible Infrared Imaging Radiometer Suite (VIIRS) record (Suomi-NPP, NOAA-20 and NOAA-21) across a 1-km² national grid of Paraguay (400 006 cells)</w:t>
      </w:r>
      <w:r>
        <w:t xml:space="preserve"> </w:t>
      </w:r>
      <w:r>
        <w:t>(Schroeder et al., 2014)</w:t>
      </w:r>
      <w:r>
        <w:t>. While keeping the underlying learner intentionally replaceable, we formalize four reusable computational contributions:</w:t>
      </w:r>
    </w:p>
    <w:p>
      <w:pPr>
        <w:pStyle w:val="Compact"/>
        <w:numPr>
          <w:ilvl w:val="0"/>
          <w:numId w:val="1001"/>
        </w:numPr>
      </w:pPr>
      <w:r>
        <w:rPr>
          <w:b/>
          <w:bCs/>
        </w:rPr>
        <w:t>D2 target operator.</w:t>
      </w:r>
      <w:r>
        <w:t xml:space="preserve"> </w:t>
      </w:r>
      <w:r>
        <w:t>A formal target contract that separates primary ignition from tactical propagation, prevents persistence from being mixed with ignition and makes leakage checks explicit.</w:t>
      </w:r>
    </w:p>
    <w:p>
      <w:pPr>
        <w:pStyle w:val="Compact"/>
        <w:numPr>
          <w:ilvl w:val="0"/>
          <w:numId w:val="1001"/>
        </w:numPr>
      </w:pPr>
      <w:r>
        <w:rPr>
          <w:b/>
          <w:bCs/>
        </w:rPr>
        <w:t>Gated M3/M2 inference.</w:t>
      </w:r>
      <w:r>
        <w:t xml:space="preserve"> </w:t>
      </w:r>
      <w:r>
        <w:t>A two-stage policy that combines biophysical screening with a recurrence-aware hybrid model (M3) where fire history exists and a historical-anchor fallback (M2) where it does not.</w:t>
      </w:r>
    </w:p>
    <w:p>
      <w:pPr>
        <w:pStyle w:val="Compact"/>
        <w:numPr>
          <w:ilvl w:val="0"/>
          <w:numId w:val="1001"/>
        </w:numPr>
      </w:pPr>
      <w:r>
        <w:rPr>
          <w:b/>
          <w:bCs/>
        </w:rPr>
        <w:t>Reproducible evaluation harness.</w:t>
      </w:r>
      <w:r>
        <w:t xml:space="preserve"> </w:t>
      </w:r>
      <w:r>
        <w:t>A unified protocol that integrates temporal holdout, spatial blocks, date-grouped bootstrap, lead-time analysis, conformal coverage and cost-loss evaluation.</w:t>
      </w:r>
    </w:p>
    <w:p>
      <w:pPr>
        <w:pStyle w:val="Compact"/>
        <w:numPr>
          <w:ilvl w:val="0"/>
          <w:numId w:val="1001"/>
        </w:numPr>
      </w:pPr>
      <w:r>
        <w:rPr>
          <w:b/>
          <w:bCs/>
        </w:rPr>
        <w:t>Open software and data.</w:t>
      </w:r>
      <w:r>
        <w:t xml:space="preserve"> </w:t>
      </w:r>
      <w:r>
        <w:t>A vectorized, zero-copy Polars/DuckDB pipeline with public code, archived DOIs and automated tests.</w:t>
      </w:r>
    </w:p>
    <w:p>
      <w:pPr>
        <w:pStyle w:val="FirstParagraph"/>
      </w:pPr>
      <w:r>
        <w:t>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value. Section 4 discusses why canonical indices fail, what decoupling buys and where it fails, and the limitations of the study. Section 5 concludes.</w:t>
      </w:r>
    </w:p>
    <w:bookmarkEnd w:id="10"/>
    <w:bookmarkStart w:id="23" w:name="computational-framework"/>
    <w:p>
      <w:pPr>
        <w:pStyle w:val="Heading1"/>
      </w:pPr>
      <w:r>
        <w:t>2. Computational framework</w:t>
      </w:r>
    </w:p>
    <w:bookmarkStart w:id="11" w:name="d2-target-operator"/>
    <w:p>
      <w:pPr>
        <w:pStyle w:val="Heading2"/>
      </w:pPr>
      <w:r>
        <w:t>2.1 D2 target operator</w:t>
      </w:r>
    </w:p>
    <w:p>
      <w:pPr>
        <w:pStyle w:val="FirstParagraph"/>
      </w:pPr>
      <w:r>
        <w:t>The target operator D2 is applied to the national 1-km² grid and to all daily VIIRS observations from 2018 to 2025. For a cell</w:t>
      </w:r>
      <w:r>
        <w:t xml:space="preserve"> </w:t>
      </w:r>
      <w:r>
        <w:rPr>
          <w:i/>
          <w:iCs/>
        </w:rPr>
        <w:t>i</w:t>
      </w:r>
      <w:r>
        <w:t xml:space="preserve"> </w:t>
      </w:r>
      <w:r>
        <w:t>and day</w:t>
      </w:r>
      <w:r>
        <w:t xml:space="preserve"> </w:t>
      </w:r>
      <w:r>
        <w:rPr>
          <w:i/>
          <w:iCs/>
        </w:rPr>
        <w:t>t</w:t>
      </w:r>
      <w:r>
        <w:t>:</w:t>
      </w:r>
    </w:p>
    <w:p>
      <w:pPr>
        <w:pStyle w:val="Compact"/>
        <w:numPr>
          <w:ilvl w:val="0"/>
          <w:numId w:val="1002"/>
        </w:numPr>
      </w:pPr>
      <w:r>
        <w:rPr>
          <w:b/>
          <w:bCs/>
        </w:rPr>
        <w:t>Primary ignition</w:t>
      </w:r>
      <w:r>
        <w:t xml:space="preserve"> </w:t>
      </w:r>
      <w:r>
        <w:t>is a fire at (</w:t>
      </w:r>
      <w:r>
        <w:rPr>
          <w:i/>
          <w:iCs/>
        </w:rPr>
        <w:t>i</w:t>
      </w:r>
      <w:r>
        <w:t>,</w:t>
      </w:r>
      <w:r>
        <w:t xml:space="preserve"> </w:t>
      </w:r>
      <w:r>
        <w:rPr>
          <w:i/>
          <w:iCs/>
        </w:rPr>
        <w:t>t</w:t>
      </w:r>
      <w:r>
        <w:t>) when there is no fire within 25 km at</w:t>
      </w:r>
      <w:r>
        <w:t xml:space="preserve"> </w:t>
      </w:r>
      <w:r>
        <w:rPr>
          <w:i/>
          <w:iCs/>
        </w:rPr>
        <w:t>t</w:t>
      </w:r>
      <w:r>
        <w:t>−1 and no fire in cell</w:t>
      </w:r>
      <w:r>
        <w:t xml:space="preserve"> </w:t>
      </w:r>
      <w:r>
        <w:rPr>
          <w:i/>
          <w:iCs/>
        </w:rPr>
        <w:t>i</w:t>
      </w:r>
      <w:r>
        <w:t xml:space="preserve"> </w:t>
      </w:r>
      <w:r>
        <w:t>during the previous 10 days.</w:t>
      </w:r>
    </w:p>
    <w:p>
      <w:pPr>
        <w:pStyle w:val="Compact"/>
        <w:numPr>
          <w:ilvl w:val="0"/>
          <w:numId w:val="1002"/>
        </w:numPr>
      </w:pPr>
      <w:r>
        <w:rPr>
          <w:b/>
          <w:bCs/>
        </w:rPr>
        <w:t>Tactical propagation</w:t>
      </w:r>
      <w:r>
        <w:t xml:space="preserve"> </w:t>
      </w:r>
      <w:r>
        <w:t>is a fire at (</w:t>
      </w:r>
      <w:r>
        <w:rPr>
          <w:i/>
          <w:iCs/>
        </w:rPr>
        <w:t>i</w:t>
      </w:r>
      <w:r>
        <w:t>,</w:t>
      </w:r>
      <w:r>
        <w:t xml:space="preserve"> </w:t>
      </w:r>
      <w:r>
        <w:rPr>
          <w:i/>
          <w:iCs/>
        </w:rPr>
        <w:t>t</w:t>
      </w:r>
      <w:r>
        <w:t>) within 25 km of at least one fire at</w:t>
      </w:r>
      <w:r>
        <w:t xml:space="preserve"> </w:t>
      </w:r>
      <w:r>
        <w:rPr>
          <w:i/>
          <w:iCs/>
        </w:rPr>
        <w:t>t</w:t>
      </w:r>
      <w:r>
        <w:t>−1.</w:t>
      </w:r>
    </w:p>
    <w:p>
      <w:pPr>
        <w:pStyle w:val="FirstParagraph"/>
      </w:pPr>
      <w:r>
        <w:t>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Formally, let</w:t>
      </w:r>
      <w:r>
        <w:t xml:space="preserve"> </w:t>
      </w:r>
      <w:r>
        <w:rPr>
          <w:i/>
          <w:iCs/>
        </w:rPr>
        <w:t>F</w:t>
      </w:r>
      <w:r>
        <w:rPr>
          <w:i/>
          <w:iCs/>
          <w:vertAlign w:val="subscript"/>
        </w:rPr>
        <w:t>t</w:t>
      </w:r>
      <w:r>
        <w:t xml:space="preserve"> </w:t>
      </w:r>
      <w:r>
        <w:t>be the set of cells with a thermal detection on day</w:t>
      </w:r>
      <w:r>
        <w:t xml:space="preserve"> </w:t>
      </w:r>
      <w:r>
        <w:rPr>
          <w:i/>
          <w:iCs/>
        </w:rPr>
        <w:t>t</w:t>
      </w:r>
      <w:r>
        <w:t>. D2 ignition at cell</w:t>
      </w:r>
      <w:r>
        <w:t xml:space="preserve"> </w:t>
      </w:r>
      <w:r>
        <w:rPr>
          <w:i/>
          <w:iCs/>
        </w:rPr>
        <w:t>i</w:t>
      </w:r>
      <w:r>
        <w:t xml:space="preserve"> </w:t>
      </w:r>
      <w:r>
        <w:t>and day</w:t>
      </w:r>
      <w:r>
        <w:t xml:space="preserve"> </w:t>
      </w:r>
      <w:r>
        <w:rPr>
          <w:i/>
          <w:iCs/>
        </w:rPr>
        <w:t>t</w:t>
      </w:r>
      <w:r>
        <w:t xml:space="preserve"> </w:t>
      </w:r>
      <w:r>
        <w:t>requires</w:t>
      </w:r>
      <w:r>
        <w:t xml:space="preserve"> </w:t>
      </w:r>
      <w:r>
        <w:rPr>
          <w:i/>
          <w:iCs/>
        </w:rPr>
        <w:t>i</w:t>
      </w:r>
      <w:r>
        <w:t xml:space="preserve"> </w:t>
      </w:r>
      <w:r>
        <w:t>∈</w:t>
      </w:r>
      <w:r>
        <w:t xml:space="preserve"> </w:t>
      </w:r>
      <w:r>
        <w:rPr>
          <w:i/>
          <w:iCs/>
        </w:rPr>
        <w:t>F</w:t>
      </w:r>
      <w:r>
        <w:rPr>
          <w:i/>
          <w:iCs/>
          <w:vertAlign w:val="subscript"/>
        </w:rPr>
        <w:t>t</w:t>
      </w:r>
      <w:r>
        <w:t>, no cell in</w:t>
      </w:r>
      <w:r>
        <w:t xml:space="preserve"> </w:t>
      </w:r>
      <w:r>
        <w:rPr>
          <w:i/>
          <w:iCs/>
        </w:rPr>
        <w:t>F</w:t>
      </w:r>
      <w:r>
        <w:rPr>
          <w:i/>
          <w:iCs/>
          <w:vertAlign w:val="subscript"/>
        </w:rPr>
        <w:t>t</w:t>
      </w:r>
      <w:r>
        <w:rPr>
          <w:vertAlign w:val="subscript"/>
        </w:rPr>
        <w:t>−1</w:t>
      </w:r>
      <w:r>
        <w:t xml:space="preserve"> </w:t>
      </w:r>
      <w:r>
        <w:t>within 25 km of</w:t>
      </w:r>
      <w:r>
        <w:t xml:space="preserve"> </w:t>
      </w:r>
      <w:r>
        <w:rPr>
          <w:i/>
          <w:iCs/>
        </w:rPr>
        <w:t>i</w:t>
      </w:r>
      <w:r>
        <w:t>, and no detection in cell</w:t>
      </w:r>
      <w:r>
        <w:t xml:space="preserve"> </w:t>
      </w:r>
      <w:r>
        <w:rPr>
          <w:i/>
          <w:iCs/>
        </w:rPr>
        <w:t>i</w:t>
      </w:r>
      <w:r>
        <w:t xml:space="preserve"> </w:t>
      </w:r>
      <w:r>
        <w:t>during the ten preceding days. D2 propagation requires</w:t>
      </w:r>
      <w:r>
        <w:t xml:space="preserve"> </w:t>
      </w:r>
      <w:r>
        <w:rPr>
          <w:i/>
          <w:iCs/>
        </w:rPr>
        <w:t>i</w:t>
      </w:r>
      <w:r>
        <w:t xml:space="preserve"> </w:t>
      </w:r>
      <w:r>
        <w:t>∈</w:t>
      </w:r>
      <w:r>
        <w:t xml:space="preserve"> </w:t>
      </w:r>
      <w:r>
        <w:rPr>
          <w:i/>
          <w:iCs/>
        </w:rPr>
        <w:t>F</w:t>
      </w:r>
      <w:r>
        <w:rPr>
          <w:i/>
          <w:iCs/>
          <w:vertAlign w:val="subscript"/>
        </w:rPr>
        <w:t>t</w:t>
      </w:r>
      <w:r>
        <w:t xml:space="preserve"> </w:t>
      </w:r>
      <w:r>
        <w:t>and at least one cell in</w:t>
      </w:r>
      <w:r>
        <w:t xml:space="preserve"> </w:t>
      </w:r>
      <w:r>
        <w:rPr>
          <w:i/>
          <w:iCs/>
        </w:rPr>
        <w:t>F</w:t>
      </w:r>
      <w:r>
        <w:rPr>
          <w:i/>
          <w:iCs/>
          <w:vertAlign w:val="subscript"/>
        </w:rPr>
        <w:t>t</w:t>
      </w:r>
      <w:r>
        <w:rPr>
          <w:vertAlign w:val="subscript"/>
        </w:rPr>
        <w:t>−1</w:t>
      </w:r>
      <w:r>
        <w:t xml:space="preserve"> </w:t>
      </w:r>
      <w:r>
        <w:t>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2.2 Biophysical gate and decoupled inference</w:t>
      </w:r>
    </w:p>
    <w:p>
      <w:pPr>
        <w:pStyle w:val="FirstParagraph"/>
      </w:pPr>
      <w:r>
        <w:t>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freq_hist_1km &gt; 0</w:t>
      </w:r>
      <w:r>
        <w:t>)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color w:val="000000"/>
          </w:rPr>
          <w:t xml:space="preserve">Figure 1</w:t>
        </w:r>
      </w:hyperlink>
      <w:r>
        <w:t>.</w:t>
      </w:r>
    </w:p>
    <w:p>
      <w:pPr>
        <w:pStyle w:val="BodyText"/>
      </w:pPr>
      <w:r>
        <w:t>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freq_hist_1km = 0</w:t>
      </w:r>
      <w:r>
        <w:t>;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1: Computational framework: multi-source inputs, D2 target operator, biophysical gate, decoupled M3/M2 ignition and t-1 propagation, reproducible evaluation and open outputs.</w:t>
            </w:r>
          </w:p>
          <w:bookmarkEnd w:id="15"/>
        </w:tc>
      </w:tr>
    </w:tbl>
    <w:p>
      <w:pPr>
        <w:pStyle w:val="BodyText"/>
      </w:pPr>
      <w:r>
        <w:t>Probabilities are calibrated with a monotonic bounded Platt transform. The monotonic constraint preserves the ranking of the tree ensemble while preventing the slope inversion that can occur under severe class imbalance</w:t>
      </w:r>
      <w:r>
        <w:t xml:space="preserve"> </w:t>
      </w:r>
      <w:r>
        <w:t>(Niculescu-Mizil &amp; Caruana, 2005; Platt, 1999)</w:t>
      </w:r>
      <w:r>
        <w:t>. The calibration is fitted on 2023 and frozen for the 2024–2025 test. Calibration details, including the monotonicity proof and the full hyperparameter table, are in Supplementary Note S2 and Table S2.</w:t>
      </w:r>
    </w:p>
    <w:p>
      <w:pPr>
        <w:pStyle w:val="BodyText"/>
      </w:pPr>
      <w:r>
        <w:t>The same calibration and cutoff logic is used for M1, M2, M3 and propagation. Cutoffs are selected on validation with an F0.5 (</w:t>
      </w:r>
      <w:r>
        <w:rPr>
          <w:i/>
          <w:iCs/>
        </w:rPr>
        <w:t>β</w:t>
      </w:r>
      <w:r>
        <w:t xml:space="preserve"> </w:t>
      </w:r>
      <w:r>
        <w:t>=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2.3 Reproducible evaluation harness</w:t>
      </w:r>
    </w:p>
    <w:p>
      <w:pPr>
        <w:pStyle w:val="FirstParagraph"/>
      </w:pPr>
      <w:r>
        <w:t>The evaluation harness is part of the computational contribution. It contains five components:</w:t>
      </w:r>
    </w:p>
    <w:p>
      <w:pPr>
        <w:pStyle w:val="Compact"/>
        <w:numPr>
          <w:ilvl w:val="0"/>
          <w:numId w:val="1003"/>
        </w:numPr>
      </w:pPr>
      <w:r>
        <w:t>A strictly temporal split: training 2018–2022, validation 2023, test 2024–2025.</w:t>
      </w:r>
    </w:p>
    <w:p>
      <w:pPr>
        <w:pStyle w:val="Compact"/>
        <w:numPr>
          <w:ilvl w:val="0"/>
          <w:numId w:val="1003"/>
        </w:numPr>
      </w:pPr>
      <w:r>
        <w:t>A spatial block holdout of 50 km with a 20-km buffer, used to separate temporal from spatial generalization.</w:t>
      </w:r>
    </w:p>
    <w:p>
      <w:pPr>
        <w:pStyle w:val="Compact"/>
        <w:numPr>
          <w:ilvl w:val="0"/>
          <w:numId w:val="1003"/>
        </w:numPr>
      </w:pPr>
      <w:r>
        <w:t>A paired bootstrap grouped by date (</w:t>
      </w:r>
      <w:r>
        <w:rPr>
          <w:rStyle w:val="VerbatimChar"/>
        </w:rPr>
        <w:t>B = 1 000</w:t>
      </w:r>
      <w:r>
        <w:t>) for confidence intervals and differences against FWI and INPE.</w:t>
      </w:r>
    </w:p>
    <w:p>
      <w:pPr>
        <w:pStyle w:val="Compact"/>
        <w:numPr>
          <w:ilvl w:val="0"/>
          <w:numId w:val="1003"/>
        </w:numPr>
      </w:pPr>
      <w:r>
        <w:t>A lead-time evaluation using t-1 weather to quantify the nowcast-to-forecast gap.</w:t>
      </w:r>
    </w:p>
    <w:p>
      <w:pPr>
        <w:pStyle w:val="Compact"/>
        <w:numPr>
          <w:ilvl w:val="0"/>
          <w:numId w:val="1003"/>
        </w:numPr>
      </w:pPr>
      <w:r>
        <w:t>A population-level and cost-loss evaluation to move beyond case-control precision.</w:t>
      </w:r>
    </w:p>
    <w:p>
      <w:pPr>
        <w:pStyle w:val="FirstParagraph"/>
      </w:pPr>
      <w:r>
        <w:t>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 the robustness protocol is in Supplementary Note S5.</w:t>
      </w:r>
    </w:p>
    <w:bookmarkEnd w:id="17"/>
    <w:bookmarkStart w:id="22" w:name="data-and-implementation"/>
    <w:p>
      <w:pPr>
        <w:pStyle w:val="Heading2"/>
      </w:pPr>
      <w:r>
        <w:t>2.4 Data and implementation</w:t>
      </w:r>
    </w:p>
    <w:p>
      <w:pPr>
        <w:pStyle w:val="FirstParagraph"/>
      </w:pPr>
      <w:r>
        <w:t>The grid contains 400 006 cells of 1 km² in Universal Transverse Mercator (UTM) zone 21S. Daily inputs are VIIRS 375 m active fire detections from Suomi-NPP, NOAA-20 and NOAA-21</w:t>
      </w:r>
      <w:r>
        <w:t xml:space="preserve"> </w:t>
      </w:r>
      <w:r>
        <w:t>(Schroeder et al., 2014)</w:t>
      </w:r>
      <w:r>
        <w:t>; ERA5-Land 3-hourly meteorology aggregated to daily values</w:t>
      </w:r>
      <w:r>
        <w:t xml:space="preserve"> </w:t>
      </w:r>
      <w:r>
        <w:t>(Muñoz-Sabater et al., 2021)</w:t>
      </w:r>
      <w:r>
        <w:t>; annual MapBiomas Collection 2 maps (2017–2023), joined to each row with the prior-year map</w:t>
      </w:r>
      <w:r>
        <w:t xml:space="preserve"> </w:t>
      </w:r>
      <w:r>
        <w:t>(MapBiomas Chaco, 2023)</w:t>
      </w:r>
      <w:r>
        <w:t>; Hansen Global Forest Change (GFC-2025 v1.13) tree-cover loss at t-1 and t-2</w:t>
      </w:r>
      <w:r>
        <w:t xml:space="preserve"> </w:t>
      </w:r>
      <w:r>
        <w:t>(Hansen et al., 2013)</w:t>
      </w:r>
      <w:r>
        <w:t>; and causal historical priors built with a monthly cutoff and a rolling three-year window. Raw data are public but are not redistributed; processed data and trained models are archived with a DOI.</w:t>
      </w:r>
    </w:p>
    <w:p>
      <w:pPr>
        <w:pStyle w:val="BodyText"/>
      </w:pPr>
      <w:r>
        <w:t>The pipeline uses a deterministic integer</w:t>
      </w:r>
      <w:r>
        <w:t xml:space="preserve"> </w:t>
      </w:r>
      <w:r>
        <w:rPr>
          <w:rStyle w:val="VerbatimChar"/>
        </w:rPr>
        <w:t>cell_id</w:t>
      </w:r>
      <w:r>
        <w:t>, a NumPy lookup in O(1), and columnar joins in Polars and DuckDB</w:t>
      </w:r>
      <w:r>
        <w:t xml:space="preserve"> </w:t>
      </w:r>
      <w:r>
        <w:t>(Raasveldt &amp; Mühleisen, 2019)</w:t>
      </w:r>
      <w:r>
        <w:t>.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color w:val="000000"/>
          </w:rPr>
          <w:t xml:space="preserve">Figure 2</w:t>
        </w:r>
      </w:hyperlink>
      <w:r>
        <w:t>; the per-stage profile is in Supplementary Table S4.</w:t>
      </w:r>
    </w:p>
    <w:p>
      <w:pPr>
        <w:pStyle w:val="BodyText"/>
      </w:pPr>
      <w:r>
        <w:t>Data quality checks are part of the pipeline: duplicate VIIRS overpasses are collapsed,</w:t>
      </w:r>
      <w:r>
        <w:t xml:space="preserve"> </w:t>
      </w:r>
      <w:r>
        <w:rPr>
          <w:rStyle w:val="VerbatimChar"/>
        </w:rPr>
        <w:t>low</w:t>
      </w:r>
      <w:r>
        <w:t xml:space="preserve"> </w:t>
      </w:r>
      <w:r>
        <w:t>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2: Study domain and regional split: Dry Chaco (west) and Oriental Region (east) over the national 1-km² grid (EPSG:32721).</w:t>
            </w:r>
          </w:p>
          <w:bookmarkEnd w:id="21"/>
        </w:tc>
      </w:tr>
    </w:tbl>
    <w:bookmarkEnd w:id="22"/>
    <w:bookmarkEnd w:id="23"/>
    <w:bookmarkStart w:id="46" w:name="results"/>
    <w:p>
      <w:pPr>
        <w:pStyle w:val="Heading1"/>
      </w:pPr>
      <w:r>
        <w:t>3. Results</w:t>
      </w:r>
    </w:p>
    <w:bookmarkStart w:id="30" w:name="Xf03781f3b4098eeda0c4f5cb8fd9d1771128452"/>
    <w:p>
      <w:pPr>
        <w:pStyle w:val="Heading2"/>
      </w:pPr>
      <w:r>
        <w:t>3.1 Selection on 2023 validation and retrospective test</w:t>
      </w:r>
    </w:p>
    <w:p>
      <w:pPr>
        <w:pStyle w:val="FirstParagraph"/>
      </w:pPr>
      <w:r>
        <w:t>Model selection used only the 2023 validation set and the 2023 development spatial holdout. The 2024–2025 test was not used to select the model, variables or thresholds.</w:t>
      </w:r>
      <w:r>
        <w:t xml:space="preserve"> </w:t>
      </w:r>
      <w:hyperlink w:anchor="tbl-val">
        <w:r>
          <w:rPr>
            <w:rStyle w:val="Hyperlink"/>
            <w:color w:val="000000"/>
          </w:rPr>
          <w:t xml:space="preserve">Table 1</w:t>
        </w:r>
      </w:hyperlink>
      <w:r>
        <w:t xml:space="preserve"> </w:t>
      </w:r>
      <w:r>
        <w:t>summarizes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pStyle w:val="TableCaption"/>
              <w:keepNext/>
              <w:spacing w:before="120" w:after="120" w:line="240" w:lineRule="auto"/>
              <w:jc w:val="left"/>
            </w:pPr>
            <w:r>
              <w:rPr>
                <w:rFonts w:ascii="Times New Roman" w:hAnsi="Times New Roman" w:cs="Times New Roman" w:eastAsia="Times New Roman"/>
                <w:i w:val="0"/>
                <w:color w:val="000000"/>
                <w:sz w:val="20"/>
              </w:rPr>
              <w:t>Table 1: 2023 temporal validation (1:10 case-control). Selection was frozen before the 2024–2025 test was evaluated. The M1 baseline is reported in Supplementary Table S16.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0.7817</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0.2452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0.2933</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0.7844</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0.2542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0.2979</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0.7496</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0.2221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0.2631</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0.7628</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0.2441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0.2875</w:t>
                  </w:r>
                </w:p>
              </w:tc>
            </w:tr>
          </w:tbl>
          <w:bookmarkEnd w:id="24"/>
          <w:p/>
        </w:tc>
      </w:tr>
    </w:tbl>
    <w:p>
      <w:pPr>
        <w:pStyle w:val="BodyText"/>
      </w:pPr>
      <w:r>
        <w:t>The paired M3 − M2 difference was +0.0028 [+0.0001, +0.0054] ROC-AUC and +0.0089 [+0.0034, +0.0144] PR-AUC in Chaco, and +0.0132 [+0.0097, +0.0169] and +0.0221 [+0.0166, +0.0272] in Oriental (grouped-by-date bootstrap, B = 1 000).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color w:val="000000"/>
          </w:rPr>
          <w:t xml:space="preserve">Table 2</w:t>
        </w:r>
      </w:hyperlink>
      <w:r>
        <w:t xml:space="preserve"> </w:t>
      </w:r>
      <w:r>
        <w:t>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pStyle w:val="TableCaption"/>
              <w:keepNext/>
              <w:spacing w:before="120" w:after="120" w:line="240" w:lineRule="auto"/>
              <w:jc w:val="left"/>
            </w:pPr>
            <w:r>
              <w:rPr>
                <w:rFonts w:ascii="Times New Roman" w:hAnsi="Times New Roman" w:cs="Times New Roman" w:eastAsia="Times New Roman"/>
                <w:i w:val="0"/>
                <w:color w:val="000000"/>
                <w:sz w:val="20"/>
              </w:rPr>
              <w:t>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iCs/>
                <w:color w:val="000000"/>
                <w:sz w:val="20"/>
              </w:rPr>
              <w:t>β</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 0.5. Population metrics are in Supplementary Table S6.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24"/>
              <w:gridCol w:w="1728"/>
              <w:gridCol w:w="2232"/>
              <w:gridCol w:w="1080"/>
              <w:gridCol w:w="1152"/>
              <w:gridCol w:w="1080"/>
              <w:gridCol w:w="864"/>
            </w:tblGrid>
            <w:tr>
              <w:trPr>
                <w:cantSplit/>
                <w:tblHeader w:val="on"/>
              </w:trPr>
              <w:tc>
                <w:tcPr>
                  <w:tcW w:w="1224"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1728"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2232" w:type="dxa"/>
                </w:tcPr>
                <w:p>
                  <w:pPr>
                    <w:pStyle w:val="Compact"/>
                    <w:spacing w:line="240" w:lineRule="auto" w:before="0" w:after="0"/>
                    <w:jc w:val="left"/>
                    <w:jc w:val="center"/>
                  </w:pPr>
                  <w:r>
                    <w:rPr>
                      <w:rFonts w:ascii="Times New Roman" w:hAnsi="Times New Roman" w:cs="Times New Roman" w:eastAsia="Times New Roman"/>
                      <w:b/>
                      <w:color w:val="000000"/>
                      <w:sz w:val="18"/>
                    </w:rPr>
                    <w:t>ROC-AUC [95 % CI]</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1152" w:type="dxa"/>
                </w:tcPr>
                <w:p>
                  <w:pPr>
                    <w:pStyle w:val="Compact"/>
                    <w:spacing w:line="240" w:lineRule="auto" w:before="0" w:after="0"/>
                    <w:jc w:val="right"/>
                    <w:jc w:val="center"/>
                  </w:pPr>
                  <w:r>
                    <w:rPr>
                      <w:rFonts w:ascii="Times New Roman" w:hAnsi="Times New Roman" w:cs="Times New Roman" w:eastAsia="Times New Roman"/>
                      <w:b/>
                      <w:color w:val="000000"/>
                      <w:sz w:val="18"/>
                    </w:rPr>
                    <w:t>Precision (%)</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Recall (%)</w:t>
                  </w:r>
                </w:p>
              </w:tc>
              <w:tc>
                <w:tcPr>
                  <w:tcW w:w="864" w:type="dxa"/>
                </w:tcPr>
                <w:p>
                  <w:pPr>
                    <w:pStyle w:val="Compact"/>
                    <w:spacing w:line="240" w:lineRule="auto" w:before="0" w:after="0"/>
                    <w:jc w:val="right"/>
                    <w:jc w:val="center"/>
                  </w:pPr>
                  <w:r>
                    <w:rPr>
                      <w:rFonts w:ascii="Times New Roman" w:hAnsi="Times New Roman" w:cs="Times New Roman" w:eastAsia="Times New Roman"/>
                      <w:b/>
                      <w:color w:val="000000"/>
                      <w:sz w:val="18"/>
                    </w:rPr>
                    <w:t>FP</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0.8021 [0.797–0.807]</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9 960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0.8035 [0.799–0.809]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0.2843</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32.70</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30.87</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10 200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0.7991 [0.794–0.805]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0.2766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33.28</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27.26</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8 773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0.9039 [0.899–0.909]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0.6935</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83.69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52.40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5 353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0.7534 [0.747–0.759]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7 835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0.7502 [0.744–0.756]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0.2327</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18.55</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7 811</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0.7406 [0.735–0.746]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0.2146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26.09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10 075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0.7859 [0.779–0.794]</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0.3752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65.03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19.84</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8 351</w:t>
                  </w:r>
                </w:p>
              </w:tc>
            </w:tr>
          </w:tbl>
          <w:bookmarkEnd w:id="25"/>
          <w:p/>
        </w:tc>
      </w:tr>
    </w:tbl>
    <w:p>
      <w:pPr>
        <w:pStyle w:val="BodyText"/>
      </w:pPr>
      <w:hyperlink w:anchor="fig-test">
        <w:r>
          <w:rPr>
            <w:rStyle w:val="Hyperlink"/>
            <w:color w:val="000000"/>
          </w:rPr>
          <w:t xml:space="preserve">Figure 3</w:t>
        </w:r>
      </w:hyperlink>
      <w:r>
        <w:t xml:space="preserve"> </w:t>
      </w:r>
      <w:r>
        <w:t>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color w:val="000000"/>
          </w:rPr>
          <w:t xml:space="preserve">Table 2</w:t>
        </w:r>
      </w:hyperlink>
      <w:r>
        <w:t xml:space="preserve"> </w:t>
      </w:r>
      <w:r>
        <w:t>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3.2 Benchmark against FWI and INPE</w:t>
      </w:r>
    </w:p>
    <w:p>
      <w:pPr>
        <w:pStyle w:val="FirstParagraph"/>
      </w:pPr>
      <w:hyperlink w:anchor="tbl-benchmark">
        <w:r>
          <w:rPr>
            <w:rStyle w:val="Hyperlink"/>
            <w:color w:val="000000"/>
          </w:rPr>
          <w:t xml:space="preserve">Table 3</w:t>
        </w:r>
      </w:hyperlink>
      <w:r>
        <w:t xml:space="preserve"> </w:t>
      </w:r>
      <w:r>
        <w:t>compares M3 with full FWI and INPE on the same retrospective test. M3 exceeds FWI by ΔROC = +0.2848 in Chaco and +0.1970 in Oriental, and INPE by +0.2633 and +0.2544.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color w:val="000000"/>
          </w:rPr>
          <w:t xml:space="preserve">Table 3</w:t>
        </w:r>
      </w:hyperlink>
      <w:r>
        <w:t>); the resulting cutoffs are 0.3029 and 0.8963 in Chaco and 2.1509 and 0.0750 in Oriental for FWI and INPE, respectively. The complete implementation, including fuel codes, initialization and same-day meteorology, is documented in Supplementary Note S4.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pStyle w:val="TableCaption"/>
              <w:keepNext/>
              <w:spacing w:before="120" w:after="120" w:line="240" w:lineRule="auto"/>
              <w:jc w:val="left"/>
            </w:pPr>
            <w:r>
              <w:rPr>
                <w:rFonts w:ascii="Times New Roman" w:hAnsi="Times New Roman" w:cs="Times New Roman" w:eastAsia="Times New Roman"/>
                <w:i w:val="0"/>
                <w:color w:val="000000"/>
                <w:sz w:val="20"/>
              </w:rPr>
              <w:t>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936"/>
              <w:gridCol w:w="2146"/>
              <w:gridCol w:w="835"/>
              <w:gridCol w:w="749"/>
              <w:gridCol w:w="893"/>
              <w:gridCol w:w="691"/>
              <w:gridCol w:w="835"/>
              <w:gridCol w:w="835"/>
              <w:gridCol w:w="749"/>
              <w:gridCol w:w="691"/>
            </w:tblGrid>
            <w:tr>
              <w:trPr>
                <w:cantSplit/>
                <w:tblHeader w:val="on"/>
              </w:trPr>
              <w:tc>
                <w:tcPr>
                  <w:tcW w:w="936"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46"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749"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893" w:type="dxa"/>
                </w:tcPr>
                <w:p>
                  <w:pPr>
                    <w:pStyle w:val="Compact"/>
                    <w:spacing w:line="240" w:lineRule="auto" w:before="0" w:after="0"/>
                    <w:jc w:val="right"/>
                    <w:jc w:val="center"/>
                  </w:pPr>
                  <w:r>
                    <w:rPr>
                      <w:rFonts w:ascii="Times New Roman" w:hAnsi="Times New Roman" w:cs="Times New Roman" w:eastAsia="Times New Roman"/>
                      <w:b/>
                      <w:color w:val="000000"/>
                      <w:sz w:val="18"/>
                    </w:rPr>
                    <w:t>ΔROC (M3 − reference)</w:t>
                  </w:r>
                </w:p>
              </w:tc>
              <w:tc>
                <w:tcPr>
                  <w:tcW w:w="691" w:type="dxa"/>
                </w:tcPr>
                <w:p>
                  <w:pPr>
                    <w:pStyle w:val="Compact"/>
                    <w:spacing w:line="240" w:lineRule="auto" w:before="0" w:after="0"/>
                    <w:jc w:val="right"/>
                    <w:jc w:val="center"/>
                  </w:pPr>
                  <w:r>
                    <w:rPr>
                      <w:rFonts w:ascii="Times New Roman" w:hAnsi="Times New Roman" w:cs="Times New Roman" w:eastAsia="Times New Roman"/>
                      <w:b/>
                      <w:color w:val="000000"/>
                      <w:sz w:val="18"/>
                    </w:rPr>
                    <w:t>p (raw)</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Cutoff</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Prec. (%)</w:t>
                  </w:r>
                </w:p>
              </w:tc>
              <w:tc>
                <w:tcPr>
                  <w:tcW w:w="749" w:type="dxa"/>
                </w:tcPr>
                <w:p>
                  <w:pPr>
                    <w:pStyle w:val="Compact"/>
                    <w:spacing w:line="240" w:lineRule="auto" w:before="0" w:after="0"/>
                    <w:jc w:val="right"/>
                    <w:jc w:val="center"/>
                  </w:pPr>
                  <w:r>
                    <w:rPr>
                      <w:rFonts w:ascii="Times New Roman" w:hAnsi="Times New Roman" w:cs="Times New Roman" w:eastAsia="Times New Roman"/>
                      <w:b/>
                      <w:color w:val="000000"/>
                      <w:sz w:val="18"/>
                    </w:rPr>
                    <w:t>Rec. (%)</w:t>
                  </w:r>
                </w:p>
              </w:tc>
              <w:tc>
                <w:tcPr>
                  <w:tcW w:w="691"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0.8021</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0.2218</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0.3228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0.5173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0.0957</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+0.2848</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0.3029</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9.28</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96.08</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0.1133</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0.5389</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0.1031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+0.2633</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0.8963</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11.72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12.57</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0.1188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Weather-only GBT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0.5512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0.1071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+0.2509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0.1020</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11.43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19.32</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0.1245</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0.7534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0.2186</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0.2680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0.5564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0.1061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+0.1970</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2.1509</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10.76</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38.99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0.1258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0.4990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0.0908</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+0.2544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0.0750</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79.47</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0.1123</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Weather-only GBT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0.5645</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0.1077</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+0.1889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0.0975</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11.08</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42.44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0.1300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+0.3021</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+0.2534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bl>
          <w:bookmarkEnd w:id="31"/>
          <w:p/>
        </w:tc>
      </w:tr>
    </w:tbl>
    <w:p>
      <w:pPr>
        <w:pStyle w:val="BodyText"/>
      </w:pPr>
      <w:hyperlink w:anchor="fig-benchmark">
        <w:r>
          <w:rPr>
            <w:rStyle w:val="Hyperlink"/>
            <w:color w:val="000000"/>
          </w:rPr>
          <w:t xml:space="preserve">Figure 4</w:t>
        </w:r>
      </w:hyperlink>
      <w:r>
        <w:t xml:space="preserve"> </w:t>
      </w:r>
      <w:r>
        <w:t>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Because the INPE implementation weights A by land-cover fractions (the primary specification), we repeated the benchmark with a fixed A = 3.0 (the INPE open-savanna coefficient, fixed a priori). The fixed version reaches ROC-AUC 0.4979/0.5497 versus 0.5389/0.4990 for local A (ΔROC = −0.0409/+0.0508; p = 0.001; Table S22). The sign of the difference is region-dependent, but both versions remain far below M3 (0.8021/0.7534), so the weak INPE performance is not an artefact of the local land-cover weighting. Combining the two indices with the full M3 feature set does not close the gap: the augmented GBT reaches ROC-AUC 0.8013/0.7547 versus 0.8021/0.7534 for M3 (Δ = −0.0009/+0.0013; p = 0.182/0.001; Table S11 continuation). Once fuel, accessibility and historical context are present, the indices add essentially no ranking information; in Oriental the small gain is statistically detectable but operationally negligible.</w:t>
      </w:r>
    </w:p>
    <w:p>
      <w:pPr>
        <w:pStyle w:val="BodyText"/>
      </w:pPr>
      <w:r>
        <w:t>The weather-only control isolates the source of the gap. A LightGBM trained with the same capacity, calibration and cutoff rule but restricted to the FWI information set (temperature, atmospheric demand, wind, rainfall, Fine Fuel Moisture Code (FFMC) and Initial Spread Index (ISI)) reaches ROC-AUC 0.5512/0.5645 (Chaco/Oriental), only +0.0339/+0.0081 above full FWI and far below M3 (0.8021/0.7534; ΔROC = +0.2509/+0.1889, p ≤ 0.001). The failure of the canonical indices is therefore an information limitation rather than an artefact of their formulation or of the learner: without fuel, accessibility and anthropogenic priors, a modern gradient-boosted learner recovers essentially the same ceiling as the index. Full details are in Supplementary Table S21.</w:t>
      </w:r>
    </w:p>
    <w:p>
      <w:pPr>
        <w:pStyle w:val="BodyText"/>
      </w:pPr>
      <w:r>
        <w:t>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(Lundberg et al., 2020)</w:t>
      </w:r>
      <w:r>
        <w:t xml:space="preserve"> </w:t>
      </w:r>
      <w:r>
        <w:t>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INPE and the weather-only GBT under D2.</w:t>
            </w:r>
          </w:p>
          <w:bookmarkEnd w:id="35"/>
        </w:tc>
      </w:tr>
    </w:tbl>
    <w:bookmarkEnd w:id="36"/>
    <w:bookmarkStart w:id="38" w:name="temporal-and-spatial-generalization"/>
    <w:p>
      <w:pPr>
        <w:pStyle w:val="Heading2"/>
      </w:pPr>
      <w:r>
        <w:t>3.3 Temporal and spatial generalization</w:t>
      </w:r>
    </w:p>
    <w:p>
      <w:pPr>
        <w:pStyle w:val="FirstParagraph"/>
      </w:pPr>
      <w:r>
        <w:t>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color w:val="000000"/>
          </w:rPr>
          <w:t xml:space="preserve">Table 4</w:t>
        </w:r>
      </w:hyperlink>
      <w:r>
        <w:t xml:space="preserve"> </w:t>
      </w:r>
      <w:r>
        <w:t>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pStyle w:val="TableCaption"/>
              <w:keepNext/>
              <w:spacing w:before="120" w:after="120" w:line="240" w:lineRule="auto"/>
              <w:jc w:val="left"/>
            </w:pPr>
            <w:r>
              <w:rPr>
                <w:rFonts w:ascii="Times New Roman" w:hAnsi="Times New Roman" w:cs="Times New Roman" w:eastAsia="Times New Roman"/>
                <w:i w:val="0"/>
                <w:color w:val="000000"/>
                <w:sz w:val="20"/>
              </w:rPr>
              <w:t>Table 4: Development spatial block validation with 50-km blocks and a 20-km buffer, evaluated in 2023. Held-in values are the reference for cells not excluded from training. Full results, including M1, are in Supplementary Table S8.</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Held-in 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Holdout ROC-AUC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Holdout PR-AUC</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0.7832</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0.6773</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0.1760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0.7821</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0.6496</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0.1630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0.7365</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0.7470</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0.1820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0.7473</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0.7277</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0.1608</w:t>
                  </w:r>
                </w:p>
              </w:tc>
            </w:tr>
          </w:tbl>
          <w:bookmarkEnd w:id="37"/>
          <w:p/>
        </w:tc>
      </w:tr>
    </w:tbl>
    <w:p>
      <w:pPr>
        <w:pStyle w:val="BodyText"/>
      </w:pPr>
      <w:r>
        <w:t>The development spatial design retains 44 blocks and excludes a 20-km buffer around holdout cells during training; priors are recomputed without held-out fires. An independent confirmation holdout (31 blocks, 68 719 cells),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t>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(+0.0060/+0.0059;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w:t>
      </w:r>
    </w:p>
    <w:p>
      <w:pPr>
        <w:pStyle w:val="BodyText"/>
      </w:pPr>
      <w:r>
        <w:t>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artefact of the 25 km/10 d choice (Supplementary Table S20). A four-fold rolling-origin backtest retrained M1/M2/M3 with training through Y−2, validation on Y−1 and test on Y. The M3−M2 ROC-AUC difference was +0.0030/+0.0059 in 2022, +0.0029/+0.0120 in 2023, +0.0038/+0.0166 in 2024 and +0.0019/+0.0084 in 2025 (Chaco/Oriental); the corresponding p-values were 0.032/0.006, 0.082/0.001, 0.004/0.001 and 0.148/0.001. The sign was positive in all eight region-fold comparisons, and M1 remained below M2 in every fold (Table S26; Figure S5). The temporal ordering is therefore not an artefact of the single 2024–2025 split. Across 20 runs (five seeds × two capacities × two regions), the M3−M2 difference remained positive in every run, with mean differences of +0.0036/+0.0035 in Chaco and +0.0128/+0.0128 in Oriental for the current/high-capacity configurations (Table S25). Adversarial validation separates training (2018–2022) from test (2024–2025) rows with AUC 0.8832/0.9241 (Chaco/Oriental); day-of-year, seasonal harmonics, 25-km historical density and 60-day water deficit dominate the discriminator (Table S29). The shift is real and is not eliminated by the temporal design; it is why the spatial and all-cell results are reported separately. Three further sensitivities bound the result. Stricter gate thresholds (VPD ≥ 1.0/1.2 kPa and 48-h rainfall &lt; 5/2 mm) retained 92–73 % of test positives and left M3 above M2 and FWI; removing the gate entirely (independent 1:10 sample) lowered M3 to 0.7924/0.7510 and M2 to 0.7833/0.7379, but M3 remained above M2 (+0.0091/+0.0131) and FWI (0.5105/0.5457; Table S31). Restricting labels to high-confidence detections retained 12.2 %/6.5 % of positives and raised ROC-AUC to 0.8228/0.7793, but precision–recall fell (0.0719/0.0246) because the retained subset has a different prevalence; FRP ≥ 10 MW retained 31.9 %/19.0 % and gave 0.8136/0.7763 (Table S30). The cloud-mask variant is unavailable. Sampling at 1:5 changed ROC-AUC by less than 0.001; the independent 1:20 sample lowered Chaco M3 ROC-AUC to 0.7926 and population precision by about 7 %, while Oriental remained stable (0.7526), and M3 stayed above M2 in both regions (Table S28). A permuted-label negative control reached AUC 0.6297/0.5138; removing historical features did not lower it (0.6276/0.5168), indicating residual cell-level association or feature leakage in Chaco (Table S32; Figure S7). The M3 score should therefore be read as a nowcast/prioritization signal, not a causal attribution. External spatial validation in Boquerón, after excluding the department and a 25-km buffer and recomputing priors, reproduced the M2/M3 discrimination (ROC-AUC 0.8104/0.8120; PR-AUC 0.2440/0.2505) but not a significant M3−M2 gain (+0.0016; p = 0.254). FWI was below chance (0.4719) and INPE reached 0.5845 (Table S33; Figure S9). Population precision was 0.0891 %/0.0678 % for M2/M3, with recall 16.2 %/27.1 %; M3 trades precision for recall. The M3−M2 difference was +0.0039 (p = 0.010) with a 20-km buffer, +0.0016 (p = 0.254) with 25 km and +0.0020 (p = 0.206) with 30 km (Table S33b), so the hybrid advantage is not robust to the buffer. The ranking transports spatially, but the operational preference for M3 over M2 does not.</w:t>
      </w:r>
    </w:p>
    <w:bookmarkEnd w:id="38"/>
    <w:bookmarkStart w:id="43" w:name="operational-value"/>
    <w:p>
      <w:pPr>
        <w:pStyle w:val="Heading2"/>
      </w:pPr>
      <w:r>
        <w:t>3.4 Operational value</w:t>
      </w:r>
    </w:p>
    <w:p>
      <w:pPr>
        <w:pStyle w:val="FirstParagraph"/>
      </w:pPr>
      <w:r>
        <w:t>The cost-loss analysis is sobering for ignition: in Chaco, M3 and M2 are indistinguishable at every α (paired ΔV intervals include zero), and the M2 point estimate is marginally higher at the optimum (0.373 vs 0.372). In Oriental, M3 exceeds M2 for α = 0.0002–0.005. Against FWI, M3 has positive decision value for α = 0.0001–0.001 in Chaco and 0.0001–0.005 in Oriental (paired intervals exclude zero; Supplementary Table S24). The propagation layer does show value near</w:t>
      </w:r>
      <w:r>
        <w:t xml:space="preserve"> </w:t>
      </w:r>
      <w:r>
        <w:rPr>
          <w:i/>
          <w:iCs/>
        </w:rPr>
        <w:t>α</w:t>
      </w:r>
      <w:r>
        <w:t xml:space="preserve"> </w:t>
      </w:r>
      <w:r>
        <w:t>= 0.002: V = 0.628 [0.608–0.646] in Chaco and 0.399 [0.371–0.419] in Oriental, with intervals excluding zero. The full cost-loss table and curves, including 95 % date-grouped bootstrap bands (B = 1 000), are in Supplementary Table S14 and Supplementary Figure S3. The operational product therefore prioritizes propagation and uses ignition as a screening layer: the ignition layer adds decision value over FWI at low α but not over M2 in Chaco.</w:t>
      </w:r>
    </w:p>
    <w:p>
      <w:pPr>
        <w:pStyle w:val="BodyText"/>
      </w:pPr>
      <w:r>
        <w:t>Decision curve analysis on the case-control sample (Figure S4; Table S23) reproduces the ordering: at</w:t>
      </w:r>
      <w:r>
        <w:t xml:space="preserve"> </w:t>
      </w:r>
      <m:oMath>
        <m:sSub>
          <m:e>
            <m:r>
              <m:t>p</m:t>
            </m:r>
          </m:e>
          <m:sub>
            <m:r>
              <m:t>t</m:t>
            </m:r>
          </m:sub>
        </m:sSub>
        <m:r>
          <m:rPr>
            <m:sty m:val="p"/>
          </m:rPr>
          <m:t>=</m:t>
        </m:r>
        <m:r>
          <m:t>0.10</m:t>
        </m:r>
      </m:oMath>
      <w:r>
        <w:t>, M3 yields 37.6/29.4 net detections per 1 000 sampled cell-days, M2 37.7/27.3, M1 13.5/19.9 and FWI 0.1/2.8 (Chaco/Oriental); the propagation model remains positive up to</w:t>
      </w:r>
      <w:r>
        <w:t xml:space="preserve"> </w:t>
      </w:r>
      <m:oMath>
        <m:sSub>
          <m:e>
            <m:r>
              <m:t>p</m:t>
            </m:r>
          </m:e>
          <m:sub>
            <m:r>
              <m:t>t</m:t>
            </m:r>
          </m:sub>
        </m:sSub>
        <m:r>
          <m:rPr>
            <m:sty m:val="p"/>
          </m:rPr>
          <m:t>≈</m:t>
        </m:r>
        <m:r>
          <m:t>0.7</m:t>
        </m:r>
      </m:oMath>
      <w:r>
        <w:t>. Because net benefit is computed on the case-control sample, it complements the population-weighted decision value in Table S14.</w:t>
      </w:r>
    </w:p>
    <w:p>
      <w:pPr>
        <w:pStyle w:val="BodyText"/>
      </w:pPr>
      <w:r>
        <w:t>Operationally (Table S23), at the frozen ignition cutoff M3 issues 8 238/3 073 alerts per day in Chaco/Oriental with population precision 0.082/0.198 % (1 227/504 alerts per hit; lift 5.3×/4.8×). A budget of 100 alerts/day raises ignition precision only to 0.21/0.66 % (recall 0.86/2.24 %), confirming that ignition is a screening layer. Propagation needs 10.3/20.9 alerts per hit (lift 62×/23×) at 452/525 alerts/day; at 100/day its precision is 22.1/10.0 % and recall 25.7/7.5 %. The α that maximises V(α) is 0.0001–0.0005 for ignition and 0.002 for propagation. The F0.5 cutoff is not uniquely privileged. Selecting cutoffs by F1, F2 or Youden changes the operating point but not the conclusion (Table S14 continuation; Figure S6). For M3 ignition in Chaco, precision/recall move from 0.328/0.303 at F0.5 to 0.273/0.494 at F1 and 0.182/0.815 at F2; in Oriental they move from 0.301/0.186 to 0.235/0.390 and 0.173/0.699. Propagation remains the stronger layer: Chaco precision/recall is 0.837/0.524 at F0.5 and 0.515/0.702 at F2; Oriental 0.650/0.199 and 0.215/0.632. The screening/propagation ranking is therefore robust to the threshold criterion.</w:t>
      </w:r>
    </w:p>
    <w:p>
      <w:pPr>
        <w:pStyle w:val="BodyText"/>
      </w:pPr>
      <w:r>
        <w:t>At their frozen F0.5 operating points, FWI and INPE have positive decision value only in a narrow low-α window (0.0001–0.0005) and negative value for α ≥ 0.001 (V clipped at −1); even in that window they remain far below M3/M2 (Chaco FWI 0.069 vs M3 0.372 at α = 0.0001; Oriental FWI 0.095 vs M3 0.313 at α = 0.0005). Allowing the indices their best validation threshold at each α leaves the ranking unchanged (Table S24). The AUC advantage of M3 therefore translates into decision value against the indices, but not uniformly against M2.</w:t>
      </w:r>
    </w:p>
    <w:p>
      <w:pPr>
        <w:pStyle w:val="BodyText"/>
      </w:pPr>
      <w:r>
        <w:t>Cost-loss is defined as the expected value of issuing an alert when the cost of a false alarm is</w:t>
      </w:r>
      <w:r>
        <w:t xml:space="preserve"> </w:t>
      </w:r>
      <w:r>
        <w:rPr>
          <w:i/>
          <w:iCs/>
        </w:rPr>
        <w:t>C</w:t>
      </w:r>
      <w:r>
        <w:t xml:space="preserve"> </w:t>
      </w:r>
      <w:r>
        <w:t>and the loss avoided by a true alert is</w:t>
      </w:r>
      <w:r>
        <w:t xml:space="preserve"> </w:t>
      </w:r>
      <w:r>
        <w:rPr>
          <w:i/>
          <w:iCs/>
        </w:rPr>
        <w:t>L</w:t>
      </w:r>
      <w:r>
        <w:t>; the ratio</w:t>
      </w:r>
      <w:r>
        <w:t xml:space="preserve"> </w:t>
      </w:r>
      <w:r>
        <w:rPr>
          <w:i/>
          <w:iCs/>
        </w:rPr>
        <w:t>α</w:t>
      </w:r>
      <w:r>
        <w:t xml:space="preserve"> </w:t>
      </w:r>
      <w:r>
        <w:t>=</w:t>
      </w:r>
      <w:r>
        <w:t xml:space="preserve"> </w:t>
      </w:r>
      <w:r>
        <w:rPr>
          <w:i/>
          <w:iCs/>
        </w:rPr>
        <w:t>C</w:t>
      </w:r>
      <w:r>
        <w:t>/</w:t>
      </w:r>
      <w:r>
        <w:rPr>
          <w:i/>
          <w:iCs/>
        </w:rPr>
        <w:t>L</w:t>
      </w:r>
      <w:r>
        <w:t xml:space="preserve"> </w:t>
      </w:r>
      <w:r>
        <w:t>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α</w:t>
      </w:r>
      <w:r>
        <w:t>. The result supports the operational choice of prioritizing propagation and treating ignition as a screening layer.</w:t>
      </w:r>
    </w:p>
    <w:p>
      <w:pPr>
        <w:pStyle w:val="BodyText"/>
      </w:pPr>
      <w:hyperlink w:anchor="fig-map">
        <w:r>
          <w:rPr>
            <w:rStyle w:val="Hyperlink"/>
            <w:color w:val="000000"/>
          </w:rPr>
          <w:t xml:space="preserve">Figure 5</w:t>
        </w:r>
      </w:hyperlink>
      <w:r>
        <w:t xml:space="preserve"> </w:t>
      </w:r>
      <w:r>
        <w:t>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color w:val="000000"/>
          </w:rPr>
          <w:t xml:space="preserve">Table 2</w:t>
        </w:r>
      </w:hyperlink>
      <w:r>
        <w:t xml:space="preserve"> </w:t>
      </w:r>
      <w:r>
        <w:t>and the spatial limitation in</w:t>
      </w:r>
      <w:r>
        <w:t xml:space="preserve"> </w:t>
      </w:r>
      <w:hyperlink w:anchor="tbl-spatial">
        <w:r>
          <w:rPr>
            <w:rStyle w:val="Hyperlink"/>
            <w:color w:val="000000"/>
          </w:rPr>
          <w:t xml:space="preserve">Table 4</w:t>
        </w:r>
      </w:hyperlink>
      <w:r>
        <w:t>,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42"/>
        </w:tc>
      </w:tr>
    </w:tbl>
    <w:bookmarkEnd w:id="43"/>
    <w:bookmarkStart w:id="44" w:name="calibration"/>
    <w:p>
      <w:pPr>
        <w:pStyle w:val="Heading2"/>
      </w:pPr>
      <w:r>
        <w:t>3.5 Calibration</w:t>
      </w:r>
    </w:p>
    <w:p>
      <w:pPr>
        <w:pStyle w:val="FirstParagraph"/>
      </w:pPr>
      <w:r>
        <w:t>Expected calibration error for M3 is 0.0082/0.0082 in Chaco/Oriental (Table S11), and 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bookmarkEnd w:id="44"/>
    <w:bookmarkStart w:id="45" w:name="reproducibility-checks"/>
    <w:p>
      <w:pPr>
        <w:pStyle w:val="Heading2"/>
      </w:pPr>
      <w:r>
        <w:t>3.6 Reproducibility checks</w:t>
      </w:r>
    </w:p>
    <w:p>
      <w:pPr>
        <w:pStyle w:val="FirstParagraph"/>
      </w:pPr>
      <w:r>
        <w:t>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v2.1.0; the code and data concept DOIs are reported in the Code and Data Availability sections.</w:t>
      </w:r>
    </w:p>
    <w:bookmarkEnd w:id="45"/>
    <w:bookmarkEnd w:id="46"/>
    <w:bookmarkStart w:id="51" w:name="discussion"/>
    <w:p>
      <w:pPr>
        <w:pStyle w:val="Heading1"/>
      </w:pPr>
      <w:r>
        <w:t>4. Discussion</w:t>
      </w:r>
    </w:p>
    <w:bookmarkStart w:id="47" w:name="why-canonical-indices-fail"/>
    <w:p>
      <w:pPr>
        <w:pStyle w:val="Heading2"/>
      </w:pPr>
      <w:r>
        <w:t>4.1 Why canonical indices fail</w:t>
      </w:r>
    </w:p>
    <w:p>
      <w:pPr>
        <w:pStyle w:val="FirstParagraph"/>
      </w:pPr>
      <w:r>
        <w:t>Full FWI and INPE are weak in both regions. The Chaco is moisture-limited and fuel-limited at the same time: fine fuels cure quickly under high VPD, but ignition depends on human access, pasture management and fire history. A single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(Flannigan et al., 2016; Van Wagner, 1987)</w:t>
      </w:r>
      <w:r>
        <w:t>. In the semi-arid Chaco, the load-bearing fuels are fine grassy and shrub fuels that respond within hours to atmospheric demand, while the spatial pattern of ignition is governed by land-management and access-related sources. FWI is purely meteorological; the INPE formulation used here incorporates land-cover fractions, yet neither carries the fine-scale anthropogenic and accessibility information that dominates ignition in the Chaco, and their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 These indices are not only weaker rankers; wherever either remains positive, they also generate less decision value than M3 (Table S14).</w:t>
      </w:r>
    </w:p>
    <w:p>
      <w:pPr>
        <w:pStyle w:val="BodyText"/>
      </w:pPr>
      <w:r>
        <w:t>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7"/>
    <w:bookmarkStart w:id="48" w:name="what-decoupling-buys-and-where-it-fails"/>
    <w:p>
      <w:pPr>
        <w:pStyle w:val="Heading2"/>
      </w:pPr>
      <w:r>
        <w:t>4.2 What decoupling buys and where it fails</w:t>
      </w:r>
    </w:p>
    <w:p>
      <w:pPr>
        <w:pStyle w:val="FirstParagraph"/>
      </w:pPr>
      <w:r>
        <w:t>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The D2 operator is also a guard against leakage. Without it, a model can mix persistence and ignition and obtain impressive but non-operational metrics. The combination of D2, a no-</w:t>
      </w:r>
      <w:r>
        <w:rPr>
          <w:i/>
          <w:iCs/>
        </w:rPr>
        <w:t>t</w:t>
      </w:r>
      <w:r>
        <w:t>−1 ignition layer and a spatial block holdout is the main methodological contribution. A permuted-label negative control sharpens this point. Retraining M3 on shuffled training labels yields AUC 0.6297/0.5138, and removing the historical features does not lower it (0.6276/0.5168). A leakage-free control should be near 0.5. The excess in Chaco therefore indicates residual cell-level or feature information—not proof that the headline ranking is wrong, but a clear reason to avoid a causal reading and to audit the historical priors and static cell descriptors. The control is reported in Table S32 and Figure S7.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 A fourth view, decision value, asks whether the ranking survives a cost-loss ratio; it is the view that determines operational use.</w:t>
      </w:r>
    </w:p>
    <w:p>
      <w:pPr>
        <w:pStyle w:val="BodyText"/>
      </w:pPr>
      <w:r>
        <w:t>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A second lesson is that benchmark design changes the conclusion. If the test had been a random split, M3 would have looked stronger; if the ignition layer had included</w:t>
      </w:r>
      <w:r>
        <w:t xml:space="preserve"> </w:t>
      </w:r>
      <w:r>
        <w:rPr>
          <w:i/>
          <w:iCs/>
        </w:rPr>
        <w:t>t</w:t>
      </w:r>
      <w:r>
        <w: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8"/>
    <w:bookmarkStart w:id="49" w:name="X89437c5d496b7b740d35454d9c653eebb75780f"/>
    <w:p>
      <w:pPr>
        <w:pStyle w:val="Heading2"/>
      </w:pPr>
      <w:r>
        <w:t>4.3 Implications for computational geoscience</w:t>
      </w:r>
    </w:p>
    <w:p>
      <w:pPr>
        <w:pStyle w:val="FirstParagraph"/>
      </w:pPr>
      <w:r>
        <w:t>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9"/>
    <w:bookmarkStart w:id="50" w:name="limitations"/>
    <w:p>
      <w:pPr>
        <w:pStyle w:val="Heading2"/>
      </w:pPr>
      <w:r>
        <w:t>4.4 Limitations</w:t>
      </w:r>
    </w:p>
    <w:p>
      <w:pPr>
        <w:pStyle w:val="FirstParagraph"/>
      </w:pPr>
      <w:r>
        <w:t>Several limitations bound the interpretation of this study:</w:t>
      </w:r>
    </w:p>
    <w:p>
      <w:pPr>
        <w:pStyle w:val="Compact"/>
        <w:numPr>
          <w:ilvl w:val="0"/>
          <w:numId w:val="1004"/>
        </w:numPr>
      </w:pPr>
      <w:r>
        <w:rPr>
          <w:b/>
          <w:bCs/>
        </w:rPr>
        <w:t>Data and observational constraints.</w:t>
      </w:r>
      <w:r>
        <w:t xml:space="preserve"> </w:t>
      </w:r>
      <w:r>
        <w:t>The study covers one country and two macro-regions without external-country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Statistical and generalization limits.</w:t>
      </w:r>
      <w:r>
        <w:t xml:space="preserve"> </w:t>
      </w:r>
      <w:r>
        <w:t>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Adversarial validation reaches AUC 0.8832/0.9241, confirming that the temporal shift is substantial and driven mainly by seasonal and historical-density features (Table S29). A permuted-label control remains above chance in Chaco (0.63), so residual cell-level or historical signal cannot be excluded; the score is a nowcasting signal, not a causal attribution. M3 loses its predictive advantage in unseen spatial blocks, which requires M2 as the operational fallback while M1 remains an insufficient baseline; The Boquerón external test is within Paraguay; it provides derived population metrics but no cross-country transport, and M3’s gain over M2 is not significant at the primary 25-km buffer. conformal coverage (90.17 %/90.31 % at the 90 % level) is empirical rather than formally guaranteed under temporal shift; and the coupled</w:t>
      </w:r>
      <w:r>
        <w:t xml:space="preserve"> </w:t>
      </w:r>
      <w:r>
        <w:rPr>
          <w:i/>
          <w:iCs/>
        </w:rPr>
        <w:t>t</w:t>
      </w:r>
      <w:r>
        <w:t>−1 comparator (Supplementary Table S19) was evaluated on the same gated case-control sample, so it does not test removal of the biophysical gate.</w:t>
      </w:r>
    </w:p>
    <w:p>
      <w:pPr>
        <w:pStyle w:val="Compact"/>
        <w:numPr>
          <w:ilvl w:val="0"/>
          <w:numId w:val="1004"/>
        </w:numPr>
      </w:pPr>
      <w:r>
        <w:rPr>
          <w:b/>
          <w:bCs/>
        </w:rPr>
        <w:t>Operational and software scope.</w:t>
      </w:r>
      <w:r>
        <w:t xml:space="preserve"> </w:t>
      </w:r>
      <w:r>
        <w:t>Because the pipeline uses observed meteorology up to day</w:t>
      </w:r>
      <w:r>
        <w:t xml:space="preserve"> </w:t>
      </w:r>
      <w:r>
        <w:rPr>
          <w:i/>
          <w:iCs/>
        </w:rPr>
        <w:t>t</w:t>
      </w:r>
      <w:r>
        <w:t>,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50"/>
    <w:bookmarkEnd w:id="51"/>
    <w:bookmarkStart w:id="52" w:name="conclusions"/>
    <w:p>
      <w:pPr>
        <w:pStyle w:val="Heading1"/>
      </w:pPr>
      <w:r>
        <w:t>5. Conclusions</w:t>
      </w:r>
    </w:p>
    <w:p>
      <w:pPr>
        <w:pStyle w:val="FirstParagraph"/>
      </w:pPr>
      <w:r>
        <w:t>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0.5173/0.5564) and the INPE Risco de Fogo (0.5389/0.4990), and decoupling did not sacrifice discrimination relative to a coupled</w:t>
      </w:r>
      <w:r>
        <w:t xml:space="preserve"> </w:t>
      </w:r>
      <w:r>
        <w:rPr>
          <w:i/>
          <w:iCs/>
        </w:rPr>
        <w:t>t</w:t>
      </w:r>
      <w:r>
        <w:t>−1 baseline (Supplementary Table S19). Nevertheless, population-level ignition precision remains low (0.082 %/0.198 %; 95 % CI 0.075–0.088/0.178–0.222) and the hybrid advantage is strictly temporal rather than spatial. Decision-curve and cost-loss analyses locate the operational gain in propagation (V = 0.63/0.40 at α = 0.002) and in ignition only as a low-α screening layer, positioning the system as an operational screening and prioritization tool rather than a stand-alone warning system. A permuted-label control remains above chance in Chaco (0.63), so this ranking is a nowcasting signal rather than a causal attribution. An external leave-one-department-out test in Boquerón reproduced the M2/M3 discrimination (0.8104/0.8120) but not a significant M3−M2 gain (+0.0016, p = 0.254); FWI remained below chance (0.4719) and INPE reached 0.5845.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2"/>
    <w:bookmarkStart w:id="54" w:name="data-availability"/>
    <w:p>
      <w:pPr>
        <w:pStyle w:val="Heading1"/>
      </w:pPr>
      <w:r>
        <w:t>Data availability</w:t>
      </w:r>
    </w:p>
    <w:p>
      <w:pPr>
        <w:pStyle w:val="FirstParagraph"/>
      </w:pPr>
      <w:r>
        <w:t>Processed data, test predictions, trained models and derived tables are available in the anonymized review repository under CC BY 4.0 and are documented under the data concept DOI provided on the title page. Raw NASA FIRMS, ERA5-Land/CDS, MapBiomas, Hansen GFC and geoBoundaries data are obtained from their original providers under their own terms and are documented with SHA-256 hashes in fuentes/MANIFIESTO_DATOS_v3.csv.</w:t>
      </w:r>
    </w:p>
    <w:bookmarkEnd w:id="54"/>
    <w:bookmarkStart w:id="55" w:name="acknowledgments"/>
    <w:p>
      <w:pPr>
        <w:pStyle w:val="Heading1"/>
      </w:pPr>
      <w:r>
        <w:t>Acknowledgments</w:t>
      </w:r>
    </w:p>
    <w:p>
      <w:pPr>
        <w:pStyle w:val="FirstParagraph"/>
      </w:pPr>
      <w:r>
        <w:t>We thank NASA FIRMS, the Copernicus Climate Data Store, MapBiomas, Hansen/UMD and geoBoundaries for open data. The author is responsible for all interpretations and errors.</w:t>
      </w:r>
    </w:p>
    <w:bookmarkEnd w:id="55"/>
    <w:bookmarkStart w:id="56" w:name="funding"/>
    <w:p>
      <w:pPr>
        <w:pStyle w:val="Heading1"/>
      </w:pPr>
      <w:r>
        <w:t>Funding</w:t>
      </w:r>
    </w:p>
    <w:p>
      <w:pPr>
        <w:pStyle w:val="FirstParagraph"/>
      </w:pPr>
      <w:r>
        <w:t>This research received no specific grant from public, commercial or not-for-profit funding agencies.</w:t>
      </w:r>
    </w:p>
    <w:bookmarkEnd w:id="56"/>
    <w:bookmarkStart w:id="57" w:name="competing-interests"/>
    <w:p>
      <w:pPr>
        <w:pStyle w:val="Heading1"/>
      </w:pPr>
      <w:r>
        <w:t>Competing interests</w:t>
      </w:r>
    </w:p>
    <w:p>
      <w:pPr>
        <w:pStyle w:val="FirstParagraph"/>
      </w:pPr>
      <w:r>
        <w:t>The author declares no competing financial or non-financial interests.</w:t>
      </w:r>
    </w:p>
    <w:bookmarkEnd w:id="57"/>
    <w:bookmarkStart w:id="58" w:name="author-contributions"/>
    <w:p>
      <w:pPr>
        <w:pStyle w:val="Heading1"/>
      </w:pPr>
      <w:r>
        <w:t>Author contributions</w:t>
      </w:r>
    </w:p>
    <w:p>
      <w:pPr>
        <w:pStyle w:val="FirstParagraph"/>
      </w:pPr>
      <w:r>
        <w:t>Author 1: conceptualization, methodology, software, data curation, formal analysis, validation, visualization, writing—original draft, writing—review and editing, project administration.</w:t>
      </w:r>
    </w:p>
    <w:bookmarkEnd w:id="58"/>
    <w:bookmarkStart w:id="59" w:name="generative-ai-declaration"/>
    <w:p>
      <w:pPr>
        <w:pStyle w:val="Heading1"/>
      </w:pPr>
      <w:r>
        <w:t>Generative AI declaration</w:t>
      </w:r>
    </w:p>
    <w:p>
      <w:pPr>
        <w:pStyle w:val="FirstParagraph"/>
      </w:pPr>
      <w:r>
        <w:t>Generative AI tools were used for language editing and code assistance. The author reviewed and verified all content and takes full responsibility for the published article.</w:t>
      </w:r>
    </w:p>
    <w:bookmarkEnd w:id="59"/>
    <w:bookmarkStart w:id="61" w:name="computer-code-availability"/>
    <w:p>
      <w:pPr>
        <w:pStyle w:val="Heading1"/>
      </w:pPr>
      <w:r>
        <w:t>Computer Code Availability</w:t>
      </w:r>
    </w:p>
    <w:p>
      <w:pPr>
        <w:pStyle w:val="FirstParagraph"/>
      </w:pPr>
      <w:r>
        <w:t>Name: Incendios_PY</w:t>
        <w:br/>
        <w:t>Developer and contact: anonymized for peer review; contact via the Editor-in-Chief</w:t>
        <w:br/>
        <w:t>Year first available: 2026</w:t>
        <w:br/>
        <w:t>Hardware: x86_64 or ARM64, at least 8 GB RAM</w:t>
        <w:br/>
        <w:t>Operating system: macOS 13+, Linux Ubuntu 22.04+, Windows 11 with WSL2</w:t>
        <w:br/>
        <w:t>Language: Python 3.12+; Polars, DuckDB and NumPy for vectorized operations; LightGBM C++ backend</w:t>
        <w:br/>
        <w:t>Dependencies: pinned in requirements-lock.txt</w:t>
        <w:br/>
        <w:t>License: MIT</w:t>
        <w:br/>
        <w:t>Repository: anonymized review repository (link provided in the submission system)</w:t>
        <w:br/>
        <w:t>Code version DOI: provided on the title page</w:t>
        <w:br/>
        <w:t>Data version DOI: provided on the title page</w:t>
        <w:br/>
        <w:t>Code concept DOI: provided on the title page</w:t>
        <w:br/>
        <w:t>Data concept DOI: provided on the title page</w:t>
        <w:br/>
        <w:t>User guide: docs/USER_GUIDE.md</w:t>
        <w:br/>
        <w:t>Tutorial: docs/TUTORIAL.md</w:t>
        <w:br/>
        <w:t>Tests: 76 tests pass with python -m pytest -q tests.</w:t>
      </w:r>
    </w:p>
    <w:bookmarkEnd w:id="61"/>
    <w:bookmarkStart w:id="114" w:name="references"/>
    <w:p>
      <w:pPr>
        <w:pStyle w:val="Heading1"/>
      </w:pPr>
      <w:r>
        <w:t>References</w:t>
      </w:r>
    </w:p>
    <w:bookmarkStart w:id="113" w:name="refs"/>
    <w:bookmarkStart w:id="63" w:name="ref-alvarado2018"/>
    <w:p>
      <w:pPr>
        <w:pStyle w:val="Bibliography"/>
      </w:pPr>
      <w:r>
        <w:t>Alvarado, S. T., Silva, C. A., &amp; Archibald, S. (2018). Drivers of fire occurrence in a savanna-forest mosaic in the southern Amazon.</w:t>
      </w:r>
      <w:r>
        <w:t xml:space="preserve"> </w:t>
      </w:r>
      <w:r>
        <w:rPr>
          <w:i/>
          <w:iCs/>
        </w:rPr>
        <w:t>Remote Sensing</w:t>
      </w:r>
      <w:r>
        <w:t>,</w:t>
      </w:r>
      <w:r>
        <w:t xml:space="preserve"> </w:t>
      </w:r>
      <w:r>
        <w:rPr>
          <w:i/>
          <w:iCs/>
        </w:rPr>
        <w:t>10</w:t>
      </w:r>
      <w:r>
        <w:t>(9), 1438.</w:t>
      </w:r>
      <w:r>
        <w:t xml:space="preserve"> </w:t>
      </w:r>
      <w:hyperlink r:id="rId62">
        <w:r>
          <w:rPr>
            <w:rStyle w:val="Hyperlink"/>
          </w:rPr>
          <w:t xml:space="preserve">https://doi.org/10.3390/rs10091438</w:t>
        </w:r>
      </w:hyperlink>
    </w:p>
    <w:bookmarkEnd w:id="63"/>
    <w:bookmarkStart w:id="65" w:name="ref-barmpoutis2020"/>
    <w:p>
      <w:pPr>
        <w:pStyle w:val="Bibliography"/>
      </w:pPr>
      <w:r>
        <w:t>Barmpoutis, P., Papaioannou, P., Dimitropoulos, K., &amp; Grammalidis, N. (2020). A review on early forest fire detection systems using optical remote sensing.</w:t>
      </w:r>
      <w:r>
        <w:t xml:space="preserve"> </w:t>
      </w:r>
      <w:r>
        <w:rPr>
          <w:i/>
          <w:iCs/>
        </w:rPr>
        <w:t>Sensors</w:t>
      </w:r>
      <w:r>
        <w:t>,</w:t>
      </w:r>
      <w:r>
        <w:t xml:space="preserve"> </w:t>
      </w:r>
      <w:r>
        <w:rPr>
          <w:i/>
          <w:iCs/>
        </w:rPr>
        <w:t>20</w:t>
      </w:r>
      <w:r>
        <w:t>(22), 6442.</w:t>
      </w:r>
      <w:r>
        <w:t xml:space="preserve"> </w:t>
      </w:r>
      <w:hyperlink r:id="rId64">
        <w:r>
          <w:rPr>
            <w:rStyle w:val="Hyperlink"/>
          </w:rPr>
          <w:t xml:space="preserve">https://doi.org/10.3390/s20226442</w:t>
        </w:r>
      </w:hyperlink>
    </w:p>
    <w:bookmarkEnd w:id="65"/>
    <w:bookmarkStart w:id="67" w:name="ref-baumann2017"/>
    <w:p>
      <w:pPr>
        <w:pStyle w:val="Bibliography"/>
      </w:pPr>
      <w:r>
        <w:t>Baumann, M., Gasparri, I., Piquer-Rodríguez, M., Ponzoni, G., Volante, J., &amp; Kuemmerle, T. (2017). Carbon emissions from agricultural expansion and intensification in the Chaco.</w:t>
      </w:r>
      <w:r>
        <w:t xml:space="preserve"> </w:t>
      </w:r>
      <w:r>
        <w:rPr>
          <w:i/>
          <w:iCs/>
        </w:rPr>
        <w:t>Global Change Biology</w:t>
      </w:r>
      <w:r>
        <w:t>,</w:t>
      </w:r>
      <w:r>
        <w:t xml:space="preserve"> </w:t>
      </w:r>
      <w:r>
        <w:rPr>
          <w:i/>
          <w:iCs/>
        </w:rPr>
        <w:t>23</w:t>
      </w:r>
      <w:r>
        <w:t>(5), 1902–1916.</w:t>
      </w:r>
      <w:r>
        <w:t xml:space="preserve"> </w:t>
      </w:r>
      <w:hyperlink r:id="rId66">
        <w:r>
          <w:rPr>
            <w:rStyle w:val="Hyperlink"/>
          </w:rPr>
          <w:t xml:space="preserve">https://doi.org/10.1111/gcb.13521</w:t>
        </w:r>
      </w:hyperlink>
    </w:p>
    <w:bookmarkEnd w:id="67"/>
    <w:bookmarkStart w:id="69" w:name="ref-dormann2007"/>
    <w:p>
      <w:pPr>
        <w:pStyle w:val="Bibliography"/>
      </w:pPr>
      <w:r>
        <w:t>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Ecography</w:t>
      </w:r>
      <w:r>
        <w:t>,</w:t>
      </w:r>
      <w:r>
        <w:t xml:space="preserve"> </w:t>
      </w:r>
      <w:r>
        <w:rPr>
          <w:i/>
          <w:iCs/>
        </w:rPr>
        <w:t>30</w:t>
      </w:r>
      <w:r>
        <w:t>(5), 609–628.</w:t>
      </w:r>
      <w:r>
        <w:t xml:space="preserve"> </w:t>
      </w:r>
      <w:hyperlink r:id="rId68">
        <w:r>
          <w:rPr>
            <w:rStyle w:val="Hyperlink"/>
          </w:rPr>
          <w:t xml:space="preserve">https://doi.org/10.1111/j.2007.0906-7590.05171.x</w:t>
        </w:r>
      </w:hyperlink>
    </w:p>
    <w:bookmarkEnd w:id="69"/>
    <w:bookmarkStart w:id="71" w:name="ref-flannigan2009"/>
    <w:p>
      <w:pPr>
        <w:pStyle w:val="Bibliography"/>
      </w:pPr>
      <w:r>
        <w:t>Flannigan, M. D., Krawchuk, M. A., de Groot, W. J., Wotton, B. M., &amp; Gowman, L. M. (2009). Implications of changing climate for global wildland fire.</w:t>
      </w:r>
      <w:r>
        <w:t xml:space="preserve"> </w:t>
      </w:r>
      <w:r>
        <w:rPr>
          <w:i/>
          <w:iCs/>
        </w:rPr>
        <w:t>International Journal of Wildland Fire</w:t>
      </w:r>
      <w:r>
        <w:t>,</w:t>
      </w:r>
      <w:r>
        <w:t xml:space="preserve"> </w:t>
      </w:r>
      <w:r>
        <w:rPr>
          <w:i/>
          <w:iCs/>
        </w:rPr>
        <w:t>18</w:t>
      </w:r>
      <w:r>
        <w:t>(5), 483–507.</w:t>
      </w:r>
      <w:r>
        <w:t xml:space="preserve"> </w:t>
      </w:r>
      <w:hyperlink r:id="rId70">
        <w:r>
          <w:rPr>
            <w:rStyle w:val="Hyperlink"/>
          </w:rPr>
          <w:t xml:space="preserve">https://doi.org/10.1071/WF08187</w:t>
        </w:r>
      </w:hyperlink>
    </w:p>
    <w:bookmarkEnd w:id="71"/>
    <w:bookmarkStart w:id="73" w:name="ref-flannigan2016"/>
    <w:p>
      <w:pPr>
        <w:pStyle w:val="Bibliography"/>
      </w:pPr>
      <w:r>
        <w:t>Flannigan, M. D., Wotton, B. M., Marshall, G. A., de Groot, W. J., Johnston, J., Jurko, N., &amp; Cantin, A. S. (2016). Fuel moisture sensitivity to temperature and precipitation: Climate change implications.</w:t>
      </w:r>
      <w:r>
        <w:t xml:space="preserve"> </w:t>
      </w:r>
      <w:r>
        <w:rPr>
          <w:i/>
          <w:iCs/>
        </w:rPr>
        <w:t>Climatic Change</w:t>
      </w:r>
      <w:r>
        <w:t>,</w:t>
      </w:r>
      <w:r>
        <w:t xml:space="preserve"> </w:t>
      </w:r>
      <w:r>
        <w:rPr>
          <w:i/>
          <w:iCs/>
        </w:rPr>
        <w:t>134</w:t>
      </w:r>
      <w:r>
        <w:t>(1), 59–71.</w:t>
      </w:r>
      <w:r>
        <w:t xml:space="preserve"> </w:t>
      </w:r>
      <w:hyperlink r:id="rId72">
        <w:r>
          <w:rPr>
            <w:rStyle w:val="Hyperlink"/>
          </w:rPr>
          <w:t xml:space="preserve">https://doi.org/10.1007/s10584-015-1521-0</w:t>
        </w:r>
      </w:hyperlink>
    </w:p>
    <w:bookmarkEnd w:id="73"/>
    <w:bookmarkStart w:id="75" w:name="ref-hansen2013"/>
    <w:p>
      <w:pPr>
        <w:pStyle w:val="Bibliography"/>
      </w:pPr>
      <w:r>
        <w:t>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Science</w:t>
      </w:r>
      <w:r>
        <w:t>,</w:t>
      </w:r>
      <w:r>
        <w:t xml:space="preserve"> </w:t>
      </w:r>
      <w:r>
        <w:rPr>
          <w:i/>
          <w:iCs/>
        </w:rPr>
        <w:t>342</w:t>
      </w:r>
      <w:r>
        <w:t>(6160), 850–853.</w:t>
      </w:r>
      <w:r>
        <w:t xml:space="preserve"> </w:t>
      </w:r>
      <w:hyperlink r:id="rId74">
        <w:r>
          <w:rPr>
            <w:rStyle w:val="Hyperlink"/>
          </w:rPr>
          <w:t xml:space="preserve">https://doi.org/10.1126/science.1244693</w:t>
        </w:r>
      </w:hyperlink>
    </w:p>
    <w:bookmarkEnd w:id="75"/>
    <w:bookmarkStart w:id="77" w:name="ref-jain2020review"/>
    <w:p>
      <w:pPr>
        <w:pStyle w:val="Bibliography"/>
      </w:pPr>
      <w:r>
        <w:t>Jain, P., Coogan, S. C. P., Subramanian, S. G., Crowley, M., Taylor, S., &amp; Flannigan, M. D. (2020). A review of machine learning applications in wildland fire science and management.</w:t>
      </w:r>
      <w:r>
        <w:t xml:space="preserve"> </w:t>
      </w:r>
      <w:r>
        <w:rPr>
          <w:i/>
          <w:iCs/>
        </w:rPr>
        <w:t>Environmental Reviews</w:t>
      </w:r>
      <w:r>
        <w:t>,</w:t>
      </w:r>
      <w:r>
        <w:t xml:space="preserve"> </w:t>
      </w:r>
      <w:r>
        <w:rPr>
          <w:i/>
          <w:iCs/>
        </w:rPr>
        <w:t>28</w:t>
      </w:r>
      <w:r>
        <w:t>(4), 478–505.</w:t>
      </w:r>
      <w:r>
        <w:t xml:space="preserve"> </w:t>
      </w:r>
      <w:hyperlink r:id="rId76">
        <w:r>
          <w:rPr>
            <w:rStyle w:val="Hyperlink"/>
          </w:rPr>
          <w:t xml:space="preserve">https://doi.org/10.1139/er-2020-0019</w:t>
        </w:r>
      </w:hyperlink>
    </w:p>
    <w:bookmarkEnd w:id="77"/>
    <w:bookmarkStart w:id="79" w:name="ref-jolly2015"/>
    <w:p>
      <w:pPr>
        <w:pStyle w:val="Bibliography"/>
      </w:pPr>
      <w:r>
        <w:t>Jolly, W. M., Cochrane, M. A., Freeborn, P. H., Holden, Z. A., Brown, T. J., Williamson, G. J., &amp; Bowman, D. M. J. S. (2015). Climate-induced variations in global wildfire danger from 1979 to 2013.</w:t>
      </w:r>
      <w:r>
        <w:t xml:space="preserve"> </w:t>
      </w:r>
      <w:r>
        <w:rPr>
          <w:i/>
          <w:iCs/>
        </w:rPr>
        <w:t>Nature Communications</w:t>
      </w:r>
      <w:r>
        <w:t>,</w:t>
      </w:r>
      <w:r>
        <w:t xml:space="preserve"> </w:t>
      </w:r>
      <w:r>
        <w:rPr>
          <w:i/>
          <w:iCs/>
        </w:rPr>
        <w:t>6</w:t>
      </w:r>
      <w:r>
        <w:t>, 7537.</w:t>
      </w:r>
      <w:r>
        <w:t xml:space="preserve"> </w:t>
      </w:r>
      <w:hyperlink r:id="rId78">
        <w:r>
          <w:rPr>
            <w:rStyle w:val="Hyperlink"/>
          </w:rPr>
          <w:t xml:space="preserve">https://doi.org/10.1038/ncomms8537</w:t>
        </w:r>
      </w:hyperlink>
    </w:p>
    <w:bookmarkEnd w:id="79"/>
    <w:bookmarkStart w:id="80" w:name="ref-ke2017lightgbm"/>
    <w:p>
      <w:pPr>
        <w:pStyle w:val="Bibliography"/>
      </w:pPr>
      <w:r>
        <w:t>Ke, G., Meng, Q., Finley, T., Wang, T., Chen, W., Ma, W., Ye, Q., &amp; Liu, T.-Y. (2017). LightGBM: A highly efficient gradient boosting decision tree.</w:t>
      </w:r>
      <w:r>
        <w:t xml:space="preserve"> </w:t>
      </w:r>
      <w:r>
        <w:rPr>
          <w:i/>
          <w:iCs/>
        </w:rPr>
        <w:t>Advances in Neural Information Processing Systems (NeurIPS)</w:t>
      </w:r>
      <w:r>
        <w:t>,</w:t>
      </w:r>
      <w:r>
        <w:t xml:space="preserve"> </w:t>
      </w:r>
      <w:r>
        <w:rPr>
          <w:i/>
          <w:iCs/>
        </w:rPr>
        <w:t>30</w:t>
      </w:r>
      <w:r>
        <w:t>, 3146–3154.</w:t>
      </w:r>
    </w:p>
    <w:bookmarkEnd w:id="80"/>
    <w:bookmarkStart w:id="82" w:name="ref-legendre1993"/>
    <w:p>
      <w:pPr>
        <w:pStyle w:val="Bibliography"/>
      </w:pPr>
      <w:r>
        <w:t>Legendre, P. (1993). Spatial autocorrelation: Trouble or new paradigm?</w:t>
      </w:r>
      <w:r>
        <w:t xml:space="preserve"> </w:t>
      </w:r>
      <w:r>
        <w:rPr>
          <w:i/>
          <w:iCs/>
        </w:rPr>
        <w:t>Ecology</w:t>
      </w:r>
      <w:r>
        <w:t>,</w:t>
      </w:r>
      <w:r>
        <w:t xml:space="preserve"> </w:t>
      </w:r>
      <w:r>
        <w:rPr>
          <w:i/>
          <w:iCs/>
        </w:rPr>
        <w:t>74</w:t>
      </w:r>
      <w:r>
        <w:t>(6), 1659–1673.</w:t>
      </w:r>
      <w:r>
        <w:t xml:space="preserve"> </w:t>
      </w:r>
      <w:hyperlink r:id="rId81">
        <w:r>
          <w:rPr>
            <w:rStyle w:val="Hyperlink"/>
          </w:rPr>
          <w:t xml:space="preserve">https://doi.org/10.2307/1939924</w:t>
        </w:r>
      </w:hyperlink>
    </w:p>
    <w:bookmarkEnd w:id="82"/>
    <w:bookmarkStart w:id="84" w:name="ref-lundberg2020treeshap"/>
    <w:p>
      <w:pPr>
        <w:pStyle w:val="Bibliography"/>
      </w:pPr>
      <w:r>
        <w:t>Lundberg, S. M., Erion, G., Chen, H., DeGrave, A., Prutkin, J. M., Nair, B., Katz, R., Himmelfarb, J., Bansal, N., &amp; Lee, S.-I. (2020). From local explanations to global understanding with explainable</w:t>
      </w:r>
      <w:r>
        <w:t xml:space="preserve"> </w:t>
      </w:r>
      <w:r>
        <w:t>AI</w:t>
      </w:r>
      <w:r>
        <w:t xml:space="preserve"> </w:t>
      </w:r>
      <w:r>
        <w:t>for trees.</w:t>
      </w:r>
      <w:r>
        <w:t xml:space="preserve"> </w:t>
      </w:r>
      <w:r>
        <w:rPr>
          <w:i/>
          <w:iCs/>
        </w:rPr>
        <w:t>Nature Machine Intelligence</w:t>
      </w:r>
      <w:r>
        <w:t>,</w:t>
      </w:r>
      <w:r>
        <w:t xml:space="preserve"> </w:t>
      </w:r>
      <w:r>
        <w:rPr>
          <w:i/>
          <w:iCs/>
        </w:rPr>
        <w:t>2</w:t>
      </w:r>
      <w:r>
        <w:t>(1), 56–67.</w:t>
      </w:r>
      <w:r>
        <w:t xml:space="preserve"> </w:t>
      </w:r>
      <w:hyperlink r:id="rId83">
        <w:r>
          <w:rPr>
            <w:rStyle w:val="Hyperlink"/>
          </w:rPr>
          <w:t xml:space="preserve">https://doi.org/10.1038/s42256-019-0138-9</w:t>
        </w:r>
      </w:hyperlink>
    </w:p>
    <w:bookmarkEnd w:id="84"/>
    <w:bookmarkStart w:id="86" w:name="ref-mapbiomas2023"/>
    <w:p>
      <w:pPr>
        <w:pStyle w:val="Bibliography"/>
      </w:pPr>
      <w:r>
        <w:t>MapBiomas Chaco. (2023).</w:t>
      </w:r>
      <w:r>
        <w:t xml:space="preserve"> </w:t>
      </w:r>
      <w:r>
        <w:rPr>
          <w:i/>
          <w:iCs/>
        </w:rPr>
        <w:t>Colecci</w:t>
      </w:r>
      <w:r>
        <w:rPr>
          <w:i/>
          <w:iCs/>
        </w:rPr>
        <w:t>ó</w:t>
      </w:r>
      <w:r>
        <w:rPr>
          <w:i/>
          <w:iCs/>
        </w:rPr>
        <w:t>n 2 de los mapas anuales de cobertura y uso del suelo del gran chaco americano</w:t>
      </w:r>
      <w:r>
        <w:t>.</w:t>
      </w:r>
      <w:r>
        <w:t xml:space="preserve"> </w:t>
      </w:r>
      <w:hyperlink r:id="rId85">
        <w:r>
          <w:rPr>
            <w:rStyle w:val="Hyperlink"/>
          </w:rPr>
          <w:t xml:space="preserve">https://chaco.mapbiomas.org/</w:t>
        </w:r>
      </w:hyperlink>
      <w:r>
        <w:t>.</w:t>
      </w:r>
    </w:p>
    <w:bookmarkEnd w:id="86"/>
    <w:bookmarkStart w:id="88" w:name="ref-munoz2021era5land"/>
    <w:p>
      <w:pPr>
        <w:pStyle w:val="Bibliography"/>
      </w:pPr>
      <w:r>
        <w:t>Muñoz-Sabater, J., Dutra, E., Agustı́-Panareda, A., Albergel, C., Arduini, G., Balsamo, G., Boussetta, S., Choulga, M., Harrigan, S., Hersbach, H., Martens, B., Miralles, D. G., Piles, M., Rodrı́guez-Fernández, N. J., Zsoter, E., Buontempo, C., &amp; Thépaut, J.-N. (2021).</w:t>
      </w:r>
      <w:r>
        <w:t xml:space="preserve"> </w:t>
      </w:r>
      <w:r>
        <w:t>ERA5-Land</w:t>
      </w:r>
      <w:r>
        <w:t>: A state-of-the-art global reanalysis dataset for land applications.</w:t>
      </w:r>
      <w:r>
        <w:t xml:space="preserve"> </w:t>
      </w:r>
      <w:r>
        <w:rPr>
          <w:i/>
          <w:iCs/>
        </w:rPr>
        <w:t>Earth System Science Data</w:t>
      </w:r>
      <w:r>
        <w:t>,</w:t>
      </w:r>
      <w:r>
        <w:t xml:space="preserve"> </w:t>
      </w:r>
      <w:r>
        <w:rPr>
          <w:i/>
          <w:iCs/>
        </w:rPr>
        <w:t>13</w:t>
      </w:r>
      <w:r>
        <w:t>(9), 4349–4383.</w:t>
      </w:r>
      <w:r>
        <w:t xml:space="preserve"> </w:t>
      </w:r>
      <w:hyperlink r:id="rId87">
        <w:r>
          <w:rPr>
            <w:rStyle w:val="Hyperlink"/>
          </w:rPr>
          <w:t xml:space="preserve">https://doi.org/10.5194/essd-13-4349-2021</w:t>
        </w:r>
      </w:hyperlink>
    </w:p>
    <w:bookmarkEnd w:id="88"/>
    <w:bookmarkStart w:id="90" w:name="ref-niculescu2005"/>
    <w:p>
      <w:pPr>
        <w:pStyle w:val="Bibliography"/>
      </w:pPr>
      <w:r>
        <w:t>Niculescu-Mizil, A., &amp; Caruana, R. (2005). Predicting good probabilities with supervised learning.</w:t>
      </w:r>
      <w:r>
        <w:t xml:space="preserve"> </w:t>
      </w:r>
      <w:r>
        <w:rPr>
          <w:i/>
          <w:iCs/>
        </w:rPr>
        <w:t>Proceedings of the 22nd International Conference on Machine Learning (ICML)</w:t>
      </w:r>
      <w:r>
        <w:t>, 625–632.</w:t>
      </w:r>
      <w:r>
        <w:t xml:space="preserve"> </w:t>
      </w:r>
      <w:hyperlink r:id="rId89">
        <w:r>
          <w:rPr>
            <w:rStyle w:val="Hyperlink"/>
          </w:rPr>
          <w:t xml:space="preserve">https://doi.org/10.1145/1102351.1102430</w:t>
        </w:r>
      </w:hyperlink>
    </w:p>
    <w:bookmarkEnd w:id="90"/>
    <w:bookmarkStart w:id="92" w:name="ref-pivello2021"/>
    <w:p>
      <w:pPr>
        <w:pStyle w:val="Bibliography"/>
      </w:pPr>
      <w:r>
        <w:t>Pivello, V. R., Vieira, I., Christianini, A. V., Ribeiro, D. B., da Silva Menezes, L., Berlinck, C. N., Melo, F. P. L., Marengo, J. A., Tornquist, C. G., Tomas, W. M., &amp; Overbeck, G. E. (2021). Understanding Brazil’s catastrophic fires: Causes, consequences and policy needed.</w:t>
      </w:r>
      <w:r>
        <w:t xml:space="preserve"> </w:t>
      </w:r>
      <w:r>
        <w:rPr>
          <w:i/>
          <w:iCs/>
        </w:rPr>
        <w:t>Perspectives in Ecology and Conservation</w:t>
      </w:r>
      <w:r>
        <w:t>,</w:t>
      </w:r>
      <w:r>
        <w:t xml:space="preserve"> </w:t>
      </w:r>
      <w:r>
        <w:rPr>
          <w:i/>
          <w:iCs/>
        </w:rPr>
        <w:t>19</w:t>
      </w:r>
      <w:r>
        <w:t>(3), 233–255.</w:t>
      </w:r>
      <w:r>
        <w:t xml:space="preserve"> </w:t>
      </w:r>
      <w:hyperlink r:id="rId91">
        <w:r>
          <w:rPr>
            <w:rStyle w:val="Hyperlink"/>
          </w:rPr>
          <w:t xml:space="preserve">https://doi.org/10.1016/j.pecon.2021.06.005</w:t>
        </w:r>
      </w:hyperlink>
    </w:p>
    <w:bookmarkEnd w:id="92"/>
    <w:bookmarkStart w:id="93" w:name="ref-platt1999"/>
    <w:p>
      <w:pPr>
        <w:pStyle w:val="Bibliography"/>
      </w:pPr>
      <w:r>
        <w:t>Platt, J. (1999). Probabilistic outputs for support vector machines and comparisons to regularized likelihood methods.</w:t>
      </w:r>
      <w:r>
        <w:t xml:space="preserve"> </w:t>
      </w:r>
      <w:r>
        <w:rPr>
          <w:i/>
          <w:iCs/>
        </w:rPr>
        <w:t>Advances in Large Margin Classifiers</w:t>
      </w:r>
      <w:r>
        <w:t>, 61–74.</w:t>
      </w:r>
    </w:p>
    <w:bookmarkEnd w:id="93"/>
    <w:bookmarkStart w:id="95" w:name="ref-ploton2020"/>
    <w:p>
      <w:pPr>
        <w:pStyle w:val="Bibliography"/>
      </w:pPr>
      <w:r>
        <w:t>Ploton, P., Mortier, F., Réjou-Méchain, M., Barbier, N., Picard, N., Rossi, V., Dormann, C. F., Cornu, G., Viennois, G., Bayol, N., &amp; Pélissier, R. (2020). Spatial validation reveals poor predictive performance of large-scale ecological mapping models.</w:t>
      </w:r>
      <w:r>
        <w:t xml:space="preserve"> </w:t>
      </w:r>
      <w:r>
        <w:rPr>
          <w:i/>
          <w:iCs/>
        </w:rPr>
        <w:t>Nature Communications</w:t>
      </w:r>
      <w:r>
        <w:t>,</w:t>
      </w:r>
      <w:r>
        <w:t xml:space="preserve"> </w:t>
      </w:r>
      <w:r>
        <w:rPr>
          <w:i/>
          <w:iCs/>
        </w:rPr>
        <w:t>11</w:t>
      </w:r>
      <w:r>
        <w:t>, 4540.</w:t>
      </w:r>
      <w:r>
        <w:t xml:space="preserve"> </w:t>
      </w:r>
      <w:hyperlink r:id="rId94">
        <w:r>
          <w:rPr>
            <w:rStyle w:val="Hyperlink"/>
          </w:rPr>
          <w:t xml:space="preserve">https://doi.org/10.1038/s41467-020-18321-y</w:t>
        </w:r>
      </w:hyperlink>
    </w:p>
    <w:bookmarkEnd w:id="95"/>
    <w:bookmarkStart w:id="97" w:name="ref-raasveldt2019duckdb"/>
    <w:p>
      <w:pPr>
        <w:pStyle w:val="Bibliography"/>
      </w:pPr>
      <w:r>
        <w:t>Raasveldt, M., &amp; Mühleisen, H. (2019). DuckDB: An embeddable analytical database.</w:t>
      </w:r>
      <w:r>
        <w:t xml:space="preserve"> </w:t>
      </w:r>
      <w:r>
        <w:rPr>
          <w:i/>
          <w:iCs/>
        </w:rPr>
        <w:t>Proceedings of the 2019 International Conference on Management of Data (SIGMOD)</w:t>
      </w:r>
      <w:r>
        <w:t>, 1981–1984.</w:t>
      </w:r>
      <w:r>
        <w:t xml:space="preserve"> </w:t>
      </w:r>
      <w:hyperlink r:id="rId96">
        <w:r>
          <w:rPr>
            <w:rStyle w:val="Hyperlink"/>
          </w:rPr>
          <w:t xml:space="preserve">https://doi.org/10.1145/3299869.3320212</w:t>
        </w:r>
      </w:hyperlink>
    </w:p>
    <w:bookmarkEnd w:id="97"/>
    <w:bookmarkStart w:id="99" w:name="ref-roberts2017"/>
    <w:p>
      <w:pPr>
        <w:pStyle w:val="Bibliography"/>
      </w:pPr>
      <w:r>
        <w:t>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Ecography</w:t>
      </w:r>
      <w:r>
        <w:t>,</w:t>
      </w:r>
      <w:r>
        <w:t xml:space="preserve"> </w:t>
      </w:r>
      <w:r>
        <w:rPr>
          <w:i/>
          <w:iCs/>
        </w:rPr>
        <w:t>40</w:t>
      </w:r>
      <w:r>
        <w:t>(8), 913–929.</w:t>
      </w:r>
      <w:r>
        <w:t xml:space="preserve"> </w:t>
      </w:r>
      <w:hyperlink r:id="rId98">
        <w:r>
          <w:rPr>
            <w:rStyle w:val="Hyperlink"/>
          </w:rPr>
          <w:t xml:space="preserve">https://doi.org/10.1111/ecog.02881</w:t>
        </w:r>
      </w:hyperlink>
    </w:p>
    <w:bookmarkEnd w:id="99"/>
    <w:bookmarkStart w:id="101" w:name="ref-sanmiguel2012"/>
    <w:p>
      <w:pPr>
        <w:pStyle w:val="Bibliography"/>
      </w:pPr>
      <w:r>
        <w:t>San-Miguel-Ayanz, J., Schulte, E., Schmuck, G., Camia, A., Strobl, P., Liberta, G., Giovando, C., Boca, R., Sedano, F., Kempeneers, P., McInerney, D., &amp; Houston Durrant, T. (2012). Comprehensive monitoring of wildfires in Europe: The European forest fire information system (</w:t>
      </w:r>
      <w:r>
        <w:t>EFFIS</w:t>
      </w:r>
      <w:r>
        <w:t>).</w:t>
      </w:r>
      <w:r>
        <w:t xml:space="preserve"> </w:t>
      </w:r>
      <w:r>
        <w:rPr>
          <w:i/>
          <w:iCs/>
        </w:rPr>
        <w:t>Approaches to Managing Disaster - Assessing Hazards, Emergencies and Disaster Impacts</w:t>
      </w:r>
      <w:r>
        <w:t>, 87–108.</w:t>
      </w:r>
      <w:r>
        <w:t xml:space="preserve"> </w:t>
      </w:r>
      <w:hyperlink r:id="rId100">
        <w:r>
          <w:rPr>
            <w:rStyle w:val="Hyperlink"/>
          </w:rPr>
          <w:t xml:space="preserve">https://doi.org/10.5772/28441</w:t>
        </w:r>
      </w:hyperlink>
    </w:p>
    <w:bookmarkEnd w:id="101"/>
    <w:bookmarkStart w:id="103" w:name="ref-schroeder2014"/>
    <w:p>
      <w:pPr>
        <w:pStyle w:val="Bibliography"/>
      </w:pPr>
      <w:r>
        <w:t>Schroeder, W., Oliva, P., Giglio, L., &amp; Csiszar, I. A. (2014). The new</w:t>
      </w:r>
      <w:r>
        <w:t xml:space="preserve"> </w:t>
      </w:r>
      <w:r>
        <w:t>VIIRS</w:t>
      </w:r>
      <w:r>
        <w:t xml:space="preserve"> </w:t>
      </w:r>
      <w:r>
        <w:t>375 m active fire detection data product: Algorithm description and initial assessment.</w:t>
      </w:r>
      <w:r>
        <w:t xml:space="preserve"> </w:t>
      </w:r>
      <w:r>
        <w:rPr>
          <w:i/>
          <w:iCs/>
        </w:rPr>
        <w:t>Remote Sensing of Environment</w:t>
      </w:r>
      <w:r>
        <w:t>,</w:t>
      </w:r>
      <w:r>
        <w:t xml:space="preserve"> </w:t>
      </w:r>
      <w:r>
        <w:rPr>
          <w:i/>
          <w:iCs/>
        </w:rPr>
        <w:t>143</w:t>
      </w:r>
      <w:r>
        <w:t>, 85–96.</w:t>
      </w:r>
      <w:r>
        <w:t xml:space="preserve"> </w:t>
      </w:r>
      <w:hyperlink r:id="rId102">
        <w:r>
          <w:rPr>
            <w:rStyle w:val="Hyperlink"/>
          </w:rPr>
          <w:t xml:space="preserve">https://doi.org/10.1016/j.rse.2013.12.008</w:t>
        </w:r>
      </w:hyperlink>
    </w:p>
    <w:bookmarkEnd w:id="103"/>
    <w:bookmarkStart w:id="105" w:name="ref-setzer2019"/>
    <w:p>
      <w:pPr>
        <w:pStyle w:val="Bibliography"/>
      </w:pPr>
      <w:r>
        <w:t>Setzer, A., Sismanoglu, F., Alberto, M. C., Silva, J., &amp; Morelli, F. (2019).</w:t>
      </w:r>
      <w:r>
        <w:t xml:space="preserve"> </w:t>
      </w:r>
      <w:r>
        <w:rPr>
          <w:i/>
          <w:iCs/>
        </w:rPr>
        <w:t>O m</w:t>
      </w:r>
      <w:r>
        <w:rPr>
          <w:i/>
          <w:iCs/>
        </w:rPr>
        <w:t>é</w:t>
      </w:r>
      <w:r>
        <w:rPr>
          <w:i/>
          <w:iCs/>
        </w:rPr>
        <w:t>todo de c</w:t>
      </w:r>
      <w:r>
        <w:rPr>
          <w:i/>
          <w:iCs/>
        </w:rPr>
        <w:t>á</w:t>
      </w:r>
      <w:r>
        <w:rPr>
          <w:i/>
          <w:iCs/>
        </w:rPr>
        <w:t>lculo do risco de fogo do</w:t>
      </w:r>
      <w:r>
        <w:rPr>
          <w:i/>
          <w:iCs/>
        </w:rPr>
        <w:t xml:space="preserve"> </w:t>
      </w:r>
      <w:r>
        <w:rPr>
          <w:i/>
          <w:iCs/>
        </w:rPr>
        <w:t>INPE</w:t>
      </w:r>
      <w:r>
        <w:rPr>
          <w:i/>
          <w:iCs/>
        </w:rPr>
        <w:t xml:space="preserve"> </w:t>
      </w:r>
      <w:r>
        <w:rPr>
          <w:i/>
          <w:iCs/>
        </w:rPr>
        <w:t>- vers</w:t>
      </w:r>
      <w:r>
        <w:rPr>
          <w:i/>
          <w:iCs/>
        </w:rPr>
        <w:t>ã</w:t>
      </w:r>
      <w:r>
        <w:rPr>
          <w:i/>
          <w:iCs/>
        </w:rPr>
        <w:t>o 2019</w:t>
      </w:r>
      <w:r>
        <w:t>. Instituto Nacional de Pesquisas Espaciais (INPE).</w:t>
      </w:r>
      <w:r>
        <w:t xml:space="preserve"> </w:t>
      </w:r>
      <w:hyperlink r:id="rId104">
        <w:r>
          <w:rPr>
            <w:rStyle w:val="Hyperlink"/>
          </w:rPr>
          <w:t xml:space="preserve">http://queimadas.dgi.inpe.br</w:t>
        </w:r>
      </w:hyperlink>
    </w:p>
    <w:bookmarkEnd w:id="105"/>
    <w:bookmarkStart w:id="107" w:name="ref-stocks1989"/>
    <w:p>
      <w:pPr>
        <w:pStyle w:val="Bibliography"/>
      </w:pPr>
      <w:r>
        <w:t>Stocks, B. J., Lawson, B. D., Alexander, M. E., Van Wagner, C. E., McAlpine, R. S., Lynham, T. J., &amp; Dubé, D. E. (1989). The Canadian forest fire danger rating system: An overview.</w:t>
      </w:r>
      <w:r>
        <w:t xml:space="preserve"> </w:t>
      </w:r>
      <w:r>
        <w:rPr>
          <w:i/>
          <w:iCs/>
        </w:rPr>
        <w:t>The Forestry Chronicle</w:t>
      </w:r>
      <w:r>
        <w:t>,</w:t>
      </w:r>
      <w:r>
        <w:t xml:space="preserve"> </w:t>
      </w:r>
      <w:r>
        <w:rPr>
          <w:i/>
          <w:iCs/>
        </w:rPr>
        <w:t>65</w:t>
      </w:r>
      <w:r>
        <w:t>(4), 258–265.</w:t>
      </w:r>
      <w:r>
        <w:t xml:space="preserve"> </w:t>
      </w:r>
      <w:hyperlink r:id="rId106">
        <w:r>
          <w:rPr>
            <w:rStyle w:val="Hyperlink"/>
          </w:rPr>
          <w:t xml:space="preserve">https://doi.org/10.5558/tfc65258-4</w:t>
        </w:r>
      </w:hyperlink>
    </w:p>
    <w:bookmarkEnd w:id="107"/>
    <w:bookmarkStart w:id="109" w:name="ref-tobler1970"/>
    <w:p>
      <w:pPr>
        <w:pStyle w:val="Bibliography"/>
      </w:pPr>
      <w:r>
        <w:t>Tobler, W. R. (1970). A computer movie simulating urban growth in the Detroit region.</w:t>
      </w:r>
      <w:r>
        <w:t xml:space="preserve"> </w:t>
      </w:r>
      <w:r>
        <w:rPr>
          <w:i/>
          <w:iCs/>
        </w:rPr>
        <w:t>Economic Geography</w:t>
      </w:r>
      <w:r>
        <w:t>,</w:t>
      </w:r>
      <w:r>
        <w:t xml:space="preserve"> </w:t>
      </w:r>
      <w:r>
        <w:rPr>
          <w:i/>
          <w:iCs/>
        </w:rPr>
        <w:t>46</w:t>
      </w:r>
      <w:r>
        <w:t>(sup1), 234–240.</w:t>
      </w:r>
      <w:r>
        <w:t xml:space="preserve"> </w:t>
      </w:r>
      <w:hyperlink r:id="rId108">
        <w:r>
          <w:rPr>
            <w:rStyle w:val="Hyperlink"/>
          </w:rPr>
          <w:t xml:space="preserve">https://doi.org/10.2307/143141</w:t>
        </w:r>
      </w:hyperlink>
    </w:p>
    <w:bookmarkEnd w:id="109"/>
    <w:bookmarkStart w:id="111" w:name="ref-vallejos2015"/>
    <w:p>
      <w:pPr>
        <w:pStyle w:val="Bibliography"/>
      </w:pPr>
      <w:r>
        <w:t>Vallejos, M., Volante, J. N., Mosciaro, M. J., Vale, L. M., Bustamante, M. L., &amp; Paruelo, J. M. (2015). Transformation dynamics of the natural cover in the dry Chaco ecoregion: A plot level geo-database from 1976 to 2012.</w:t>
      </w:r>
      <w:r>
        <w:t xml:space="preserve"> </w:t>
      </w:r>
      <w:r>
        <w:rPr>
          <w:i/>
          <w:iCs/>
        </w:rPr>
        <w:t>Journal of Arid Environments</w:t>
      </w:r>
      <w:r>
        <w:t>,</w:t>
      </w:r>
      <w:r>
        <w:t xml:space="preserve"> </w:t>
      </w:r>
      <w:r>
        <w:rPr>
          <w:i/>
          <w:iCs/>
        </w:rPr>
        <w:t>123</w:t>
      </w:r>
      <w:r>
        <w:t>, 3–11.</w:t>
      </w:r>
      <w:r>
        <w:t xml:space="preserve"> </w:t>
      </w:r>
      <w:hyperlink r:id="rId110">
        <w:r>
          <w:rPr>
            <w:rStyle w:val="Hyperlink"/>
          </w:rPr>
          <w:t xml:space="preserve">https://doi.org/10.1016/j.jaridenv.2014.11.009</w:t>
        </w:r>
      </w:hyperlink>
    </w:p>
    <w:bookmarkEnd w:id="111"/>
    <w:bookmarkStart w:id="112" w:name="ref-vanwagner1987"/>
    <w:p>
      <w:pPr>
        <w:pStyle w:val="Bibliography"/>
      </w:pPr>
      <w:r>
        <w:t>Van Wagner, C. E. (1987). Development and structure of The Canadian Forest Fire Weather Index System.</w:t>
      </w:r>
      <w:r>
        <w:t xml:space="preserve"> </w:t>
      </w:r>
      <w:r>
        <w:rPr>
          <w:i/>
          <w:iCs/>
        </w:rPr>
        <w:t>Canadian Forestry Service, Forestry Technical Report</w:t>
      </w:r>
      <w:r>
        <w:t>,</w:t>
      </w:r>
      <w:r>
        <w:t xml:space="preserve"> </w:t>
      </w:r>
      <w:r>
        <w:rPr>
          <w:i/>
          <w:iCs/>
        </w:rPr>
        <w:t>35</w:t>
      </w:r>
      <w:r>
        <w:t>, 1–37.</w:t>
      </w:r>
    </w:p>
    <w:bookmarkEnd w:id="112"/>
    <w:bookmarkEnd w:id="113"/>
    <w:bookmarkEnd w:id="114"/>
    <w:sectPr>
      <w:footerReference w:type="default" r:id="rId9"/>
      <w:footnotePr>
        <w:numRestart w:val="eachSect"/>
      </w:footnotePr>
      <w:pgSz w:w="12240" w:h="15840"/>
      <w:pgMar w:left="1440" w:right="1440" w:top="1440" w:bottom="1440" w:header="720" w:footer="720"/>
      <w:lnNumType w:countBy="1" w:restart="continuous"/>
      <w:pgNumType w:start="1"/>
      <w:cols w:num="1"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0"/>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0"/>
    </w:pPr>
    <w:rPr>
      <w:rFonts w:ascii="Times New Roman" w:hAnsi="Times New Roman" w:cs="Times New Roman" w:eastAsia="Times New Roman"/>
      <w:color w:val="000000"/>
      <w:sz w:val="24"/>
    </w:rPr>
  </w:style>
  <w:style w:styleId="BodyText" w:type="paragraph">
    <w:name w:val="Body Text"/>
    <w:basedOn w:val="Normal"/>
    <w:link w:val="BodyTextChar"/>
    <w:qFormat/>
    <w:pPr>
      <w:spacing w:after="0" w:before="0" w:line="480" w:lineRule="auto"/>
    </w:pPr>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480" w:lineRule="auto" w:before="0" w:after="0"/>
    </w:pPr>
    <w:rPr>
      <w:rFonts w:ascii="Times New Roman" w:hAnsi="Times New Roman" w:cs="Times New Roman" w:eastAsia="Times New Roman"/>
      <w:color w:val="000000"/>
      <w:sz w:val="24"/>
    </w:rPr>
  </w:style>
  <w:style w:customStyle="1" w:styleId="Compact" w:type="paragraph">
    <w:name w:val="Compact"/>
    <w:basedOn w:val="BodyText"/>
    <w:qFormat/>
    <w:pPr>
      <w:spacing w:after="0" w:before="0" w:line="480" w:lineRule="auto"/>
    </w:pPr>
    <w:rPr>
      <w:rFonts w:ascii="Times New Roman" w:hAnsi="Times New Roman" w:cs="Times New Roman" w:eastAsia="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imes New Roman" w:hAnsi="Times New Roman" w:cs="Times New Roman" w:eastAsia="Times New Roman"/>
      <w:b/>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jc w:val="center"/>
    </w:pPr>
    <w:rPr>
      <w:rFonts w:ascii="Times New Roman" w:hAnsi="Times New Roman" w:cs="Times New Roman" w:eastAsia="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color w:val="000000"/>
      <w:sz w:val="24"/>
      <w:szCs w:val="24"/>
    </w:rPr>
  </w:style>
  <w:style w:styleId="Date" w:type="paragraph">
    <w:name w:val="Date"/>
    <w:basedOn w:val="Title"/>
    <w:next w:val="BodyText"/>
    <w:qFormat/>
    <w:pPr>
      <w:keepNext/>
      <w:keepLines/>
    </w:pPr>
    <w:rPr>
      <w:rFonts w:ascii="Times New Roman" w:hAnsi="Times New Roman" w:cs="Times New Roman" w:eastAsia="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color w:val="000000"/>
      <w:sz w:val="24"/>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color w:val="000000"/>
      <w:sz w:val="24"/>
      <w:szCs w:val="20"/>
    </w:rPr>
  </w:style>
  <w:style w:styleId="Bibliography" w:type="paragraph">
    <w:name w:val="Bibliography"/>
    <w:basedOn w:val="Normal"/>
    <w:next w:val="Bibliography"/>
    <w:qFormat/>
    <w:pPr>
      <w:spacing w:line="480" w:lineRule="auto" w:before="0" w:after="0"/>
      <w:ind w:left="720" w:hanging="720"/>
    </w:pPr>
    <w:rPr>
      <w:rFonts w:ascii="Times New Roman" w:hAnsi="Times New Roman" w:cs="Times New Roman" w:eastAsia="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hAnsi="Times New Roman" w:cs="Times New Roman" w:eastAsia="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480" w:lineRule="auto"/>
      <w:outlineLvl w:val="1"/>
    </w:pPr>
    <w:rPr>
      <w:rFonts w:ascii="Times New Roman" w:hAnsi="Times New Roman" w:cs="Times New Roman" w:eastAsia="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cs="Times New Roman" w:eastAsia="Times New Roman"/>
      <w:color w:val="000000"/>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line="240" w:lineRule="auto"/>
    </w:pPr>
    <w:rPr>
      <w:rFonts w:ascii="Times New Roman" w:hAnsi="Times New Roman" w:cs="Times New Roman" w:eastAsia="Times New Roman"/>
      <w:color w:val="000000"/>
      <w:sz w:val="20"/>
    </w:rPr>
  </w:style>
  <w:style w:customStyle="1" w:styleId="TableCaption" w:type="paragraph">
    <w:name w:val="Table Caption"/>
    <w:basedOn w:val="Caption"/>
    <w:pPr>
      <w:keepNext/>
      <w:spacing w:line="240" w:lineRule="auto" w:before="120" w:after="120"/>
    </w:pPr>
    <w:rPr>
      <w:rFonts w:ascii="Times New Roman" w:hAnsi="Times New Roman" w:cs="Times New Roman" w:eastAsia="Times New Roman"/>
      <w:color w:val="000000"/>
      <w:sz w:val="20"/>
    </w:rPr>
  </w:style>
  <w:style w:customStyle="1" w:styleId="ImageCaption" w:type="paragraph">
    <w:name w:val="Image Caption"/>
    <w:basedOn w:val="Caption"/>
    <w:pPr>
      <w:spacing w:line="240" w:lineRule="auto" w:before="120" w:after="120"/>
    </w:pPr>
    <w:rPr>
      <w:rFonts w:ascii="Times New Roman" w:hAnsi="Times New Roman" w:cs="Times New Roman" w:eastAsia="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6" Type="http://schemas.openxmlformats.org/officeDocument/2006/relationships/image" Target="media/rId26.png"/><Relationship Id="rId39" Type="http://schemas.openxmlformats.org/officeDocument/2006/relationships/image" Target="media/rId39.png"/><Relationship Id="rId32" Type="http://schemas.openxmlformats.org/officeDocument/2006/relationships/image" Target="media/rId32.png"/><Relationship Id="rId104" Type="http://schemas.openxmlformats.org/officeDocument/2006/relationships/hyperlink" Target="http://queimadas.dgi.inpe.br" TargetMode="External"/><Relationship Id="rId85" Type="http://schemas.openxmlformats.org/officeDocument/2006/relationships/hyperlink" Target="https://chaco.mapbiomas.org/" TargetMode="External"/><Relationship Id="rId72" Type="http://schemas.openxmlformats.org/officeDocument/2006/relationships/hyperlink" Target="https://doi.org/10.1007/s10584-015-1521-0" TargetMode="External"/><Relationship Id="rId110" Type="http://schemas.openxmlformats.org/officeDocument/2006/relationships/hyperlink" Target="https://doi.org/10.1016/j.jaridenv.2014.11.009" TargetMode="External"/><Relationship Id="rId91" Type="http://schemas.openxmlformats.org/officeDocument/2006/relationships/hyperlink" Target="https://doi.org/10.1016/j.pecon.2021.06.005" TargetMode="External"/><Relationship Id="rId102" Type="http://schemas.openxmlformats.org/officeDocument/2006/relationships/hyperlink" Target="https://doi.org/10.1016/j.rse.2013.12.008" TargetMode="External"/><Relationship Id="rId78" Type="http://schemas.openxmlformats.org/officeDocument/2006/relationships/hyperlink" Target="https://doi.org/10.1038/ncomms8537" TargetMode="External"/><Relationship Id="rId94" Type="http://schemas.openxmlformats.org/officeDocument/2006/relationships/hyperlink" Target="https://doi.org/10.1038/s41467-020-18321-y" TargetMode="External"/><Relationship Id="rId83" Type="http://schemas.openxmlformats.org/officeDocument/2006/relationships/hyperlink" Target="https://doi.org/10.1038/s42256-019-0138-9" TargetMode="External"/><Relationship Id="rId70" Type="http://schemas.openxmlformats.org/officeDocument/2006/relationships/hyperlink" Target="https://doi.org/10.1071/WF08187" TargetMode="External"/><Relationship Id="rId98" Type="http://schemas.openxmlformats.org/officeDocument/2006/relationships/hyperlink" Target="https://doi.org/10.1111/ecog.02881" TargetMode="External"/><Relationship Id="rId66" Type="http://schemas.openxmlformats.org/officeDocument/2006/relationships/hyperlink" Target="https://doi.org/10.1111/gcb.13521" TargetMode="External"/><Relationship Id="rId68" Type="http://schemas.openxmlformats.org/officeDocument/2006/relationships/hyperlink" Target="https://doi.org/10.1111/j.2007.0906-7590.05171.x" TargetMode="External"/><Relationship Id="rId74" Type="http://schemas.openxmlformats.org/officeDocument/2006/relationships/hyperlink" Target="https://doi.org/10.1126/science.1244693" TargetMode="External"/><Relationship Id="rId76" Type="http://schemas.openxmlformats.org/officeDocument/2006/relationships/hyperlink" Target="https://doi.org/10.1139/er-2020-0019" TargetMode="External"/><Relationship Id="rId89" Type="http://schemas.openxmlformats.org/officeDocument/2006/relationships/hyperlink" Target="https://doi.org/10.1145/1102351.1102430" TargetMode="External"/><Relationship Id="rId96" Type="http://schemas.openxmlformats.org/officeDocument/2006/relationships/hyperlink" Target="https://doi.org/10.1145/3299869.3320212" TargetMode="External"/><Relationship Id="rId108" Type="http://schemas.openxmlformats.org/officeDocument/2006/relationships/hyperlink" Target="https://doi.org/10.2307/143141" TargetMode="External"/><Relationship Id="rId81" Type="http://schemas.openxmlformats.org/officeDocument/2006/relationships/hyperlink" Target="https://doi.org/10.2307/1939924" TargetMode="External"/><Relationship Id="rId62" Type="http://schemas.openxmlformats.org/officeDocument/2006/relationships/hyperlink" Target="https://doi.org/10.3390/rs10091438" TargetMode="External"/><Relationship Id="rId64" Type="http://schemas.openxmlformats.org/officeDocument/2006/relationships/hyperlink" Target="https://doi.org/10.3390/s20226442" TargetMode="External"/><Relationship Id="rId87" Type="http://schemas.openxmlformats.org/officeDocument/2006/relationships/hyperlink" Target="https://doi.org/10.5194/essd-13-4349-2021" TargetMode="External"/><Relationship Id="rId60" Type="http://schemas.openxmlformats.org/officeDocument/2006/relationships/hyperlink" Target="https://doi.org/10.5281/zenodo.23675104" TargetMode="External"/><Relationship Id="rId53" Type="http://schemas.openxmlformats.org/officeDocument/2006/relationships/hyperlink" Target="https://doi.org/10.5281/zenodo.23675278" TargetMode="External"/><Relationship Id="rId106" Type="http://schemas.openxmlformats.org/officeDocument/2006/relationships/hyperlink" Target="https://doi.org/10.5558/tfc65258-4" TargetMode="External"/><Relationship Id="rId100" Type="http://schemas.openxmlformats.org/officeDocument/2006/relationships/hyperlink" Target="https://doi.org/10.5772/2844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4" Type="http://schemas.openxmlformats.org/officeDocument/2006/relationships/hyperlink" Target="http://queimadas.dgi.inpe.br" TargetMode="External"/><Relationship Id="rId85" Type="http://schemas.openxmlformats.org/officeDocument/2006/relationships/hyperlink" Target="https://chaco.mapbiomas.org/" TargetMode="External"/><Relationship Id="rId72" Type="http://schemas.openxmlformats.org/officeDocument/2006/relationships/hyperlink" Target="https://doi.org/10.1007/s10584-015-1521-0" TargetMode="External"/><Relationship Id="rId110" Type="http://schemas.openxmlformats.org/officeDocument/2006/relationships/hyperlink" Target="https://doi.org/10.1016/j.jaridenv.2014.11.009" TargetMode="External"/><Relationship Id="rId91" Type="http://schemas.openxmlformats.org/officeDocument/2006/relationships/hyperlink" Target="https://doi.org/10.1016/j.pecon.2021.06.005" TargetMode="External"/><Relationship Id="rId102" Type="http://schemas.openxmlformats.org/officeDocument/2006/relationships/hyperlink" Target="https://doi.org/10.1016/j.rse.2013.12.008" TargetMode="External"/><Relationship Id="rId78" Type="http://schemas.openxmlformats.org/officeDocument/2006/relationships/hyperlink" Target="https://doi.org/10.1038/ncomms8537" TargetMode="External"/><Relationship Id="rId94" Type="http://schemas.openxmlformats.org/officeDocument/2006/relationships/hyperlink" Target="https://doi.org/10.1038/s41467-020-18321-y" TargetMode="External"/><Relationship Id="rId83" Type="http://schemas.openxmlformats.org/officeDocument/2006/relationships/hyperlink" Target="https://doi.org/10.1038/s42256-019-0138-9" TargetMode="External"/><Relationship Id="rId70" Type="http://schemas.openxmlformats.org/officeDocument/2006/relationships/hyperlink" Target="https://doi.org/10.1071/WF08187" TargetMode="External"/><Relationship Id="rId98" Type="http://schemas.openxmlformats.org/officeDocument/2006/relationships/hyperlink" Target="https://doi.org/10.1111/ecog.02881" TargetMode="External"/><Relationship Id="rId66" Type="http://schemas.openxmlformats.org/officeDocument/2006/relationships/hyperlink" Target="https://doi.org/10.1111/gcb.13521" TargetMode="External"/><Relationship Id="rId68" Type="http://schemas.openxmlformats.org/officeDocument/2006/relationships/hyperlink" Target="https://doi.org/10.1111/j.2007.0906-7590.05171.x" TargetMode="External"/><Relationship Id="rId74" Type="http://schemas.openxmlformats.org/officeDocument/2006/relationships/hyperlink" Target="https://doi.org/10.1126/science.1244693" TargetMode="External"/><Relationship Id="rId76" Type="http://schemas.openxmlformats.org/officeDocument/2006/relationships/hyperlink" Target="https://doi.org/10.1139/er-2020-0019" TargetMode="External"/><Relationship Id="rId89" Type="http://schemas.openxmlformats.org/officeDocument/2006/relationships/hyperlink" Target="https://doi.org/10.1145/1102351.1102430" TargetMode="External"/><Relationship Id="rId96" Type="http://schemas.openxmlformats.org/officeDocument/2006/relationships/hyperlink" Target="https://doi.org/10.1145/3299869.3320212" TargetMode="External"/><Relationship Id="rId108" Type="http://schemas.openxmlformats.org/officeDocument/2006/relationships/hyperlink" Target="https://doi.org/10.2307/143141" TargetMode="External"/><Relationship Id="rId81" Type="http://schemas.openxmlformats.org/officeDocument/2006/relationships/hyperlink" Target="https://doi.org/10.2307/1939924" TargetMode="External"/><Relationship Id="rId62" Type="http://schemas.openxmlformats.org/officeDocument/2006/relationships/hyperlink" Target="https://doi.org/10.3390/rs10091438" TargetMode="External"/><Relationship Id="rId64" Type="http://schemas.openxmlformats.org/officeDocument/2006/relationships/hyperlink" Target="https://doi.org/10.3390/s20226442" TargetMode="External"/><Relationship Id="rId87" Type="http://schemas.openxmlformats.org/officeDocument/2006/relationships/hyperlink" Target="https://doi.org/10.5194/essd-13-4349-2021" TargetMode="External"/><Relationship Id="rId60" Type="http://schemas.openxmlformats.org/officeDocument/2006/relationships/hyperlink" Target="https://doi.org/10.5281/zenodo.23675104" TargetMode="External"/><Relationship Id="rId53" Type="http://schemas.openxmlformats.org/officeDocument/2006/relationships/hyperlink" Target="https://doi.org/10.5281/zenodo.23675278" TargetMode="External"/><Relationship Id="rId106" Type="http://schemas.openxmlformats.org/officeDocument/2006/relationships/hyperlink" Target="https://doi.org/10.5558/tfc65258-4" TargetMode="External"/><Relationship Id="rId100" Type="http://schemas.openxmlformats.org/officeDocument/2006/relationships/hyperlink" Target="https://doi.org/10.5772/284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2026-10-28T22:29:39Z</dcterms:created>
  <dcterms:modified xsi:type="dcterms:W3CDTF">2026-10-28T22:29:39Z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targets, M3/M2 inference, and an open benchmark against Canadian FWI and INPE</vt:lpwstr>
  </property>
  <property fmtid="{D5CDD505-2E9C-101B-9397-08002B2CF9AE}" pid="11" name="toc-title">
    <vt:lpwstr>Table of contents</vt:lpwstr>
  </property>
</Properties>
</file>