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5.png" ContentType="image/png"/>
  <Override PartName="/word/media/rId3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w:t>
      </w:r>
    </w:p>
    <w:p>
      <w:pPr>
        <w:pStyle w:val="Subtitle"/>
      </w:pPr>
      <w:r>
        <w:t xml:space="preserve">D2 targets, gated M3/M1 inference, and an open benchmark against Canadian FWI and INPE</w:t>
      </w:r>
    </w:p>
    <w:p>
      <w:pPr>
        <w:pStyle w:val="Date"/>
      </w:pPr>
      <w:r>
        <w:t xml:space="preserve">2026-10-26</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p>
      <w:pPr>
        <w:pStyle w:val="BlockText"/>
      </w:pPr>
      <w:r>
        <w:rPr>
          <w:b/>
          <w:bCs/>
        </w:rPr>
        <w:t xml:space="preserve">Target journal:</w:t>
      </w:r>
      <w:r>
        <w:t xml:space="preserve"> </w:t>
      </w:r>
      <w:r>
        <w:rPr>
          <w:i/>
          <w:iCs/>
        </w:rPr>
        <w:t xml:space="preserve">Computers &amp; Geosciences</w:t>
      </w:r>
      <w:r>
        <w:t xml:space="preserve"> </w:t>
      </w:r>
      <w:r>
        <w:t xml:space="preserve">(Elsevier) —</w:t>
      </w:r>
      <w:r>
        <w:t xml:space="preserve"> </w:t>
      </w:r>
      <w:r>
        <w:rPr>
          <w:b/>
          <w:bCs/>
        </w:rPr>
        <w:t xml:space="preserve">Article type:</w:t>
      </w:r>
      <w:r>
        <w:t xml:space="preserve"> </w:t>
      </w:r>
      <w:r>
        <w:t xml:space="preserve">Research Article</w:t>
      </w:r>
      <w:r>
        <w:br/>
      </w:r>
      <w:r>
        <w:rPr>
          <w:b/>
          <w:bCs/>
        </w:rPr>
        <w:t xml:space="preserve">Peer review:</w:t>
      </w:r>
      <w:r>
        <w:t xml:space="preserve"> </w:t>
      </w:r>
      <w:r>
        <w:t xml:space="preserve">single-anonymized. Author, affiliation and repository information are provided on the title page.</w:t>
      </w:r>
    </w:p>
    <w:bookmarkStart w:id="9" w:name="abstract"/>
    <w:p>
      <w:pPr>
        <w:pStyle w:val="Heading1"/>
      </w:pPr>
      <w:r>
        <w:t xml:space="preserve">Abstract</w:t>
      </w:r>
    </w:p>
    <w:p>
      <w:pPr>
        <w:pStyle w:val="FirstParagraph"/>
      </w:pPr>
      <w:r>
        <w:t xml:space="preserve">Wildfire machine learning often suffers from spatial leakage and from the limited transferability of boreal fire-weather indices to subtropical biomes. We present a reproducible computational framework that separates primary ignition from tactical propagation and makes target construction, gated inference and evaluation explicit. D2 defines ignition as fire at day t with no t-1 fire within 25 km and no same-cell fire in the previous 10 days; propagation is evaluated within 25 km of a t-1 fire. A biophysical gate removes non-combustible and wet cell-days. A hybrid LightGBM model (M3) predicts ignition without t-1 fire inputs, with M1 as a fallback for cells without fire history; propagation uses a causal t-1 kernel. A zero-copy Polars/DuckDB pipeline scores 400,006 1-km² cells, and a reproducible harness combines grouped-by-date bootstrap, 50-km spatial blocks, lead-time and cost-loss analyses. In the 2024–2025 held-out test (1,813,966 task cell-days), M3 reaches ROC-AUC 0.7851/0.7485 (Chaco/Oriental), versus 0.5185/0.5569 for full Canadian FWI and 0.5386/0.4994 for INPE; propagation reaches 0.8989/0.7799. Population-level ignition precision is only 0.062 %/0.206 %, so the system is a nowcast and prioritisation tool, not a stand-alone warning system. M3 loses spatial transferability (0.6243/0.5754), whereas M1 is more robust (0.6338/0.6176), motivating the fallback. Code and data are archived with DOIs. The contribution is a reproducible computational protocol and benchmark, not a new boosting algorithm.</w:t>
      </w:r>
    </w:p>
    <w:p>
      <w:pPr>
        <w:pStyle w:val="BodyText"/>
      </w:pPr>
      <w:r>
        <w:rPr>
          <w:b/>
          <w:bCs/>
        </w:rPr>
        <w:t xml:space="preserve">Keywords:</w:t>
      </w:r>
      <w:r>
        <w:t xml:space="preserve"> </w:t>
      </w:r>
      <w:r>
        <w:t xml:space="preserve">Wildfire nowcasting; GeoAI; reproducibility; spatial cross-validation; LightGBM; Gran Chaco.</w:t>
      </w:r>
    </w:p>
    <w:bookmarkEnd w:id="9"/>
    <w:bookmarkStart w:id="10"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INPE Risco de Fogo</w:t>
      </w:r>
      <w:r>
        <w:t xml:space="preserve"> </w:t>
      </w:r>
      <w:r>
        <w:t xml:space="preserve">(Setzer et al., 2019)</w:t>
      </w:r>
      <w:r>
        <w:t xml:space="preserve">. These indices are widely used, but they were not designed for the moisture-limited, fuel-limited and strongly anthropogenic ignition regime of the Dry Chaco. The analysis covers the continuous 2018–2025 VIIRS record over 400,006 cells, a period in which the dual-sensor constellation provides a comparatively homogeneous sampling effort.</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 t-1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blind test. A reproducible benchmark is therefore needed not only to compare models, but to make the target definition, the leakage controls and the evaluation protocol explicit enough to be audited.</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This paper addresses both problems with a reproducible computational framework rather than a new learner. The framework has three computational components: (i) a D2 target operator that separates primary ignition from tactical propagation; (ii) a gated inference architecture that uses a hybrid model (M3) where fire history exists and a biophysical model (M1) where it does not; and (iii) an evaluation harness that combines temporal holdout, spatial blocks, grouped bootstrap, lead-time and cost-loss analysis. The geoscientific contribution is the resulting benchmark: full FWI and INPE are tested under the same D2 protocol in the Gran Chaco, and the temporal versus spatial limits of the hybrid model are reported explicitly.</w:t>
      </w:r>
    </w:p>
    <w:p>
      <w:pPr>
        <w:pStyle w:val="BodyText"/>
      </w:pPr>
      <w:r>
        <w:t xml:space="preserve">The novelty is therefore a reusable protocol, software and benchmark, not a new boosting algorithm. The national case study is a testbed for data-scarce subtropical regions; we do not claim universal validity. The main computational contributions are:</w:t>
      </w:r>
    </w:p>
    <w:p>
      <w:pPr>
        <w:pStyle w:val="Compact"/>
        <w:numPr>
          <w:ilvl w:val="0"/>
          <w:numId w:val="1001"/>
        </w:numPr>
      </w:pPr>
      <w:r>
        <w:rPr>
          <w:b/>
          <w:bCs/>
        </w:rPr>
        <w:t xml:space="preserve">D2 target operator.</w:t>
      </w:r>
      <w:r>
        <w:t xml:space="preserve"> </w:t>
      </w:r>
      <w:r>
        <w:t xml:space="preserve">A reproducible rule that prevents persistence from being mixed with ignition and makes leakage checks explicit.</w:t>
      </w:r>
    </w:p>
    <w:p>
      <w:pPr>
        <w:pStyle w:val="Compact"/>
        <w:numPr>
          <w:ilvl w:val="0"/>
          <w:numId w:val="1001"/>
        </w:numPr>
      </w:pPr>
      <w:r>
        <w:rPr>
          <w:b/>
          <w:bCs/>
        </w:rPr>
        <w:t xml:space="preserve">Gated M3/M1 inference.</w:t>
      </w:r>
      <w:r>
        <w:t xml:space="preserve"> </w:t>
      </w:r>
      <w:r>
        <w:t xml:space="preserve">A two-stage architecture that combines biophysical screening with a hybrid ignition model and a fallback for cells without fire history.</w:t>
      </w:r>
    </w:p>
    <w:p>
      <w:pPr>
        <w:pStyle w:val="Compact"/>
        <w:numPr>
          <w:ilvl w:val="0"/>
          <w:numId w:val="1001"/>
        </w:numPr>
      </w:pPr>
      <w:r>
        <w:rPr>
          <w:b/>
          <w:bCs/>
        </w:rPr>
        <w:t xml:space="preserve">Reproducible evaluation harness.</w:t>
      </w:r>
      <w:r>
        <w:t xml:space="preserve"> </w:t>
      </w:r>
      <w:r>
        <w:t xml:space="preserve">Grouped bootstrap, spatial blocks, lead-time, conformal coverage and cost-loss in one protocol.</w:t>
      </w:r>
    </w:p>
    <w:p>
      <w:pPr>
        <w:pStyle w:val="Compact"/>
        <w:numPr>
          <w:ilvl w:val="0"/>
          <w:numId w:val="1001"/>
        </w:numPr>
      </w:pPr>
      <w:r>
        <w:rPr>
          <w:b/>
          <w:bCs/>
        </w:rPr>
        <w:t xml:space="preserve">Open software and data.</w:t>
      </w:r>
      <w:r>
        <w:t xml:space="preserve"> </w:t>
      </w:r>
      <w:r>
        <w:t xml:space="preserve">A zero-copy Polars/DuckDB pipeline, public code, DOIs and tests.</w:t>
      </w:r>
    </w:p>
    <w:bookmarkEnd w:id="10"/>
    <w:bookmarkStart w:id="23" w:name="computational-framework"/>
    <w:p>
      <w:pPr>
        <w:pStyle w:val="Heading1"/>
      </w:pPr>
      <w:r>
        <w:t xml:space="preserve">2. Computational framework</w:t>
      </w:r>
    </w:p>
    <w:bookmarkStart w:id="11"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 i and day t:</w:t>
      </w:r>
    </w:p>
    <w:p>
      <w:pPr>
        <w:pStyle w:val="Compact"/>
        <w:numPr>
          <w:ilvl w:val="0"/>
          <w:numId w:val="1002"/>
        </w:numPr>
      </w:pPr>
      <w:r>
        <w:rPr>
          <w:b/>
          <w:bCs/>
        </w:rPr>
        <w:t xml:space="preserve">Primary ignition</w:t>
      </w:r>
      <w:r>
        <w:t xml:space="preserve"> </w:t>
      </w:r>
      <w:r>
        <w:t xml:space="preserve">is a fire at (i,t) when there is no fire within 25 km at t-1 and no fire in cell i during the previous 10 days.</w:t>
      </w:r>
    </w:p>
    <w:p>
      <w:pPr>
        <w:pStyle w:val="Compact"/>
        <w:numPr>
          <w:ilvl w:val="0"/>
          <w:numId w:val="1002"/>
        </w:numPr>
      </w:pPr>
      <w:r>
        <w:rPr>
          <w:b/>
          <w:bCs/>
        </w:rPr>
        <w:t xml:space="preserve">Tactical propagation</w:t>
      </w:r>
      <w:r>
        <w:t xml:space="preserve"> </w:t>
      </w:r>
      <w:r>
        <w:t xml:space="preserve">is a fire at (i,t) within 25 km of at least one fire at t-1.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376,552 cell-days (34,232 positives) and the propagation test contains 1,437,414 cell-days (130,674 positives). The combined task-level test therefore has 1,813,966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w:t>
      </w:r>
      <w:r>
        <w:t xml:space="preserve"> </w:t>
      </w:r>
      <m:oMath>
        <m:r>
          <m:t>i</m:t>
        </m:r>
        <m:r>
          <m:rPr>
            <m:sty m:val="p"/>
          </m:rPr>
          <m:t>∈</m:t>
        </m:r>
        <m:sSub>
          <m:e>
            <m:r>
              <m:t>F</m:t>
            </m:r>
          </m:e>
          <m:sub>
            <m:r>
              <m:t>t</m:t>
            </m:r>
          </m:sub>
        </m:sSub>
      </m:oMath>
      <w:r>
        <w:t xml:space="preserve">, no cell in</w:t>
      </w:r>
      <w:r>
        <w:t xml:space="preserve"> </w:t>
      </w:r>
      <m:oMath>
        <m:sSub>
          <m:e>
            <m:r>
              <m:t>F</m:t>
            </m:r>
          </m:e>
          <m:sub>
            <m:r>
              <m:t>t</m:t>
            </m:r>
            <m:r>
              <m:rPr>
                <m:sty m:val="p"/>
              </m:rPr>
              <m:t>−</m:t>
            </m:r>
            <m:r>
              <m:t>1</m:t>
            </m:r>
          </m:sub>
        </m:sSub>
      </m:oMath>
      <w:r>
        <w:t xml:space="preserve"> </w:t>
      </w:r>
      <w:r>
        <w:t xml:space="preserve">within 25 km of</w:t>
      </w:r>
      <w:r>
        <w:t xml:space="preserve"> </w:t>
      </w:r>
      <m:oMath>
        <m:r>
          <m:t>i</m:t>
        </m:r>
      </m:oMath>
      <w:r>
        <w:t xml:space="preserve">, and no detection in cell</w:t>
      </w:r>
      <w:r>
        <w:t xml:space="preserve"> </w:t>
      </w:r>
      <m:oMath>
        <m:r>
          <m:t>i</m:t>
        </m:r>
      </m:oMath>
      <w:r>
        <w:t xml:space="preserve"> </w:t>
      </w:r>
      <w:r>
        <w:t xml:space="preserve">during the ten preceding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 xml:space="preserve">2.2 Biophysical gate and decoupled inference</w:t>
      </w:r>
    </w:p>
    <w:p>
      <w:pPr>
        <w:pStyle w:val="FirstParagraph"/>
      </w:pPr>
      <w:r>
        <w:t xml:space="preserve">A first-stage gate removes cell-days with no combustible fuel, with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M1 is a biophysical LightGBM model with weather and fuel only. In the operational layer, M3 is used for cells with observed fire history (</w:t>
      </w:r>
      <w:r>
        <w:rPr>
          <w:rStyle w:val="VerbatimChar"/>
        </w:rPr>
        <w:t xml:space="preserve">freq_hist_1km &gt; 0</w:t>
      </w:r>
      <w:r>
        <w:t xml:space="preserve">) and M1 is used as a fallback for cells without history. The propagation layer uses a separate model with a causal kernel at t-1: distance to the nearest active fire, fire counts within 25 km and accumulated FRP. The architecture is summarized in</w:t>
      </w:r>
      <w:r>
        <w:t xml:space="preserve"> </w:t>
      </w:r>
      <w:hyperlink w:anchor="fig-framework">
        <w:r>
          <w:rPr>
            <w:rStyle w:val="Hyperlink"/>
          </w:rPr>
          <w:t xml:space="preserve">Figure 1</w:t>
        </w:r>
      </w:hyperlink>
      <w:r>
        <w:t xml:space="preserve">.</w:t>
      </w:r>
    </w:p>
    <w:p>
      <w:pPr>
        <w:pStyle w:val="BodyText"/>
      </w:pPr>
      <w:r>
        <w:t xml:space="preserve">M1 uses 17 weather and fuel variables, M2 adds the ecotone and a 25-km historical anchor (24 variables), and M3 adds local density, annual-cycle and accessibility terms (33 variables in Chaco and 34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FFMC and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it is not a post-hoc override of M3.</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8366"/>
                  <wp:effectExtent b="0" l="0" r="0" t="0"/>
                  <wp:docPr descr="" title="" id="13" name="Picture"/>
                  <a:graphic>
                    <a:graphicData uri="http://schemas.openxmlformats.org/drawingml/2006/picture">
                      <pic:pic>
                        <pic:nvPicPr>
                          <pic:cNvPr descr="figuras/fig01_framework_conceptual.png" id="14" name="Picture"/>
                          <pic:cNvPicPr>
                            <a:picLocks noChangeArrowheads="1" noChangeAspect="1"/>
                          </pic:cNvPicPr>
                        </pic:nvPicPr>
                        <pic:blipFill>
                          <a:blip r:embed="rId12"/>
                          <a:stretch>
                            <a:fillRect/>
                          </a:stretch>
                        </pic:blipFill>
                        <pic:spPr bwMode="auto">
                          <a:xfrm>
                            <a:off x="0" y="0"/>
                            <a:ext cx="5334000" cy="29383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M3/M1 ignition and t-1 propagation, reproducible evaluation and open outputs.</w:t>
            </w:r>
          </w:p>
          <w:bookmarkEnd w:id="15"/>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&amp;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ROC-AUC and PR-AUC. We also report Brier score, expected calibration error, precision, recall, F0.5 and false positives at the validation cutoff. AUC confidence intervals use 500 grouped bootstrap replicates; paired model differences use 1,000 replicates. Because four main comparisons are made against FWI and INPE, the significance statements should be read as a conservative screening result rather than as multiplicity-adjusted inference. The bootstrap resolution is 0.001, so p-values are reported as ≤0.001.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 xml:space="preserve">2.4 Data and implementation</w:t>
      </w:r>
    </w:p>
    <w:p>
      <w:pPr>
        <w:pStyle w:val="FirstParagraph"/>
      </w:pPr>
      <w:r>
        <w:t xml:space="preserve">The grid contains 400,006 cells of 1 km² in UTM zone 21S. Daily inputs are VIIRS 375 m active fire detections from Suomi-NPP, NOAA-20 and NOAA-21; ERA5-Land 3-hourly meteorology aggregated to daily values; MapBiomas Collection 2 (2023) fuel fractions;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 A spatial join of 50,000 points is shown only as a reference; the operational lookup avoids point-in-polygon at inference. The full pipeline processes 400,006 cells in 1.569 s with 2,182.1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62 unit tests, a pinned dependency file, a continuous-integration workflow and a release DOI.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1333"/>
                  <wp:effectExtent b="0" l="0" r="0" t="0"/>
                  <wp:docPr descr="" title="" id="19" name="Picture"/>
                  <a:graphic>
                    <a:graphicData uri="http://schemas.openxmlformats.org/drawingml/2006/picture">
                      <pic:pic>
                        <pic:nvPicPr>
                          <pic:cNvPr descr="figuras/fig01_macro_regiones_cobertura.png" id="20" name="Picture"/>
                          <pic:cNvPicPr>
                            <a:picLocks noChangeArrowheads="1" noChangeAspect="1"/>
                          </pic:cNvPicPr>
                        </pic:nvPicPr>
                        <pic:blipFill>
                          <a:blip r:embed="rId18"/>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w:t>
            </w:r>
          </w:p>
          <w:bookmarkEnd w:id="21"/>
        </w:tc>
      </w:tr>
    </w:tbl>
    <w:bookmarkEnd w:id="22"/>
    <w:bookmarkEnd w:id="23"/>
    <w:bookmarkStart w:id="44" w:name="results"/>
    <w:p>
      <w:pPr>
        <w:pStyle w:val="Heading1"/>
      </w:pPr>
      <w:r>
        <w:t xml:space="preserve">3. Results</w:t>
      </w:r>
    </w:p>
    <w:bookmarkStart w:id="29" w:name="held-out-temporal-test"/>
    <w:p>
      <w:pPr>
        <w:pStyle w:val="Heading2"/>
      </w:pPr>
      <w:r>
        <w:t xml:space="preserve">3.1 Held-out temporal test</w:t>
      </w:r>
    </w:p>
    <w:p>
      <w:pPr>
        <w:pStyle w:val="FirstParagraph"/>
      </w:pPr>
      <w:hyperlink w:anchor="tbl-test">
        <w:r>
          <w:rPr>
            <w:rStyle w:val="Hyperlink"/>
          </w:rPr>
          <w:t xml:space="preserve">Table 1</w:t>
        </w:r>
      </w:hyperlink>
      <w:r>
        <w:t xml:space="preserve"> </w:t>
      </w:r>
      <w:r>
        <w:t xml:space="preserve">reports the blind test. M3 reaches ROC-AUC 0.7851 in the Chaco and 0.7485 in the Oriental Region. Propagation reaches 0.8989/0.7799. Case-control F0.5 precision is 27.54 %/29.67 % for ignition and 84.94 %/62.42 % for propagation. These are sample-level metrics; they are not operational precision.</w:t>
      </w:r>
    </w:p>
    <w:tbl>
      <w:tblPr>
        <w:tblStyle w:val="Table"/>
        <w:tblW w:type="pct" w:w="5000"/>
        <w:tblLayout w:type="fixed"/>
        <w:tblLook w:firstRow="0" w:lastRow="0" w:firstColumn="0" w:lastColumn="0" w:noHBand="0" w:noVBand="0" w:val="0000"/>
      </w:tblPr>
      <w:tblGrid>
        <w:gridCol w:w="7920"/>
      </w:tblGrid>
      <w:tr>
        <w:tc>
          <w:tcPr/>
          <w:bookmarkStart w:id="24" w:name="tbl-test"/>
          <w:p>
            <w:pPr>
              <w:jc w:val="center"/>
            </w:pPr>
            <w:pPr>
              <w:jc w:val="left"/>
              <w:spacing w:before="200"/>
              <w:pStyle w:val="ImageCaption"/>
            </w:pPr>
            <w:r>
              <w:t xml:space="preserve">Table 1: Blind D2 test (2024–2025; 1,813,966 task cell-days in total: 376,552 ignition and 1,437,414 propagation). Precision and recall are case-control (9.09 % prevalence) at the F0.5 cutoff.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0.7851 [0.779–0.791]</w:t>
                  </w:r>
                </w:p>
              </w:tc>
              <w:tc>
                <w:tcPr/>
                <w:p>
                  <w:pPr>
                    <w:pStyle w:val="Compact"/>
                    <w:jc w:val="right"/>
                    <w:jc w:val="center"/>
                  </w:pPr>
                  <w:r>
                    <w:t xml:space="preserve">0.2410</w:t>
                  </w:r>
                </w:p>
              </w:tc>
              <w:tc>
                <w:tcPr/>
                <w:p>
                  <w:pPr>
                    <w:pStyle w:val="Compact"/>
                    <w:jc w:val="right"/>
                    <w:jc w:val="center"/>
                  </w:pPr>
                  <w:r>
                    <w:t xml:space="preserve">27.54</w:t>
                  </w:r>
                </w:p>
              </w:tc>
              <w:tc>
                <w:tcPr/>
                <w:p>
                  <w:pPr>
                    <w:pStyle w:val="Compact"/>
                    <w:jc w:val="right"/>
                    <w:jc w:val="center"/>
                  </w:pPr>
                  <w:r>
                    <w:t xml:space="preserve">30.80</w:t>
                  </w:r>
                </w:p>
              </w:tc>
              <w:tc>
                <w:tcPr/>
                <w:p>
                  <w:pPr>
                    <w:pStyle w:val="Compact"/>
                    <w:jc w:val="right"/>
                    <w:jc w:val="center"/>
                  </w:pPr>
                  <w:r>
                    <w:t xml:space="preserve">13,011</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0.7733 [0.768–0.780]</w:t>
                  </w:r>
                </w:p>
              </w:tc>
              <w:tc>
                <w:tcPr/>
                <w:p>
                  <w:pPr>
                    <w:pStyle w:val="Compact"/>
                    <w:jc w:val="right"/>
                    <w:jc w:val="center"/>
                  </w:pPr>
                  <w:r>
                    <w:t xml:space="preserve">0.2148</w:t>
                  </w:r>
                </w:p>
              </w:tc>
              <w:tc>
                <w:tcPr/>
                <w:p>
                  <w:pPr>
                    <w:pStyle w:val="Compact"/>
                    <w:jc w:val="right"/>
                    <w:jc w:val="center"/>
                  </w:pPr>
                  <w:r>
                    <w:t xml:space="preserve">23.10</w:t>
                  </w:r>
                </w:p>
              </w:tc>
              <w:tc>
                <w:tcPr/>
                <w:p>
                  <w:pPr>
                    <w:pStyle w:val="Compact"/>
                    <w:jc w:val="right"/>
                    <w:jc w:val="center"/>
                  </w:pPr>
                  <w:r>
                    <w:t xml:space="preserve">40.08</w:t>
                  </w:r>
                </w:p>
              </w:tc>
              <w:tc>
                <w:tcPr/>
                <w:p>
                  <w:pPr>
                    <w:pStyle w:val="Compact"/>
                    <w:jc w:val="right"/>
                    <w:jc w:val="center"/>
                  </w:pPr>
                  <w:r>
                    <w:t xml:space="preserve">21,425</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0.8989 [0.894–0.904]</w:t>
                  </w:r>
                </w:p>
              </w:tc>
              <w:tc>
                <w:tcPr/>
                <w:p>
                  <w:pPr>
                    <w:pStyle w:val="Compact"/>
                    <w:jc w:val="right"/>
                    <w:jc w:val="center"/>
                  </w:pPr>
                  <w:r>
                    <w:t xml:space="preserve">0.6831</w:t>
                  </w:r>
                </w:p>
              </w:tc>
              <w:tc>
                <w:tcPr/>
                <w:p>
                  <w:pPr>
                    <w:pStyle w:val="Compact"/>
                    <w:jc w:val="right"/>
                    <w:jc w:val="center"/>
                  </w:pPr>
                  <w:r>
                    <w:t xml:space="preserve">84.94</w:t>
                  </w:r>
                </w:p>
              </w:tc>
              <w:tc>
                <w:tcPr/>
                <w:p>
                  <w:pPr>
                    <w:pStyle w:val="Compact"/>
                    <w:jc w:val="right"/>
                    <w:jc w:val="center"/>
                  </w:pPr>
                  <w:r>
                    <w:t xml:space="preserve">50.33</w:t>
                  </w:r>
                </w:p>
              </w:tc>
              <w:tc>
                <w:tcPr/>
                <w:p>
                  <w:pPr>
                    <w:pStyle w:val="Compact"/>
                    <w:jc w:val="right"/>
                    <w:jc w:val="center"/>
                  </w:pPr>
                  <w:r>
                    <w:t xml:space="preserve">4,677</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0.7485 [0.742–0.754]</w:t>
                  </w:r>
                </w:p>
              </w:tc>
              <w:tc>
                <w:tcPr/>
                <w:p>
                  <w:pPr>
                    <w:pStyle w:val="Compact"/>
                    <w:jc w:val="right"/>
                    <w:jc w:val="center"/>
                  </w:pPr>
                  <w:r>
                    <w:t xml:space="preserve">0.2318</w:t>
                  </w:r>
                </w:p>
              </w:tc>
              <w:tc>
                <w:tcPr/>
                <w:p>
                  <w:pPr>
                    <w:pStyle w:val="Compact"/>
                    <w:jc w:val="right"/>
                    <w:jc w:val="center"/>
                  </w:pPr>
                  <w:r>
                    <w:t xml:space="preserve">29.67</w:t>
                  </w:r>
                </w:p>
              </w:tc>
              <w:tc>
                <w:tcPr/>
                <w:p>
                  <w:pPr>
                    <w:pStyle w:val="Compact"/>
                    <w:jc w:val="right"/>
                    <w:jc w:val="center"/>
                  </w:pPr>
                  <w:r>
                    <w:t xml:space="preserve">20.40</w:t>
                  </w:r>
                </w:p>
              </w:tc>
              <w:tc>
                <w:tcPr/>
                <w:p>
                  <w:pPr>
                    <w:pStyle w:val="Compact"/>
                    <w:jc w:val="right"/>
                    <w:jc w:val="center"/>
                  </w:pPr>
                  <w:r>
                    <w:t xml:space="preserve">8,787</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0.7324 [0.727–0.738]</w:t>
                  </w:r>
                </w:p>
              </w:tc>
              <w:tc>
                <w:tcPr/>
                <w:p>
                  <w:pPr>
                    <w:pStyle w:val="Compact"/>
                    <w:jc w:val="right"/>
                    <w:jc w:val="center"/>
                  </w:pPr>
                  <w:r>
                    <w:t xml:space="preserve">0.2036</w:t>
                  </w:r>
                </w:p>
              </w:tc>
              <w:tc>
                <w:tcPr/>
                <w:p>
                  <w:pPr>
                    <w:pStyle w:val="Compact"/>
                    <w:jc w:val="right"/>
                    <w:jc w:val="center"/>
                  </w:pPr>
                  <w:r>
                    <w:t xml:space="preserve">24.49</w:t>
                  </w:r>
                </w:p>
              </w:tc>
              <w:tc>
                <w:tcPr/>
                <w:p>
                  <w:pPr>
                    <w:pStyle w:val="Compact"/>
                    <w:jc w:val="right"/>
                    <w:jc w:val="center"/>
                  </w:pPr>
                  <w:r>
                    <w:t xml:space="preserve">21.52</w:t>
                  </w:r>
                </w:p>
              </w:tc>
              <w:tc>
                <w:tcPr/>
                <w:p>
                  <w:pPr>
                    <w:pStyle w:val="Compact"/>
                    <w:jc w:val="right"/>
                    <w:jc w:val="center"/>
                  </w:pPr>
                  <w:r>
                    <w:t xml:space="preserve">12,060</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0.7799 [0.773–0.788]</w:t>
                  </w:r>
                </w:p>
              </w:tc>
              <w:tc>
                <w:tcPr/>
                <w:p>
                  <w:pPr>
                    <w:pStyle w:val="Compact"/>
                    <w:jc w:val="right"/>
                    <w:jc w:val="center"/>
                  </w:pPr>
                  <w:r>
                    <w:t xml:space="preserve">0.3651</w:t>
                  </w:r>
                </w:p>
              </w:tc>
              <w:tc>
                <w:tcPr/>
                <w:p>
                  <w:pPr>
                    <w:pStyle w:val="Compact"/>
                    <w:jc w:val="right"/>
                    <w:jc w:val="center"/>
                  </w:pPr>
                  <w:r>
                    <w:t xml:space="preserve">62.42</w:t>
                  </w:r>
                </w:p>
              </w:tc>
              <w:tc>
                <w:tcPr/>
                <w:p>
                  <w:pPr>
                    <w:pStyle w:val="Compact"/>
                    <w:jc w:val="right"/>
                    <w:jc w:val="center"/>
                  </w:pPr>
                  <w:r>
                    <w:t xml:space="preserve">20.55</w:t>
                  </w:r>
                </w:p>
              </w:tc>
              <w:tc>
                <w:tcPr/>
                <w:p>
                  <w:pPr>
                    <w:pStyle w:val="Compact"/>
                    <w:jc w:val="right"/>
                    <w:jc w:val="center"/>
                  </w:pPr>
                  <w:r>
                    <w:t xml:space="preserve">9,681</w:t>
                  </w:r>
                </w:p>
              </w:tc>
            </w:tr>
          </w:tbl>
          <w:bookmarkEnd w:id="24"/>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the two regions, so the trade-off between the high propagation discrimination and the much lower ignition discrimination is visible without a second benchmark layer. The curves are descriptive; the operating points in</w:t>
      </w:r>
      <w:r>
        <w:t xml:space="preserve"> </w:t>
      </w:r>
      <w:hyperlink w:anchor="tbl-test">
        <w:r>
          <w:rPr>
            <w:rStyle w:val="Hyperlink"/>
          </w:rPr>
          <w:t xml:space="preserve">Table 1</w:t>
        </w:r>
      </w:hyperlink>
      <w:r>
        <w:t xml:space="preserve"> </w:t>
      </w:r>
      <w:r>
        <w:t xml:space="preserve">are the ones used for the alert layer. The ignition ROC curves rise steeply only at relatively high false-positive rates, and the corresponding precision–recall curves remain close to the case-control baseline. The propagation curves are farther from the diagonal in both regions, especially in the Chaco, which is consistent with the stronger event signal in that task. The visual gap between ROC-AUC and PR-AUC is expected at 9.09 % prevalence and is a reminder that a high ROC-AUC can coexist with modest precision. Figure</w:t>
      </w:r>
      <w:r>
        <w:t xml:space="preserve"> </w:t>
      </w:r>
      <w:hyperlink w:anchor="fig-test">
        <w:r>
          <w:rPr>
            <w:rStyle w:val="Hyperlink"/>
          </w:rPr>
          <w:t xml:space="preserve">Figure 3</w:t>
        </w:r>
      </w:hyperlink>
      <w:r>
        <w:t xml:space="preserve"> </w:t>
      </w:r>
      <w:r>
        <w:t xml:space="preserve">therefore complements, rather than replaces, the confidence intervals and operating points in</w:t>
      </w:r>
      <w:r>
        <w:t xml:space="preserve"> </w:t>
      </w:r>
      <w:hyperlink w:anchor="tbl-test">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test"/>
          <w:p>
            <w:pPr>
              <w:pStyle w:val="Compact"/>
              <w:jc w:val="center"/>
            </w:pPr>
            <w:r>
              <w:drawing>
                <wp:inline>
                  <wp:extent cx="5334000" cy="2311400"/>
                  <wp:effectExtent b="0" l="0" r="0" t="0"/>
                  <wp:docPr descr="" title="" id="26" name="Picture"/>
                  <a:graphic>
                    <a:graphicData uri="http://schemas.openxmlformats.org/drawingml/2006/picture">
                      <pic:pic>
                        <pic:nvPicPr>
                          <pic:cNvPr descr="figuras/fig02_curvas_roc_pr_test.png" id="27" name="Picture"/>
                          <pic:cNvPicPr>
                            <a:picLocks noChangeArrowheads="1" noChangeAspect="1"/>
                          </pic:cNvPicPr>
                        </pic:nvPicPr>
                        <pic:blipFill>
                          <a:blip r:embed="rId25"/>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D2 test (2024–2025), by region and task. The ignition curves correspond to M3; propagation uses the causal t-1 layer.</w:t>
            </w:r>
          </w:p>
          <w:bookmarkEnd w:id="28"/>
        </w:tc>
      </w:tr>
    </w:tbl>
    <w:p>
      <w:pPr>
        <w:pStyle w:val="BodyText"/>
      </w:pPr>
      <w:r>
        <w:t xml:space="preserve">Population-level ignition precision is 0.062 % in the Chaco and 0.206 % in the Oriental Region. Propagation precision is 9.96 % and 4.49 %. These values are the relevant ones for operation and are much lower than the case-control values. Relative to prevalence, ignition precision is about 4.1× and 5.0× higher than chance, while propagation precision is about 64× and 21× higher. The absolute precision remains low; the model is therefore a prioritisation and nowcast layer, not a stand-alone alert system.</w:t>
      </w:r>
    </w:p>
    <w:p>
      <w:pPr>
        <w:pStyle w:val="BodyText"/>
      </w:pPr>
      <w:r>
        <w:t xml:space="preserve">M3 reduces case-control false positives relative to M2 in both regions (13,011 vs. 21,425 in Chaco; 8,787 vs. 12,060 in Oriental), but it also has lower recall. The gain is therefore a precision-recall trade-off, not a uniform improvement. The calibration error is 0.0110 in Chaco and 0.0065 in Oriental, comparable to M2 (0.0123 and 0.0052). The test cutoff was 0.203 for Chaco and 0.217 for Oriental for ignition; these values are not directly transferable to another prevalence without prior correction. Confidence intervals are narrow because the test contains tens of thousands of positives, but they describe sampling uncertainty within the held-out period, not uncertainty under future distribution shift. The PR-AUC values are more informative than ROC-AUC under this class balance: ignition PR-AUC is 0.2410/0.2318, whereas propagation reaches 0.6831/0.3651.</w:t>
      </w:r>
    </w:p>
    <w:bookmarkEnd w:id="29"/>
    <w:bookmarkStart w:id="35" w:name="benchmark-against-fwi-and-inpe"/>
    <w:p>
      <w:pPr>
        <w:pStyle w:val="Heading2"/>
      </w:pPr>
      <w:r>
        <w:t xml:space="preserve">3.2 Benchmark against FWI and INPE</w:t>
      </w:r>
    </w:p>
    <w:p>
      <w:pPr>
        <w:pStyle w:val="FirstParagraph"/>
      </w:pPr>
      <w:hyperlink w:anchor="tbl-benchmark">
        <w:r>
          <w:rPr>
            <w:rStyle w:val="Hyperlink"/>
          </w:rPr>
          <w:t xml:space="preserve">Table 2</w:t>
        </w:r>
      </w:hyperlink>
      <w:r>
        <w:t xml:space="preserve"> </w:t>
      </w:r>
      <w:r>
        <w:t xml:space="preserve">compares M3 with full FWI and INPE on the same blind test. M3 exceeds FWI by ΔROC = +0.2667 in the Chaco and +0.1916 in the Oriental Region, and INPE by +0.2465 and +0.2492. All paired comparisons have p ≤ 0.001 with B = 1,000.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0" w:name="tbl-benchmark"/>
          <w:p>
            <w:pPr>
              <w:jc w:val="center"/>
            </w:pPr>
            <w:pPr>
              <w:jc w:val="left"/>
              <w:spacing w:before="200"/>
              <w:pStyle w:val="ImageCaption"/>
            </w:pPr>
            <w:r>
              <w:t xml:space="preserve">Table 2: Benchmark on the blind 2024–2025 test. ΔROC is M3 minus the reference. FWI and INPE are normalized indices, not calibrated probabilities. The full table is Supplementary Table S11.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vs M3</w:t>
                  </w:r>
                </w:p>
              </w:tc>
              <w:tc>
                <w:tcPr/>
                <w:p>
                  <w:pPr>
                    <w:pStyle w:val="Compact"/>
                    <w:jc w:val="right"/>
                    <w:jc w:val="center"/>
                  </w:pPr>
                  <w:r>
                    <w:t xml:space="preserve">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0.7851</w:t>
                  </w:r>
                </w:p>
              </w:tc>
              <w:tc>
                <w:tcPr/>
                <w:p>
                  <w:pPr>
                    <w:pStyle w:val="Compact"/>
                    <w:jc w:val="right"/>
                    <w:jc w:val="center"/>
                  </w:pPr>
                  <w:r>
                    <w:t xml:space="preserve">0.2410</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0.5185</w:t>
                  </w:r>
                </w:p>
              </w:tc>
              <w:tc>
                <w:tcPr/>
                <w:p>
                  <w:pPr>
                    <w:pStyle w:val="Compact"/>
                    <w:jc w:val="right"/>
                    <w:jc w:val="center"/>
                  </w:pPr>
                  <w:r>
                    <w:t xml:space="preserve">0.0960</w:t>
                  </w:r>
                </w:p>
              </w:tc>
              <w:tc>
                <w:tcPr/>
                <w:p>
                  <w:pPr>
                    <w:pStyle w:val="Compact"/>
                    <w:jc w:val="right"/>
                    <w:jc w:val="center"/>
                  </w:pPr>
                  <w:r>
                    <w:t xml:space="preserve">+0.2667</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0.5386</w:t>
                  </w:r>
                </w:p>
              </w:tc>
              <w:tc>
                <w:tcPr/>
                <w:p>
                  <w:pPr>
                    <w:pStyle w:val="Compact"/>
                    <w:jc w:val="right"/>
                    <w:jc w:val="center"/>
                  </w:pPr>
                  <w:r>
                    <w:t xml:space="preserve">0.1030</w:t>
                  </w:r>
                </w:p>
              </w:tc>
              <w:tc>
                <w:tcPr/>
                <w:p>
                  <w:pPr>
                    <w:pStyle w:val="Compact"/>
                    <w:jc w:val="right"/>
                    <w:jc w:val="center"/>
                  </w:pPr>
                  <w:r>
                    <w:t xml:space="preserve">+0.2465</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0.7485</w:t>
                  </w:r>
                </w:p>
              </w:tc>
              <w:tc>
                <w:tcPr/>
                <w:p>
                  <w:pPr>
                    <w:pStyle w:val="Compact"/>
                    <w:jc w:val="right"/>
                    <w:jc w:val="center"/>
                  </w:pPr>
                  <w:r>
                    <w:t xml:space="preserve">0.2318</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0.5569</w:t>
                  </w:r>
                </w:p>
              </w:tc>
              <w:tc>
                <w:tcPr/>
                <w:p>
                  <w:pPr>
                    <w:pStyle w:val="Compact"/>
                    <w:jc w:val="right"/>
                    <w:jc w:val="center"/>
                  </w:pPr>
                  <w:r>
                    <w:t xml:space="preserve">0.1063</w:t>
                  </w:r>
                </w:p>
              </w:tc>
              <w:tc>
                <w:tcPr/>
                <w:p>
                  <w:pPr>
                    <w:pStyle w:val="Compact"/>
                    <w:jc w:val="right"/>
                    <w:jc w:val="center"/>
                  </w:pPr>
                  <w:r>
                    <w:t xml:space="preserve">+0.1916</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0.4994</w:t>
                  </w:r>
                </w:p>
              </w:tc>
              <w:tc>
                <w:tcPr/>
                <w:p>
                  <w:pPr>
                    <w:pStyle w:val="Compact"/>
                    <w:jc w:val="right"/>
                    <w:jc w:val="center"/>
                  </w:pPr>
                  <w:r>
                    <w:t xml:space="preserve">0.0909</w:t>
                  </w:r>
                </w:p>
              </w:tc>
              <w:tc>
                <w:tcPr/>
                <w:p>
                  <w:pPr>
                    <w:pStyle w:val="Compact"/>
                    <w:jc w:val="right"/>
                    <w:jc w:val="center"/>
                  </w:pPr>
                  <w:r>
                    <w:t xml:space="preserve">+0.2492</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+0.2851</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+0.2485</w:t>
                  </w:r>
                </w:p>
              </w:tc>
              <w:tc>
                <w:tcPr/>
                <w:p>
                  <w:pPr>
                    <w:pStyle w:val="Compact"/>
                    <w:jc w:val="right"/>
                    <w:jc w:val="center"/>
                  </w:pPr>
                  <w:r>
                    <w:t xml:space="preserve">—</w:t>
                  </w:r>
                </w:p>
              </w:tc>
            </w:tr>
          </w:tbl>
          <w:bookmarkEnd w:id="30"/>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the Chaco; in the Oriental Region they are also weak and do not improve materially over a climatological baseline. The full FWI has a ROC-AUC of 0.5185/0.5569 and INPE 0.5386/0.4994; neither is competitive with M3 on the same blind dates. The result is not a claim that the indices are universally invalid, but that their transfer to this subtropical system is not supported. FWI and INPE are normalized danger indices, so their apparent operating point depends strongly on the cutoff chosen on validation. In the Chaco, full FWI reaches high recall only at a very low precision, while INPE is conservative in both regions; neither behavior translates into a competitive ranking. The PR-AUC values are close to the 0.09 case-control baseline, which means that the indices add little discrimination beyond chance on these blind dates.</w:t>
      </w:r>
    </w:p>
    <w:p>
      <w:pPr>
        <w:pStyle w:val="BodyText"/>
      </w:pPr>
      <w:r>
        <w:t xml:space="preserve">The controlled ablation confirms the value of the socio-ecological features. With the same capacity, M1 reaches 0.6287/0.6421, M2-v1 reaches 0.7751/0.7340 and M3 reaches 0.7851/0.7485. The M3 gain over M2-v1 is 4.27 precision points in Chaco and 5.76 in Oriental. The complete ablation table is in Supplementary Table S12. TreeSHAP identifies historical distance, dry-forest fraction, accessibility and seasonality as the dominant drivers in Chaco; in Oriental, historical distance and local anthropic concentration dominate. The complete SHAP table and figure are in Supplementary Table S13 and Supplementary Figure S1. The SHAP pattern is consistent with the feature design: distance to historical fire is the first driver in both regions, followed by dry-forest fraction in the Chaco and local anthropic concentration in the Oriental Region. This does not establish causality, but it shows that the model is not relying on a single weather variable. The benchmark is therefore a joint test of representation, target definition and evaluation, not only of the boosting library.</w:t>
      </w:r>
    </w:p>
    <w:tbl>
      <w:tblPr>
        <w:tblStyle w:val="Table"/>
        <w:tblW w:type="pct" w:w="5000"/>
        <w:tblLayout w:type="fixed"/>
        <w:tblLook w:firstRow="0" w:lastRow="0" w:firstColumn="0" w:lastColumn="0" w:noHBand="0" w:noVBand="0" w:val="0000"/>
      </w:tblPr>
      <w:tblGrid>
        <w:gridCol w:w="7920"/>
      </w:tblGrid>
      <w:tr>
        <w:tc>
          <w:tcPr/>
          <w:bookmarkStart w:id="34" w:name="fig-benchmark"/>
          <w:p>
            <w:pPr>
              <w:pStyle w:val="Compact"/>
              <w:jc w:val="center"/>
            </w:pPr>
            <w:r>
              <w:drawing>
                <wp:inline>
                  <wp:extent cx="5334000" cy="3911600"/>
                  <wp:effectExtent b="0" l="0" r="0" t="0"/>
                  <wp:docPr descr="" title="" id="32" name="Picture"/>
                  <a:graphic>
                    <a:graphicData uri="http://schemas.openxmlformats.org/drawingml/2006/picture">
                      <pic:pic>
                        <pic:nvPicPr>
                          <pic:cNvPr descr="figuras/fig05_benchmarking_curvas_roc_pr.png" id="33" name="Picture"/>
                          <pic:cNvPicPr>
                            <a:picLocks noChangeArrowheads="1" noChangeAspect="1"/>
                          </pic:cNvPicPr>
                        </pic:nvPicPr>
                        <pic:blipFill>
                          <a:blip r:embed="rId31"/>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and INPE under D2.</w:t>
            </w:r>
          </w:p>
          <w:bookmarkEnd w:id="34"/>
        </w:tc>
      </w:tr>
    </w:tbl>
    <w:bookmarkEnd w:id="35"/>
    <w:bookmarkStart w:id="37" w:name="temporal-and-spatial-generalization"/>
    <w:p>
      <w:pPr>
        <w:pStyle w:val="Heading2"/>
      </w:pPr>
      <w:r>
        <w:t xml:space="preserve">3.3 Temporal and spatial generalization</w:t>
      </w:r>
    </w:p>
    <w:p>
      <w:pPr>
        <w:pStyle w:val="FirstParagraph"/>
      </w:pPr>
      <w:r>
        <w:t xml:space="preserve">The hybrid advantage is temporal, not spatial. In the 50-km block holdout, M3 drops to 0.6243 in the Chaco and 0.5754 in the Oriental Region; M1 reaches 0.6338 and 0.6176. In cells with observed history, M3 remains stronger (0.7914/0.7343), confirming that much of its signal is cell-level recurrence.</w:t>
      </w:r>
      <w:r>
        <w:t xml:space="preserve"> </w:t>
      </w:r>
      <w:hyperlink w:anchor="tbl-spatial">
        <w:r>
          <w:rPr>
            <w:rStyle w:val="Hyperlink"/>
          </w:rPr>
          <w:t xml:space="preserve">Table 3</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6" w:name="tbl-spatial"/>
          <w:p>
            <w:pPr>
              <w:jc w:val="center"/>
            </w:pPr>
            <w:pPr>
              <w:jc w:val="left"/>
              <w:spacing w:before="200"/>
              <w:pStyle w:val="ImageCaption"/>
            </w:pPr>
            <w:r>
              <w:t xml:space="preserve">Table 3: Spatial block validation with 50-km blocks and a 20-km buffer. Held-in values are the reference for cells not excluded from training. Full results are in Supplementary Table S8.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Block-holdout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M1 biophysical</w:t>
                  </w:r>
                </w:p>
              </w:tc>
              <w:tc>
                <w:tcPr/>
                <w:p>
                  <w:pPr>
                    <w:pStyle w:val="Compact"/>
                    <w:jc w:val="right"/>
                    <w:jc w:val="center"/>
                  </w:pPr>
                  <w:r>
                    <w:t xml:space="preserve">0.6191</w:t>
                  </w:r>
                </w:p>
              </w:tc>
              <w:tc>
                <w:tcPr/>
                <w:p>
                  <w:pPr>
                    <w:pStyle w:val="Compact"/>
                    <w:jc w:val="right"/>
                    <w:jc w:val="center"/>
                  </w:pPr>
                  <w:r>
                    <w:t xml:space="preserve">0.6338</w:t>
                  </w:r>
                </w:p>
              </w:tc>
              <w:tc>
                <w:tcPr/>
                <w:p>
                  <w:pPr>
                    <w:pStyle w:val="Compact"/>
                    <w:jc w:val="right"/>
                    <w:jc w:val="center"/>
                  </w:pPr>
                  <w:r>
                    <w:t xml:space="preserve">0.1607</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0.7914</w:t>
                  </w:r>
                </w:p>
              </w:tc>
              <w:tc>
                <w:tcPr/>
                <w:p>
                  <w:pPr>
                    <w:pStyle w:val="Compact"/>
                    <w:jc w:val="right"/>
                    <w:jc w:val="center"/>
                  </w:pPr>
                  <w:r>
                    <w:t xml:space="preserve">0.6243</w:t>
                  </w:r>
                </w:p>
              </w:tc>
              <w:tc>
                <w:tcPr/>
                <w:p>
                  <w:pPr>
                    <w:pStyle w:val="Compact"/>
                    <w:jc w:val="right"/>
                    <w:jc w:val="center"/>
                  </w:pPr>
                  <w:r>
                    <w:t xml:space="preserve">0.1410</w:t>
                  </w:r>
                </w:p>
              </w:tc>
            </w:tr>
            <w:tr>
              <w:tc>
                <w:tcPr/>
                <w:p>
                  <w:pPr>
                    <w:pStyle w:val="Compact"/>
                    <w:jc w:val="left"/>
                    <w:jc w:val="center"/>
                  </w:pPr>
                  <w:r>
                    <w:t xml:space="preserve">Oriental</w:t>
                  </w:r>
                </w:p>
              </w:tc>
              <w:tc>
                <w:tcPr/>
                <w:p>
                  <w:pPr>
                    <w:pStyle w:val="Compact"/>
                    <w:jc w:val="left"/>
                    <w:jc w:val="center"/>
                  </w:pPr>
                  <w:r>
                    <w:t xml:space="preserve">M1 biophysical</w:t>
                  </w:r>
                </w:p>
              </w:tc>
              <w:tc>
                <w:tcPr/>
                <w:p>
                  <w:pPr>
                    <w:pStyle w:val="Compact"/>
                    <w:jc w:val="right"/>
                    <w:jc w:val="center"/>
                  </w:pPr>
                  <w:r>
                    <w:t xml:space="preserve">0.6335</w:t>
                  </w:r>
                </w:p>
              </w:tc>
              <w:tc>
                <w:tcPr/>
                <w:p>
                  <w:pPr>
                    <w:pStyle w:val="Compact"/>
                    <w:jc w:val="right"/>
                    <w:jc w:val="center"/>
                  </w:pPr>
                  <w:r>
                    <w:t xml:space="preserve">0.6176</w:t>
                  </w:r>
                </w:p>
              </w:tc>
              <w:tc>
                <w:tcPr/>
                <w:p>
                  <w:pPr>
                    <w:pStyle w:val="Compact"/>
                    <w:jc w:val="right"/>
                    <w:jc w:val="center"/>
                  </w:pPr>
                  <w:r>
                    <w:t xml:space="preserve">0.1098</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0.7343</w:t>
                  </w:r>
                </w:p>
              </w:tc>
              <w:tc>
                <w:tcPr/>
                <w:p>
                  <w:pPr>
                    <w:pStyle w:val="Compact"/>
                    <w:jc w:val="right"/>
                    <w:jc w:val="center"/>
                  </w:pPr>
                  <w:r>
                    <w:t xml:space="preserve">0.5754</w:t>
                  </w:r>
                </w:p>
              </w:tc>
              <w:tc>
                <w:tcPr/>
                <w:p>
                  <w:pPr>
                    <w:pStyle w:val="Compact"/>
                    <w:jc w:val="right"/>
                    <w:jc w:val="center"/>
                  </w:pPr>
                  <w:r>
                    <w:t xml:space="preserve">0.0991</w:t>
                  </w:r>
                </w:p>
              </w:tc>
            </w:tr>
          </w:tbl>
          <w:bookmarkEnd w:id="36"/>
          <w:p/>
        </w:tc>
      </w:tr>
    </w:tbl>
    <w:p>
      <w:pPr>
        <w:pStyle w:val="BodyText"/>
      </w:pPr>
      <w:r>
        <w:t xml:space="preserve">The spatial design retains approximately 22.5 % of cells and excludes a 20-km buffer around them during training; priors are recomputed without held-out fires. The gap between held-in and held-out performance is therefore a direct measure of spatial memorization. M3 falls by 0.167 in Chaco and 0.159 in Oriental, whereas M1 changes little (and even improves slightly in Chaco). This is the empirical basis for the fallback: M3 is a temporal model for known cells, not a spatial extrapolator. The result also explains why the held-in values are not evidence of spatial skill. A model that memorizes cell-level recurrence can look excellent on held-in cells and still fail on a neighboring block. The fallback is therefore a structural response to a measured limitation, not a cosmetic threshold. The block design is deliberately harsher than a random split: it removes entire 50-km neighborhoods and the 20-km buffer, so a model cannot use a nearby cell as a proxy for the held-out block. Under that design, M1 is not a high-skill spatial model; its advantage is relative stability, not absolute accuracy. This distinction matters for operation because a fallback that is merely less bad can still be the correct default when no history is available.</w:t>
      </w:r>
    </w:p>
    <w:p>
      <w:pPr>
        <w:pStyle w:val="BodyText"/>
      </w:pPr>
      <w:r>
        <w:t xml:space="preserve">With t-1 weather, M3 retains 0.7841/0.7465 and M1 reaches 0.6222/0.6340. The small drop shows that recurrence priors, not same-day weather, dominate the hybrid signal. This is why the current system is a nowcast/hindcast; a real day-ahead system would require forecast weather. Lead-time details are in Supplementary Table S9.</w:t>
      </w:r>
    </w:p>
    <w:bookmarkEnd w:id="37"/>
    <w:bookmarkStart w:id="42" w:name="operational-utility"/>
    <w:p>
      <w:pPr>
        <w:pStyle w:val="Heading2"/>
      </w:pPr>
      <w:r>
        <w:t xml:space="preserve">3.4 Operational utility</w:t>
      </w:r>
    </w:p>
    <w:p>
      <w:pPr>
        <w:pStyle w:val="FirstParagraph"/>
      </w:pPr>
      <w:r>
        <w:t xml:space="preserve">The cost-loss analysis is sobering for ignition: M3 does not clearly outperform M2, and in the Chaco M2 is slightly better at the optimum. The propagation layer does show value near α = 0.002. The full cost-loss table and curves are in Supplementary Table S14 and Supplementary Figure S3. The operational product therefore prioritises propagation and uses ignition as a screening layer.</w:t>
      </w:r>
    </w:p>
    <w:p>
      <w:pPr>
        <w:pStyle w:val="BodyText"/>
      </w:pPr>
      <w:r>
        <w:t xml:space="preserve">Cost-loss is defined as the expected value of issuing an alert when the cost of a false alarm is</w:t>
      </w:r>
      <w:r>
        <w:t xml:space="preserve"> </w:t>
      </w:r>
      <m:oMath>
        <m:r>
          <m:t>C</m:t>
        </m:r>
      </m:oMath>
      <w:r>
        <w:t xml:space="preserve"> </w:t>
      </w:r>
      <w:r>
        <w:t xml:space="preserve">and the loss avoided by a true alert is</w:t>
      </w:r>
      <w:r>
        <w:t xml:space="preserve"> </w:t>
      </w:r>
      <m:oMath>
        <m:r>
          <m:t>L</m:t>
        </m:r>
      </m:oMath>
      <w:r>
        <w:t xml:space="preserve">; the ratio</w:t>
      </w:r>
      <w:r>
        <w:t xml:space="preserve"> </w:t>
      </w:r>
      <m:oMath>
        <m:r>
          <m:t>α</m:t>
        </m:r>
        <m:r>
          <m:rPr>
            <m:sty m:val="p"/>
          </m:rPr>
          <m:t>=</m:t>
        </m:r>
        <m:r>
          <m:t>C</m:t>
        </m:r>
        <m:r>
          <m:rPr>
            <m:sty m:val="p"/>
          </m:rPr>
          <m:t>/</m:t>
        </m:r>
        <m:r>
          <m:t>L</m:t>
        </m:r>
      </m:oMath>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m:oMath>
        <m:r>
          <m:t>α</m:t>
        </m:r>
      </m:oMath>
      <w:r>
        <w:t xml:space="preserve">. The result supports the operational choice of prioritising propagation and treating ignition as a screening layer.</w:t>
      </w:r>
    </w:p>
    <w:p>
      <w:pPr>
        <w:pStyle w:val="BodyText"/>
      </w:pPr>
      <w:r>
        <w:t xml:space="preserve">Conformal coverage is empirical: 89.85 %/90.19 % for a nominal 90 % level and 95.02 %/94.56 %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1</w:t>
        </w:r>
      </w:hyperlink>
      <w:r>
        <w:t xml:space="preserve"> </w:t>
      </w:r>
      <w:r>
        <w:t xml:space="preserve">and the spatial limitation in</w:t>
      </w:r>
      <w:r>
        <w:t xml:space="preserve"> </w:t>
      </w:r>
      <w:hyperlink w:anchor="tbl-spatial">
        <w:r>
          <w:rPr>
            <w:rStyle w:val="Hyperlink"/>
          </w:rPr>
          <w:t xml:space="preserve">Table 3</w:t>
        </w:r>
      </w:hyperlink>
      <w:r>
        <w:t xml:space="preserve">,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1" w:name="fig-map"/>
          <w:p>
            <w:pPr>
              <w:pStyle w:val="Compact"/>
              <w:jc w:val="center"/>
            </w:pPr>
            <w:r>
              <w:drawing>
                <wp:inline>
                  <wp:extent cx="4267200" cy="4741333"/>
                  <wp:effectExtent b="0" l="0" r="0" t="0"/>
                  <wp:docPr descr="" title="" id="39" name="Picture"/>
                  <a:graphic>
                    <a:graphicData uri="http://schemas.openxmlformats.org/drawingml/2006/picture">
                      <pic:pic>
                        <pic:nvPicPr>
                          <pic:cNvPr descr="figuras/fig03_mapa_riesgo_operativo_nacional.png" id="40" name="Picture"/>
                          <pic:cNvPicPr>
                            <a:picLocks noChangeArrowheads="1" noChangeAspect="1"/>
                          </pic:cNvPicPr>
                        </pic:nvPicPr>
                        <pic:blipFill>
                          <a:blip r:embed="rId38"/>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National 1-km² alert map for 2024-09-09, showing the spatial distribution of low, moderate and high alert cells.</w:t>
            </w:r>
          </w:p>
          <w:bookmarkEnd w:id="41"/>
        </w:tc>
      </w:tr>
    </w:tbl>
    <w:bookmarkEnd w:id="42"/>
    <w:bookmarkStart w:id="43" w:name="reproducibility-checks"/>
    <w:p>
      <w:pPr>
        <w:pStyle w:val="Heading2"/>
      </w:pPr>
      <w:r>
        <w:t xml:space="preserve">3.5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62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code DOI resolves to the release used for the manuscript, and the data DOI resolves to the archive used for the tables.</w:t>
      </w:r>
    </w:p>
    <w:bookmarkEnd w:id="43"/>
    <w:bookmarkEnd w:id="44"/>
    <w:bookmarkStart w:id="49" w:name="discussion"/>
    <w:p>
      <w:pPr>
        <w:pStyle w:val="Heading1"/>
      </w:pPr>
      <w:r>
        <w:t xml:space="preserve">4. Discussion</w:t>
      </w:r>
    </w:p>
    <w:bookmarkStart w:id="45"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weather index cannot represent that interaction. In the Oriental Region, the signal is more anthropogenic and less dependent on same-day weather. These results do not imply that FWI or INPE are useless globally; they show that their transfer to this subtropical system is not supported by the blind test.</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causal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5"/>
    <w:bookmarkStart w:id="46"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M1 is weaker overall but more stable spatially and is therefore the correct fallback for new cells. This is a negative result about the hybrid model, and it is central to the paper: the operational layer should not present M3 as a spatial extrapolator.</w:t>
      </w:r>
    </w:p>
    <w:p>
      <w:pPr>
        <w:pStyle w:val="BodyText"/>
      </w:pPr>
      <w:r>
        <w:t xml:space="preserve">The D2 operator is also a guard against leakage. Without it, a model can mix persistence and ignition and obtain impressive but non-operational metrics. The combination of D2, a no-t-1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 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6"/>
    <w:bookmarkStart w:id="47" w:name="X89437c5d496b7b740d35454d9c653eebb75780f"/>
    <w:p>
      <w:pPr>
        <w:pStyle w:val="Heading2"/>
      </w:pPr>
      <w:r>
        <w:t xml:space="preserve">4.3 Implications for computational geoscience</w:t>
      </w:r>
    </w:p>
    <w:p>
      <w:pPr>
        <w:pStyle w:val="FirstParagraph"/>
      </w:pPr>
      <w:r>
        <w:t xml:space="preserve">The framework suggests a practical division of labour for geoscientific machine learning. The learner can be replaced; the target operator, the leakage controls and the evaluation harness should not. In this sense, the paper is closer to a benchmark protocol than to a model paper. That distinction matters for C&amp;G because it makes the contribution reusable beyond Paraguay: another team can keep the D2 logic, substitute local fuel and weather layers, and compare its model on the same kind of blind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7"/>
    <w:bookmarkStart w:id="48" w:name="limitations"/>
    <w:p>
      <w:pPr>
        <w:pStyle w:val="Heading2"/>
      </w:pPr>
      <w:r>
        <w:t xml:space="preserve">4.4 Limitations</w:t>
      </w:r>
    </w:p>
    <w:p>
      <w:pPr>
        <w:pStyle w:val="Compact"/>
        <w:numPr>
          <w:ilvl w:val="0"/>
          <w:numId w:val="1004"/>
        </w:numPr>
      </w:pPr>
      <w:r>
        <w:t xml:space="preserve">The study covers one country and two macro-regions; external validation is still missing.</w:t>
      </w:r>
    </w:p>
    <w:p>
      <w:pPr>
        <w:pStyle w:val="Compact"/>
        <w:numPr>
          <w:ilvl w:val="0"/>
          <w:numId w:val="1004"/>
        </w:numPr>
      </w:pPr>
      <w:r>
        <w:t xml:space="preserve">Fuel is a static 2023 MapBiomas layer; no annual fuel series is used.</w:t>
      </w:r>
    </w:p>
    <w:p>
      <w:pPr>
        <w:pStyle w:val="Compact"/>
        <w:numPr>
          <w:ilvl w:val="0"/>
          <w:numId w:val="1004"/>
        </w:numPr>
      </w:pPr>
      <w:r>
        <w:t xml:space="preserve">VIIRS can miss fires under clouds; no explicit observation model is implemented.</w:t>
      </w:r>
    </w:p>
    <w:p>
      <w:pPr>
        <w:pStyle w:val="Compact"/>
        <w:numPr>
          <w:ilvl w:val="0"/>
          <w:numId w:val="1004"/>
        </w:numPr>
      </w:pPr>
      <w:r>
        <w:t xml:space="preserve">ERA5-Land is used at 0.25° and 3-hourly resolution; intra-day VPD and wind peaks may be underestimated.</w:t>
      </w:r>
    </w:p>
    <w:p>
      <w:pPr>
        <w:pStyle w:val="Compact"/>
        <w:numPr>
          <w:ilvl w:val="0"/>
          <w:numId w:val="1004"/>
        </w:numPr>
      </w:pPr>
      <w:r>
        <w:t xml:space="preserve">Population-level ignition precision is very low (0.062 %/0.206 %), and cost-loss does not show a clear M3 advantage over M2.</w:t>
      </w:r>
    </w:p>
    <w:p>
      <w:pPr>
        <w:pStyle w:val="Compact"/>
        <w:numPr>
          <w:ilvl w:val="0"/>
          <w:numId w:val="1004"/>
        </w:numPr>
      </w:pPr>
      <w:r>
        <w:t xml:space="preserve">M3 loses spatial transferability; M1 is a fallback, not a solution for extrapolation.</w:t>
      </w:r>
    </w:p>
    <w:p>
      <w:pPr>
        <w:pStyle w:val="Compact"/>
        <w:numPr>
          <w:ilvl w:val="0"/>
          <w:numId w:val="1004"/>
        </w:numPr>
      </w:pPr>
      <w:r>
        <w:t xml:space="preserve">The system is a nowcast/hindcast; a day-ahead forecast requires numerical weather prediction.</w:t>
      </w:r>
    </w:p>
    <w:p>
      <w:pPr>
        <w:pStyle w:val="Compact"/>
        <w:numPr>
          <w:ilvl w:val="0"/>
          <w:numId w:val="1004"/>
        </w:numPr>
      </w:pPr>
      <w:r>
        <w:t xml:space="preserve">Conformal coverage is empirical and does not guarantee performance under temporal shift.</w:t>
      </w:r>
    </w:p>
    <w:p>
      <w:pPr>
        <w:pStyle w:val="Compact"/>
        <w:numPr>
          <w:ilvl w:val="0"/>
          <w:numId w:val="1004"/>
        </w:numPr>
      </w:pPr>
      <w:r>
        <w:t xml:space="preserve">A coupled baseline with t-1 fire inputs and no gating has not been implemented; the decoupling claim is therefore supported by the architecture and the spatial holdout, not by a direct head-to-head leakage experiment.</w:t>
      </w:r>
    </w:p>
    <w:p>
      <w:pPr>
        <w:pStyle w:val="Compact"/>
        <w:numPr>
          <w:ilvl w:val="0"/>
          <w:numId w:val="1004"/>
        </w:numPr>
      </w:pPr>
      <w:r>
        <w:t xml:space="preserve">The model has not been tested prospectively with an operational agency; the cost-loss and alert-map results are retrospective.</w:t>
      </w:r>
    </w:p>
    <w:p>
      <w:pPr>
        <w:pStyle w:val="Compact"/>
        <w:numPr>
          <w:ilvl w:val="0"/>
          <w:numId w:val="1004"/>
        </w:numPr>
      </w:pPr>
      <w:r>
        <w:t xml:space="preserve">The national grid and priors are tailored to Paraguay; transfer to another country would require rebuilding the grid, the historical priors and the prevalence metadata.</w:t>
      </w:r>
    </w:p>
    <w:p>
      <w:pPr>
        <w:pStyle w:val="Compact"/>
        <w:numPr>
          <w:ilvl w:val="0"/>
          <w:numId w:val="1004"/>
        </w:numPr>
      </w:pPr>
      <w:r>
        <w:t xml:space="preserve">The choice of a 10-day same-cell exclusion is a design decision; alternative windows could change the ignition base rate and should be tested in future work.</w:t>
      </w:r>
    </w:p>
    <w:bookmarkEnd w:id="48"/>
    <w:bookmarkEnd w:id="49"/>
    <w:bookmarkStart w:id="50" w:name="conclusions"/>
    <w:p>
      <w:pPr>
        <w:pStyle w:val="Heading1"/>
      </w:pPr>
      <w:r>
        <w:t xml:space="preserve">5. Conclusions</w:t>
      </w:r>
    </w:p>
    <w:p>
      <w:pPr>
        <w:pStyle w:val="FirstParagraph"/>
      </w:pPr>
      <w:r>
        <w:t xml:space="preserve">We presented a reproducible computational framework for decoupled wildfire ignition and propagation benchmarking. D2 separates ignition from persistence; the gated M3/M1 architecture provides a temporal nowcast with a spatially robust fallback; and the open harness makes the benchmark auditable. In the Gran Chaco, M3 reaches ROC-AUC 0.7851/0.7485 against 0.5185/0.5569 for full FWI and 0.5386/0.4994 for INPE, but population precision is low and the hybrid advantage does not transfer spatially. M1 is the better choice for new cells, and M3 should be presented as a recurrence-aware nowcast rather than a universal ignition model. The most useful output is not a single map: it is a protocol that shows where a model is valid, where it fails and how to reproduce the result. Future work should add a coupled t-1 baseline, an external-country validation and a day-ahead weather source. Code and data are archived with DOIs, and the benchmark can be extended to other subtropical regions without changing the target logic.</w:t>
      </w:r>
    </w:p>
    <w:bookmarkEnd w:id="50"/>
    <w:bookmarkStart w:id="52" w:name="data-availability"/>
    <w:p>
      <w:pPr>
        <w:pStyle w:val="Heading1"/>
      </w:pPr>
      <w:r>
        <w:t xml:space="preserve">6. Data availability</w:t>
      </w:r>
    </w:p>
    <w:p>
      <w:pPr>
        <w:pStyle w:val="FirstParagraph"/>
      </w:pPr>
      <w:r>
        <w:t xml:space="preserve">Processed data, test predictions, trained models and derived tables are archived in Zenodo under CC BY 4.0:</w:t>
      </w:r>
      <w:r>
        <w:t xml:space="preserve"> </w:t>
      </w:r>
      <w:hyperlink r:id="rId51">
        <w:r>
          <w:rPr>
            <w:rStyle w:val="Hyperlink"/>
          </w:rPr>
          <w:t xml:space="preserve">10.5281/zenodo.23675279</w:t>
        </w:r>
      </w:hyperlink>
      <w:r>
        <w:t xml:space="preserve">. Raw NASA FIRMS, ERA5-Land/CDS, MapBiomas and geoBoundaries data are obtained from their original providers under their own terms and are documented with SHA-256 hashes in</w:t>
      </w:r>
      <w:r>
        <w:t xml:space="preserve"> </w:t>
      </w:r>
      <w:r>
        <w:rPr>
          <w:rStyle w:val="VerbatimChar"/>
        </w:rPr>
        <w:t xml:space="preserve">fuentes/MANIFIESTO_DATOS_v2.csv</w:t>
      </w:r>
      <w:r>
        <w:t xml:space="preserve">.</w:t>
      </w:r>
    </w:p>
    <w:bookmarkEnd w:id="52"/>
    <w:bookmarkStart w:id="53" w:name="acknowledgements"/>
    <w:p>
      <w:pPr>
        <w:pStyle w:val="Heading1"/>
      </w:pPr>
      <w:r>
        <w:t xml:space="preserve">7. Acknowledgements</w:t>
      </w:r>
    </w:p>
    <w:p>
      <w:pPr>
        <w:pStyle w:val="FirstParagraph"/>
      </w:pPr>
      <w:r>
        <w:t xml:space="preserve">We thank NASA FIRMS, the Copernicus Climate Data Store, MapBiomas and geoBoundaries for open data. The author is responsible for all interpretations and errors.</w:t>
      </w:r>
    </w:p>
    <w:bookmarkEnd w:id="53"/>
    <w:bookmarkStart w:id="54" w:name="funding"/>
    <w:p>
      <w:pPr>
        <w:pStyle w:val="Heading1"/>
      </w:pPr>
      <w:r>
        <w:t xml:space="preserve">8. Funding</w:t>
      </w:r>
    </w:p>
    <w:p>
      <w:pPr>
        <w:pStyle w:val="FirstParagraph"/>
      </w:pPr>
      <w:r>
        <w:t xml:space="preserve">This research received no specific grant from public, commercial or not-for-profit funding agencies.</w:t>
      </w:r>
    </w:p>
    <w:bookmarkEnd w:id="54"/>
    <w:bookmarkStart w:id="55" w:name="competing-interests"/>
    <w:p>
      <w:pPr>
        <w:pStyle w:val="Heading1"/>
      </w:pPr>
      <w:r>
        <w:t xml:space="preserve">9. Competing interests</w:t>
      </w:r>
    </w:p>
    <w:p>
      <w:pPr>
        <w:pStyle w:val="FirstParagraph"/>
      </w:pPr>
      <w:r>
        <w:t xml:space="preserve">The author declares no competing financial or non-financial interests.</w:t>
      </w:r>
    </w:p>
    <w:bookmarkEnd w:id="55"/>
    <w:bookmarkStart w:id="56" w:name="author-contributions"/>
    <w:p>
      <w:pPr>
        <w:pStyle w:val="Heading1"/>
      </w:pPr>
      <w:r>
        <w:t xml:space="preserve">10. Author contributions</w:t>
      </w:r>
    </w:p>
    <w:p>
      <w:pPr>
        <w:pStyle w:val="FirstParagraph"/>
      </w:pPr>
      <w:r>
        <w:t xml:space="preserve">Martín Sánchez Insfrán: conceptualization, methodology, software, data curation, formal analysis, validation, visualization, writing—original draft, writing—review and editing, project administration.</w:t>
      </w:r>
    </w:p>
    <w:bookmarkEnd w:id="56"/>
    <w:bookmarkStart w:id="57" w:name="generative-ai-declaration"/>
    <w:p>
      <w:pPr>
        <w:pStyle w:val="Heading1"/>
      </w:pPr>
      <w:r>
        <w:t xml:space="preserve">11. Generative AI declaration</w:t>
      </w:r>
    </w:p>
    <w:p>
      <w:pPr>
        <w:pStyle w:val="FirstParagraph"/>
      </w:pPr>
      <w:r>
        <w:t xml:space="preserve">Generative AI tools were used for language editing and code assistance. The author reviewed and verified all content and takes full responsibility for the published article.</w:t>
      </w:r>
    </w:p>
    <w:bookmarkEnd w:id="57"/>
    <w:bookmarkStart w:id="60" w:name="computer-code-availability"/>
    <w:p>
      <w:pPr>
        <w:pStyle w:val="Heading1"/>
      </w:pPr>
      <w:r>
        <w:t xml:space="preserve">12. 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58">
        <w:r>
          <w:rPr>
            <w:rStyle w:val="Hyperlink"/>
          </w:rPr>
          <w:t xml:space="preserve">https://github.com/sanchezmartin093-code/Incendios_PY</w:t>
        </w:r>
      </w:hyperlink>
      <w:r>
        <w:br/>
      </w:r>
      <w:r>
        <w:rPr>
          <w:b/>
          <w:bCs/>
        </w:rPr>
        <w:t xml:space="preserve">Code DOI:</w:t>
      </w:r>
      <w:r>
        <w:t xml:space="preserve"> </w:t>
      </w:r>
      <w:hyperlink r:id="rId59">
        <w:r>
          <w:rPr>
            <w:rStyle w:val="Hyperlink"/>
          </w:rPr>
          <w:t xml:space="preserve">10.5281/zenodo.23675105</w:t>
        </w:r>
      </w:hyperlink>
      <w:r>
        <w:br/>
      </w:r>
      <w:r>
        <w:rPr>
          <w:b/>
          <w:bCs/>
        </w:rPr>
        <w:t xml:space="preserve">Data DOI:</w:t>
      </w:r>
      <w:r>
        <w:t xml:space="preserve"> </w:t>
      </w:r>
      <w:hyperlink r:id="rId51">
        <w:r>
          <w:rPr>
            <w:rStyle w:val="Hyperlink"/>
          </w:rPr>
          <w:t xml:space="preserve">10.5281/zenodo.23675279</w:t>
        </w:r>
      </w:hyperlink>
      <w:r>
        <w:br/>
      </w:r>
      <w:r>
        <w:rPr>
          <w:b/>
          <w:bCs/>
        </w:rPr>
        <w:t xml:space="preserve">Tests:</w:t>
      </w:r>
      <w:r>
        <w:t xml:space="preserve"> </w:t>
      </w:r>
      <w:r>
        <w:t xml:space="preserve">62 tests pass with</w:t>
      </w:r>
      <w:r>
        <w:t xml:space="preserve"> </w:t>
      </w:r>
      <w:r>
        <w:rPr>
          <w:rStyle w:val="VerbatimChar"/>
        </w:rPr>
        <w:t xml:space="preserve">python -m unittest discover -s tests -p "test_*.py"</w:t>
      </w:r>
      <w:r>
        <w:t xml:space="preserve">.</w:t>
      </w:r>
    </w:p>
    <w:bookmarkEnd w:id="60"/>
    <w:bookmarkStart w:id="99" w:name="references"/>
    <w:p>
      <w:pPr>
        <w:pStyle w:val="Heading1"/>
      </w:pPr>
      <w:r>
        <w:t xml:space="preserve">References</w:t>
      </w:r>
    </w:p>
    <w:bookmarkStart w:id="98" w:name="refs"/>
    <w:bookmarkStart w:id="62"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1">
        <w:r>
          <w:rPr>
            <w:rStyle w:val="Hyperlink"/>
          </w:rPr>
          <w:t xml:space="preserve">https://doi.org/10.3390/rs10091438</w:t>
        </w:r>
      </w:hyperlink>
    </w:p>
    <w:bookmarkEnd w:id="62"/>
    <w:bookmarkStart w:id="64"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3">
        <w:r>
          <w:rPr>
            <w:rStyle w:val="Hyperlink"/>
          </w:rPr>
          <w:t xml:space="preserve">https://doi.org/10.3390/s20226442</w:t>
        </w:r>
      </w:hyperlink>
    </w:p>
    <w:bookmarkEnd w:id="64"/>
    <w:bookmarkStart w:id="66"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5">
        <w:r>
          <w:rPr>
            <w:rStyle w:val="Hyperlink"/>
          </w:rPr>
          <w:t xml:space="preserve">https://doi.org/10.1111/gcb.13521</w:t>
        </w:r>
      </w:hyperlink>
    </w:p>
    <w:bookmarkEnd w:id="66"/>
    <w:bookmarkStart w:id="68"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67">
        <w:r>
          <w:rPr>
            <w:rStyle w:val="Hyperlink"/>
          </w:rPr>
          <w:t xml:space="preserve">https://doi.org/10.1111/j.2007.0906-7590.05171.x</w:t>
        </w:r>
      </w:hyperlink>
    </w:p>
    <w:bookmarkEnd w:id="68"/>
    <w:bookmarkStart w:id="70"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69">
        <w:r>
          <w:rPr>
            <w:rStyle w:val="Hyperlink"/>
          </w:rPr>
          <w:t xml:space="preserve">https://doi.org/10.1071/WF08187</w:t>
        </w:r>
      </w:hyperlink>
    </w:p>
    <w:bookmarkEnd w:id="70"/>
    <w:bookmarkStart w:id="72"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1">
        <w:r>
          <w:rPr>
            <w:rStyle w:val="Hyperlink"/>
          </w:rPr>
          <w:t xml:space="preserve">https://doi.org/10.1139/er-2020-0019</w:t>
        </w:r>
      </w:hyperlink>
    </w:p>
    <w:bookmarkEnd w:id="72"/>
    <w:bookmarkStart w:id="74"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3">
        <w:r>
          <w:rPr>
            <w:rStyle w:val="Hyperlink"/>
          </w:rPr>
          <w:t xml:space="preserve">https://doi.org/10.1038/ncomms8537</w:t>
        </w:r>
      </w:hyperlink>
    </w:p>
    <w:bookmarkEnd w:id="74"/>
    <w:bookmarkStart w:id="75"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75"/>
    <w:bookmarkStart w:id="77"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76">
        <w:r>
          <w:rPr>
            <w:rStyle w:val="Hyperlink"/>
          </w:rPr>
          <w:t xml:space="preserve">https://doi.org/10.2307/1939924</w:t>
        </w:r>
      </w:hyperlink>
    </w:p>
    <w:bookmarkEnd w:id="77"/>
    <w:bookmarkStart w:id="79"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78">
        <w:r>
          <w:rPr>
            <w:rStyle w:val="Hyperlink"/>
          </w:rPr>
          <w:t xml:space="preserve">https://doi.org/10.1145/1102351.1102430</w:t>
        </w:r>
      </w:hyperlink>
    </w:p>
    <w:bookmarkEnd w:id="79"/>
    <w:bookmarkStart w:id="81"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0">
        <w:r>
          <w:rPr>
            <w:rStyle w:val="Hyperlink"/>
          </w:rPr>
          <w:t xml:space="preserve">https://doi.org/10.1016/j.pecon.2021.06.005</w:t>
        </w:r>
      </w:hyperlink>
    </w:p>
    <w:bookmarkEnd w:id="81"/>
    <w:bookmarkStart w:id="82"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82"/>
    <w:bookmarkStart w:id="84"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83">
        <w:r>
          <w:rPr>
            <w:rStyle w:val="Hyperlink"/>
          </w:rPr>
          <w:t xml:space="preserve">https://doi.org/10.1038/s41467-020-18321-y</w:t>
        </w:r>
      </w:hyperlink>
    </w:p>
    <w:bookmarkEnd w:id="84"/>
    <w:bookmarkStart w:id="86"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85">
        <w:r>
          <w:rPr>
            <w:rStyle w:val="Hyperlink"/>
          </w:rPr>
          <w:t xml:space="preserve">https://doi.org/10.1111/ecog.02881</w:t>
        </w:r>
      </w:hyperlink>
    </w:p>
    <w:bookmarkEnd w:id="86"/>
    <w:bookmarkStart w:id="88"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87">
        <w:r>
          <w:rPr>
            <w:rStyle w:val="Hyperlink"/>
          </w:rPr>
          <w:t xml:space="preserve">https://doi.org/10.5772/28441</w:t>
        </w:r>
      </w:hyperlink>
    </w:p>
    <w:bookmarkEnd w:id="88"/>
    <w:bookmarkStart w:id="90"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89">
        <w:r>
          <w:rPr>
            <w:rStyle w:val="Hyperlink"/>
          </w:rPr>
          <w:t xml:space="preserve">http://queimadas.dgi.inpe.br</w:t>
        </w:r>
      </w:hyperlink>
    </w:p>
    <w:bookmarkEnd w:id="90"/>
    <w:bookmarkStart w:id="92"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1">
        <w:r>
          <w:rPr>
            <w:rStyle w:val="Hyperlink"/>
          </w:rPr>
          <w:t xml:space="preserve">https://doi.org/10.5558/tfc65258-4</w:t>
        </w:r>
      </w:hyperlink>
    </w:p>
    <w:bookmarkEnd w:id="92"/>
    <w:bookmarkStart w:id="94"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93">
        <w:r>
          <w:rPr>
            <w:rStyle w:val="Hyperlink"/>
          </w:rPr>
          <w:t xml:space="preserve">https://doi.org/10.2307/143141</w:t>
        </w:r>
      </w:hyperlink>
    </w:p>
    <w:bookmarkEnd w:id="94"/>
    <w:bookmarkStart w:id="96"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95">
        <w:r>
          <w:rPr>
            <w:rStyle w:val="Hyperlink"/>
          </w:rPr>
          <w:t xml:space="preserve">https://doi.org/10.1016/j.jaridenv.2014.11.009</w:t>
        </w:r>
      </w:hyperlink>
    </w:p>
    <w:bookmarkEnd w:id="96"/>
    <w:bookmarkStart w:id="97"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97"/>
    <w:bookmarkEnd w:id="98"/>
    <w:bookmarkEnd w:id="99"/>
    <w:sectPr>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38" Target="media/rId38.png" /><Relationship Type="http://schemas.openxmlformats.org/officeDocument/2006/relationships/image" Id="rId31" Target="media/rId31.png" /><Relationship Type="http://schemas.openxmlformats.org/officeDocument/2006/relationships/hyperlink" Id="rId89" Target="http://queimadas.dgi.inpe.br" TargetMode="External" /><Relationship Type="http://schemas.openxmlformats.org/officeDocument/2006/relationships/hyperlink" Id="rId95" Target="https://doi.org/10.1016/j.jaridenv.2014.11.009" TargetMode="External" /><Relationship Type="http://schemas.openxmlformats.org/officeDocument/2006/relationships/hyperlink" Id="rId80" Target="https://doi.org/10.1016/j.pecon.2021.06.005" TargetMode="External" /><Relationship Type="http://schemas.openxmlformats.org/officeDocument/2006/relationships/hyperlink" Id="rId73" Target="https://doi.org/10.1038/ncomms8537" TargetMode="External" /><Relationship Type="http://schemas.openxmlformats.org/officeDocument/2006/relationships/hyperlink" Id="rId83" Target="https://doi.org/10.1038/s41467-020-18321-y" TargetMode="External" /><Relationship Type="http://schemas.openxmlformats.org/officeDocument/2006/relationships/hyperlink" Id="rId69" Target="https://doi.org/10.1071/WF08187" TargetMode="External" /><Relationship Type="http://schemas.openxmlformats.org/officeDocument/2006/relationships/hyperlink" Id="rId85" Target="https://doi.org/10.1111/ecog.02881" TargetMode="External" /><Relationship Type="http://schemas.openxmlformats.org/officeDocument/2006/relationships/hyperlink" Id="rId65" Target="https://doi.org/10.1111/gcb.13521" TargetMode="External" /><Relationship Type="http://schemas.openxmlformats.org/officeDocument/2006/relationships/hyperlink" Id="rId67" Target="https://doi.org/10.1111/j.2007.0906-7590.05171.x" TargetMode="External" /><Relationship Type="http://schemas.openxmlformats.org/officeDocument/2006/relationships/hyperlink" Id="rId71" Target="https://doi.org/10.1139/er-2020-0019" TargetMode="External" /><Relationship Type="http://schemas.openxmlformats.org/officeDocument/2006/relationships/hyperlink" Id="rId78" Target="https://doi.org/10.1145/1102351.1102430" TargetMode="External" /><Relationship Type="http://schemas.openxmlformats.org/officeDocument/2006/relationships/hyperlink" Id="rId93" Target="https://doi.org/10.2307/143141" TargetMode="External" /><Relationship Type="http://schemas.openxmlformats.org/officeDocument/2006/relationships/hyperlink" Id="rId76" Target="https://doi.org/10.2307/1939924" TargetMode="External" /><Relationship Type="http://schemas.openxmlformats.org/officeDocument/2006/relationships/hyperlink" Id="rId61" Target="https://doi.org/10.3390/rs10091438" TargetMode="External" /><Relationship Type="http://schemas.openxmlformats.org/officeDocument/2006/relationships/hyperlink" Id="rId63" Target="https://doi.org/10.3390/s20226442" TargetMode="External" /><Relationship Type="http://schemas.openxmlformats.org/officeDocument/2006/relationships/hyperlink" Id="rId59" Target="https://doi.org/10.5281/zenodo.23675105" TargetMode="External" /><Relationship Type="http://schemas.openxmlformats.org/officeDocument/2006/relationships/hyperlink" Id="rId51" Target="https://doi.org/10.5281/zenodo.23675279" TargetMode="External" /><Relationship Type="http://schemas.openxmlformats.org/officeDocument/2006/relationships/hyperlink" Id="rId91" Target="https://doi.org/10.5558/tfc65258-4" TargetMode="External" /><Relationship Type="http://schemas.openxmlformats.org/officeDocument/2006/relationships/hyperlink" Id="rId87" Target="https://doi.org/10.5772/28441" TargetMode="External" /><Relationship Type="http://schemas.openxmlformats.org/officeDocument/2006/relationships/hyperlink" Id="rId58"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89" Target="http://queimadas.dgi.inpe.br" TargetMode="External" /><Relationship Type="http://schemas.openxmlformats.org/officeDocument/2006/relationships/hyperlink" Id="rId95" Target="https://doi.org/10.1016/j.jaridenv.2014.11.009" TargetMode="External" /><Relationship Type="http://schemas.openxmlformats.org/officeDocument/2006/relationships/hyperlink" Id="rId80" Target="https://doi.org/10.1016/j.pecon.2021.06.005" TargetMode="External" /><Relationship Type="http://schemas.openxmlformats.org/officeDocument/2006/relationships/hyperlink" Id="rId73" Target="https://doi.org/10.1038/ncomms8537" TargetMode="External" /><Relationship Type="http://schemas.openxmlformats.org/officeDocument/2006/relationships/hyperlink" Id="rId83" Target="https://doi.org/10.1038/s41467-020-18321-y" TargetMode="External" /><Relationship Type="http://schemas.openxmlformats.org/officeDocument/2006/relationships/hyperlink" Id="rId69" Target="https://doi.org/10.1071/WF08187" TargetMode="External" /><Relationship Type="http://schemas.openxmlformats.org/officeDocument/2006/relationships/hyperlink" Id="rId85" Target="https://doi.org/10.1111/ecog.02881" TargetMode="External" /><Relationship Type="http://schemas.openxmlformats.org/officeDocument/2006/relationships/hyperlink" Id="rId65" Target="https://doi.org/10.1111/gcb.13521" TargetMode="External" /><Relationship Type="http://schemas.openxmlformats.org/officeDocument/2006/relationships/hyperlink" Id="rId67" Target="https://doi.org/10.1111/j.2007.0906-7590.05171.x" TargetMode="External" /><Relationship Type="http://schemas.openxmlformats.org/officeDocument/2006/relationships/hyperlink" Id="rId71" Target="https://doi.org/10.1139/er-2020-0019" TargetMode="External" /><Relationship Type="http://schemas.openxmlformats.org/officeDocument/2006/relationships/hyperlink" Id="rId78" Target="https://doi.org/10.1145/1102351.1102430" TargetMode="External" /><Relationship Type="http://schemas.openxmlformats.org/officeDocument/2006/relationships/hyperlink" Id="rId93" Target="https://doi.org/10.2307/143141" TargetMode="External" /><Relationship Type="http://schemas.openxmlformats.org/officeDocument/2006/relationships/hyperlink" Id="rId76" Target="https://doi.org/10.2307/1939924" TargetMode="External" /><Relationship Type="http://schemas.openxmlformats.org/officeDocument/2006/relationships/hyperlink" Id="rId61" Target="https://doi.org/10.3390/rs10091438" TargetMode="External" /><Relationship Type="http://schemas.openxmlformats.org/officeDocument/2006/relationships/hyperlink" Id="rId63" Target="https://doi.org/10.3390/s20226442" TargetMode="External" /><Relationship Type="http://schemas.openxmlformats.org/officeDocument/2006/relationships/hyperlink" Id="rId59" Target="https://doi.org/10.5281/zenodo.23675105" TargetMode="External" /><Relationship Type="http://schemas.openxmlformats.org/officeDocument/2006/relationships/hyperlink" Id="rId51" Target="https://doi.org/10.5281/zenodo.23675279" TargetMode="External" /><Relationship Type="http://schemas.openxmlformats.org/officeDocument/2006/relationships/hyperlink" Id="rId91" Target="https://doi.org/10.5558/tfc65258-4" TargetMode="External" /><Relationship Type="http://schemas.openxmlformats.org/officeDocument/2006/relationships/hyperlink" Id="rId87" Target="https://doi.org/10.5772/28441" TargetMode="External" /><Relationship Type="http://schemas.openxmlformats.org/officeDocument/2006/relationships/hyperlink" Id="rId58"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2026-10-26T21:29:22Z</dcterms:created>
  <dcterms:modified xsi:type="dcterms:W3CDTF">2026-10-26T21:29:22Z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2026-10-26</vt:lpwstr>
  </property>
  <property fmtid="{D5CDD505-2E9C-101B-9397-08002B2CF9AE}" pid="7" name="date-modified">
    <vt:lpwstr>2026-10-26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D2 targets, gated M3/M1 inference, and an open benchmark against Canadian FWI and INPE</vt:lpwstr>
  </property>
  <property fmtid="{D5CDD505-2E9C-101B-9397-08002B2CF9AE}" pid="14" name="tbl-cap-location">
    <vt:lpwstr>top</vt:lpwstr>
  </property>
  <property fmtid="{D5CDD505-2E9C-101B-9397-08002B2CF9AE}" pid="15" name="toc-title">
    <vt:lpwstr>Contents</vt:lpwstr>
  </property>
</Properties>
</file>