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Desacoplando el Peligro Biofísico de Ignición y la Propagación Táctica de Incendios Forestales en el Gran Chaco mediante GeoAI Multiescala (2018–2025)</w:t>
      </w:r>
    </w:p>
    <w:p>
      <w:pPr>
        <w:pStyle w:val="Date"/>
      </w:pPr>
      <w:r>
        <w:t xml:space="preserve">2026-10-24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Desacoplando el peligro biofísico de ignición y la propagación táctica de incendios forestales en el Gran Chaco mediante GeoAI multiescala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Un marco computacional reproducible de dos etapas para el nowcasting diario de peligro y benchmarking internacional frente a full Canadian FWI y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Decoupling Biophysical Ignition Hazard and Tactical Wildfire Propagation in the Gran Chaco via Multiscale GeoAI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A Reproducible Two-Stage Computational Framework for Daily Hazard Nowcasting and International Benchmarking Against full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Decoupled GeoAI Wildfire Hazard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Revisión de un solo anonimizado (</w:t>
      </w:r>
      <w:r>
        <w:rPr>
          <w:i/>
          <w:iCs/>
        </w:rPr>
        <w:t xml:space="preserve">Single-Anonymized Peer Review</w:t>
      </w:r>
      <w:r>
        <w:t xml:space="preserve">, política de C&amp;G)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Biophysical gating removes 21.7% of cell-days and retains 97.17% of detections.</w:t>
      </w:r>
      <w:r>
        <w:t xml:space="preserve"> </w:t>
      </w:r>
      <w:r>
        <w:t xml:space="preserve">(79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Decoupled models isolate physical ignition risk from tactical t-1 fire spread.</w:t>
      </w:r>
      <w:r>
        <w:t xml:space="preserve"> </w:t>
      </w:r>
      <w:r>
        <w:t xml:space="preserve">(78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 Platt-calibrated LightGBM beats full Canadian FWI and INPE Risco de Fogo.</w:t>
      </w:r>
      <w:r>
        <w:t xml:space="preserve"> </w:t>
      </w:r>
      <w:r>
        <w:t xml:space="preserve">(83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50-km spatial block holdout completed; M1 fallback for cells without fire history.</w:t>
      </w:r>
      <w:r>
        <w:t xml:space="preserve"> </w:t>
      </w:r>
      <w:r>
        <w:t xml:space="preserve">(82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DuckDB and Polars score 400,006 cells in 1.57 s and 2.18 GB peak RAM.</w:t>
      </w:r>
      <w:r>
        <w:t xml:space="preserve"> </w:t>
      </w:r>
      <w:r>
        <w:t xml:space="preserve">(69 chars)</w:t>
      </w:r>
    </w:p>
    <w:p>
      <w:r>
        <w:pict>
          <v:rect style="width:0;height:1.5pt" o:hralign="center" o:hrstd="t" o:hr="t"/>
        </w:pict>
      </w:r>
    </w:p>
    <w:bookmarkEnd w:id="12"/>
    <w:bookmarkStart w:id="16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CaptionedFigure"/>
      </w:pPr>
      <w:r>
        <w:drawing>
          <wp:inline>
            <wp:extent cx="5334000" cy="2336234"/>
            <wp:effectExtent b="0" l="0" r="0" t="0"/>
            <wp:docPr descr="Graphical Abstract: Decoupled GeoAI Framework for Operational Wildfire Hazard in Paraguay" title="" id="14" name="Picture"/>
            <a:graphic>
              <a:graphicData uri="http://schemas.openxmlformats.org/drawingml/2006/picture">
                <pic:pic>
                  <pic:nvPicPr>
                    <pic:cNvPr descr="figuras/fig01_arquitectura_impacto_natur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Graphical Abstract: Decoupled GeoAI Framework for Operational Wildfire Hazard in Paraguay</w:t>
      </w:r>
    </w:p>
    <w:p>
      <w:r>
        <w:pict>
          <v:rect style="width:0;height:1.5pt" o:hralign="center" o:hrstd="t" o:hr="t"/>
        </w:pict>
      </w:r>
    </w:p>
    <w:bookmarkEnd w:id="16"/>
    <w:bookmarkStart w:id="19" w:name="resumen-abstract-keywords"/>
    <w:p>
      <w:pPr>
        <w:pStyle w:val="Heading1"/>
      </w:pPr>
      <w:r>
        <w:t xml:space="preserve">5. Resumen / Abstract &amp; Keywords</w:t>
      </w:r>
    </w:p>
    <w:bookmarkStart w:id="17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forestales mediante aprendizaje automático enfrenta dos fallas metodológicas: el sesgo de atajo espacial y la dificultad de los índices boreales (como el Canadian FWI) en biomas subtropicales. Presentamos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una arquitectura GeoAI multiescala y desacoplada para Paraguay (400.006 celdas de 1 km², 2018–2025). El gating biofísico reduce el 21,7 % de las celdas-día y retiene el 97,17 % de las detecciones térmicas. Los priors históricos usan corte mensual y ventana móvil de 3 años. El modelo híbrido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combina clima ERA5-Land, MapBiomas real (</w:t>
      </w:r>
      <w:r>
        <w:rPr>
          <w:rStyle w:val="VerbatimChar"/>
        </w:rPr>
        <w:t xml:space="preserve">collection2_2023</w:t>
      </w:r>
      <w:r>
        <w:t xml:space="preserve">), ecotono, corredores antrópicos y priors causales; la propagación táctica usa un kernel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La evaluación sigue la definición D2: ignición primaria sin fuego t-1 en 25 km ni fuego en la celda en 10 días, y propagación dentro de 25 km de un fuego t-1. El test D2 contiene N=1.813.966 celdas-día (376.552 ignición y 1.437.414 propagación).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obtiene ROC-AUC 0,7851/0,7485 (Chaco/Oriental), frente a 0,5185/0,5569 del FWI completo y 0,5386/0,4994 del INPE Risco de Fogo; la propagación alcanza 0,8989/0,7799. Las precisiones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son 27,54 %/29,67 % y 84,94 %/62,42 %; en población caen a 0,062 %/0,206 % y 9,96 %/4,49 %. En holdout espacial, M3 cae a 0,6243/0,5754 y M1 obtiene 0,6338/0,6176: la ventaja híbrida es temporal. El pipeline se midió en ~1,569 s y ~2,18 GB de RAM pico. Es un nowcast/hindcast. La cobertura conformal empírica fue 89,85 %/90,19 % para 90 % y 95,02 %/94,56 % para 95 %.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Gran Chaco; LightGBM; Reanálisis ERA5-Land; NASA FIRMS; Desacoplamiento biofísico; Autocorrelación espacial; Benchmarking internacional.</w:t>
      </w:r>
    </w:p>
    <w:p>
      <w:r>
        <w:pict>
          <v:rect style="width:0;height:1.5pt" o:hralign="center" o:hrstd="t" o:hr="t"/>
        </w:pict>
      </w:r>
    </w:p>
    <w:bookmarkEnd w:id="17"/>
    <w:bookmarkStart w:id="18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Operational wildfire prediction via machine learning faces spatial shortcut learning and the limited transferability of boreal fire-weather indices to subtropical biomes. We present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 decoupled multiscale GeoAI framework for Paraguay (400,006 1-km² cells, 2018–2025). Biophysical gating removes 21.7 % of cell-days while retaining 97.17 % of thermal detections. Historical priors use a monthly cutoff and a rolling 3-year window. The hybrid model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combines ERA5-Land weather, real MapBiomas (</w:t>
      </w:r>
      <w:r>
        <w:rPr>
          <w:rStyle w:val="VerbatimChar"/>
        </w:rPr>
        <w:t xml:space="preserve">collection2_2023</w:t>
      </w:r>
      <w:r>
        <w:t xml:space="preserve">), ecotone, anthropogenic corridors and causal priors; tactical propagation uses a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kernel. Evaluation follows D2: primary ignition with no t-1 fire within 25 km and no same-cell fire in 10 days, and propagation within 25 km of a t-1 fire. The D2 test contains N=1,813,966 cell-days (376,552 ignition and 1,437,414 propagation).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ROC-AUC 0.7851/0.7485 (Chaco/Oriental), versus 0.5185/0.5569 for full FWI and 0.5386/0.4994 for INPE; propagation reaches 0.8989/0.7799.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 27.54 %/29.67 % and 84.94 %/62.42 %; population precision drops to 0.062 %/0.206 % and 9.96 %/4.49 %. In spatial holdout, M3 drops to 0.6243/0.5754 while M1 reaches 0.6338/0.6176: the hybrid advantage is temporal. The pipeline measured ~1.569 s and ~2.18 GB peak RAM. It is a nowcast/hindcast. Empirical conformal coverage was 89.85 %/90.19 % for 90 % and 95.02 %/94.56 % for 95 %.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hazard nowcasting; GeoAI; Gran Chaco; LightGBM; ERA5-Land reanalysis; NASA FIRMS; Biophysical decoupling; Spatial autocorrelation; International benchmarking.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1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3.12+,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0">
        <w:r>
          <w:rPr>
            <w:rStyle w:val="Hyperlink"/>
          </w:rPr>
          <w:t xml:space="preserve">https://github.com/sanchezmartin093-code/Incendios_PY</w:t>
        </w:r>
      </w:hyperlink>
    </w:p>
    <w:bookmarkEnd w:id="21"/>
    <w:bookmarkStart w:id="25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2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3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 MapBiomas real (</w:t>
      </w:r>
      <w:r>
        <w:rPr>
          <w:rStyle w:val="VerbatimChar"/>
        </w:rPr>
        <w:t xml:space="preserve">collection2_2023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Límites cartográficos soberanos:</w:t>
      </w:r>
      <w:r>
        <w:t xml:space="preserve"> </w:t>
      </w:r>
      <w:r>
        <w:t xml:space="preserve">Marco geoBoundaries ADM0 y ADM1 (</w:t>
      </w:r>
      <w:hyperlink r:id="rId24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y se archivan en Zenodo/OSF bajo licencia CC BY 4.0.</w:t>
      </w:r>
    </w:p>
    <w:bookmarkEnd w:id="25"/>
    <w:bookmarkStart w:id="26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6"/>
    <w:bookmarkStart w:id="27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27"/>
    <w:bookmarkStart w:id="28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3" Target="https://cds.climate.copernicus.eu/" TargetMode="External" /><Relationship Type="http://schemas.openxmlformats.org/officeDocument/2006/relationships/hyperlink" Id="rId22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4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ds.climate.copernicus.eu/" TargetMode="External" /><Relationship Type="http://schemas.openxmlformats.org/officeDocument/2006/relationships/hyperlink" Id="rId22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4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2026-10-26T19:32:31Z</dcterms:created>
  <dcterms:modified xsi:type="dcterms:W3CDTF">2026-10-26T19:32:31Z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2026-10-24</vt:lpwstr>
  </property>
  <property fmtid="{D5CDD505-2E9C-101B-9397-08002B2CF9AE}" pid="4" name="date-modified">
    <vt:lpwstr>2026-10-26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Desacoplando el Peligro Biofísico de Ignición y la Propagación Táctica de Incendios Forestales en el Gran Chaco mediante GeoAI Multiescala (2018–2025)</vt:lpwstr>
  </property>
  <property fmtid="{D5CDD505-2E9C-101B-9397-08002B2CF9AE}" pid="10" name="toc-title">
    <vt:lpwstr>Tabla de contenidos</vt:lpwstr>
  </property>
</Properties>
</file>