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2026-10-27</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material_suplementario.pdf</w:t>
      </w:r>
      <w:r>
        <w:t xml:space="preserve"> </w:t>
      </w:r>
      <w:r>
        <w:t xml:space="preserve">— Notes S1–S3, Tables S1–S15 and Figures S1–S3.</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v2.0.0).</w:t>
      </w:r>
      <w:r>
        <w:br/>
      </w:r>
      <w:r>
        <w:rPr>
          <w:b/>
          <w:bCs/>
        </w:rPr>
        <w:t xml:space="preserve">Data:</w:t>
      </w:r>
      <w:r>
        <w:t xml:space="preserve"> </w:t>
      </w:r>
      <w:r>
        <w:t xml:space="preserve">processed data and test predictions are archived in Zenodo under CC BY 4.0 (data concept DOI</w:t>
      </w:r>
      <w:r>
        <w:t xml:space="preserve"> </w:t>
      </w:r>
      <w:hyperlink r:id="rId11">
        <w:r>
          <w:rPr>
            <w:rStyle w:val="Hyperlink"/>
          </w:rPr>
          <w:t xml:space="preserve">10.5281/zenodo.23675278</w:t>
        </w:r>
      </w:hyperlink>
      <w:r>
        <w:t xml:space="preserve">; v2.0.0).</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Tables S1–S15:</w:t>
      </w:r>
      <w:r>
        <w:t xml:space="preserve"> </w:t>
      </w:r>
      <w:r>
        <w:t xml:space="preserve">variable dictionary, hyperparameters, departmental results, computational profile, conformal coverage, population evaluation, paired significance, spatial blocks, lead time, sampling, full benchmark, ablation, SHAP, cost-loss and data audit.</w:t>
      </w:r>
    </w:p>
    <w:p>
      <w:pPr>
        <w:pStyle w:val="BodyText"/>
      </w:pPr>
      <w:r>
        <w:t xml:space="preserve">•</w:t>
      </w:r>
      <w:r>
        <w:t xml:space="preserve"> </w:t>
      </w:r>
      <w:r>
        <w:rPr>
          <w:b/>
          <w:bCs/>
        </w:rPr>
        <w:t xml:space="preserve">Figures S1–S3:</w:t>
      </w:r>
      <w:r>
        <w:t xml:space="preserve"> </w:t>
      </w:r>
      <w:r>
        <w:t xml:space="preserve">SHAP, ablation and cost-loss.</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24"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Because four main comparisons are made against FWI and INPE, the significance statements are a conservative screening result rather than multiplicity-adjusted inference. The bootstrap resolution is 0.001.</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p>
      <w:pPr>
        <w:pStyle w:val="FirstParagraph"/>
      </w:pPr>
      <w:r>
        <w:t xml:space="preserve">The 1-km² grid is the modeling unit. Fuel fractions come from MapBiomas Collection 2 (2023)</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Cultivated pasture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2023</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2023</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2023</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1.26800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0.28500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0.01600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1.56900</w:t>
            </w:r>
          </w:p>
        </w:tc>
        <w:tc>
          <w:tcPr/>
          <w:p>
            <w:pPr>
              <w:pStyle w:val="Compact"/>
              <w:jc w:val="right"/>
            </w:pPr>
            <w:r>
              <w:t xml:space="preserve">2 182.1</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0.3360</w:t>
            </w:r>
          </w:p>
        </w:tc>
        <w:tc>
          <w:tcPr/>
          <w:p>
            <w:pPr>
              <w:pStyle w:val="Compact"/>
              <w:jc w:val="right"/>
            </w:pPr>
            <w:r>
              <w:t xml:space="preserve">89.77 %</w:t>
            </w:r>
          </w:p>
        </w:tc>
        <w:tc>
          <w:tcPr/>
          <w:p>
            <w:pPr>
              <w:pStyle w:val="Compact"/>
              <w:jc w:val="right"/>
            </w:pPr>
            <w:r>
              <w:t xml:space="preserve">0.8457</w:t>
            </w:r>
          </w:p>
        </w:tc>
        <w:tc>
          <w:tcPr/>
          <w:p>
            <w:pPr>
              <w:pStyle w:val="Compact"/>
              <w:jc w:val="right"/>
            </w:pPr>
            <w:r>
              <w:t xml:space="preserve">95.04 %</w:t>
            </w:r>
          </w:p>
        </w:tc>
      </w:tr>
      <w:tr>
        <w:tc>
          <w:tcPr/>
          <w:p>
            <w:pPr>
              <w:pStyle w:val="Compact"/>
            </w:pPr>
            <w:r>
              <w:t xml:space="preserve">Oriental</w:t>
            </w:r>
          </w:p>
        </w:tc>
        <w:tc>
          <w:tcPr/>
          <w:p>
            <w:pPr>
              <w:pStyle w:val="Compact"/>
              <w:jc w:val="right"/>
            </w:pPr>
            <w:r>
              <w:t xml:space="preserve">0.3743</w:t>
            </w:r>
          </w:p>
        </w:tc>
        <w:tc>
          <w:tcPr/>
          <w:p>
            <w:pPr>
              <w:pStyle w:val="Compact"/>
              <w:jc w:val="right"/>
            </w:pPr>
            <w:r>
              <w:t xml:space="preserve">90.18 %</w:t>
            </w:r>
          </w:p>
        </w:tc>
        <w:tc>
          <w:tcPr/>
          <w:p>
            <w:pPr>
              <w:pStyle w:val="Compact"/>
              <w:jc w:val="right"/>
            </w:pPr>
            <w:r>
              <w:t xml:space="preserve">0.8464</w:t>
            </w:r>
          </w:p>
        </w:tc>
        <w:tc>
          <w:tcPr/>
          <w:p>
            <w:pPr>
              <w:pStyle w:val="Compact"/>
              <w:jc w:val="right"/>
            </w:pPr>
            <w:r>
              <w:t xml:space="preserve">94.56 %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Table S7.</w:t>
      </w:r>
      <w:r>
        <w:t xml:space="preserve"> </w:t>
      </w:r>
      <w:r>
        <w:t xml:space="preserve">Paired ROC-AUC differences against FWI and INPE, grouped by date (retrospective 2024–2025 test).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not used here.</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FWI and INPE are normalized indices, not calibrated probabilities.</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792"/>
        <w:gridCol w:w="2376"/>
        <w:gridCol w:w="3009"/>
        <w:gridCol w:w="950"/>
        <w:gridCol w:w="792"/>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0.468108</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fraction (%)</w:t>
            </w:r>
          </w:p>
        </w:tc>
        <w:tc>
          <w:tcPr/>
          <w:p>
            <w:pPr>
              <w:pStyle w:val="Compact"/>
              <w:jc w:val="right"/>
            </w:pPr>
            <w:r>
              <w:t xml:space="preserve">0.187779</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0.080344</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0.077876</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0.034180</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Seasonal cosine harmonic (DOY)</w:t>
            </w:r>
          </w:p>
        </w:tc>
        <w:tc>
          <w:tcPr/>
          <w:p>
            <w:pPr>
              <w:pStyle w:val="Compact"/>
              <w:jc w:val="right"/>
            </w:pPr>
            <w:r>
              <w:t xml:space="preserve">0.032798</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potencial_viento_cuadratico</w:t>
            </w:r>
          </w:p>
        </w:tc>
        <w:tc>
          <w:tcPr/>
          <w:p>
            <w:pPr>
              <w:pStyle w:val="Compact"/>
            </w:pPr>
            <w:r>
              <w:t xml:space="preserve">Dynamic wind pressure (v²)</w:t>
            </w:r>
          </w:p>
        </w:tc>
        <w:tc>
          <w:tcPr/>
          <w:p>
            <w:pPr>
              <w:pStyle w:val="Compact"/>
              <w:jc w:val="right"/>
            </w:pPr>
            <w:r>
              <w:t xml:space="preserve">0.015865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0.011482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presion_quema_pastura</w:t>
            </w:r>
          </w:p>
        </w:tc>
        <w:tc>
          <w:tcPr/>
          <w:p>
            <w:pPr>
              <w:pStyle w:val="Compact"/>
            </w:pPr>
            <w:r>
              <w:t xml:space="preserve">Pasture burning pressure (pasture × VPD × month)</w:t>
            </w:r>
          </w:p>
        </w:tc>
        <w:tc>
          <w:tcPr/>
          <w:p>
            <w:pPr>
              <w:pStyle w:val="Compact"/>
              <w:jc w:val="right"/>
            </w:pPr>
            <w:r>
              <w:t xml:space="preserve">0.010718</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0.009495</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0.283984</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0.219708</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0.118975</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Palm/wetland fraction (%)</w:t>
            </w:r>
          </w:p>
        </w:tc>
        <w:tc>
          <w:tcPr/>
          <w:p>
            <w:pPr>
              <w:pStyle w:val="Compact"/>
              <w:jc w:val="right"/>
            </w:pPr>
            <w:r>
              <w:t xml:space="preserve">0.090180</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0.064126</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Savanna/natural grassland fraction</w:t>
            </w:r>
          </w:p>
        </w:tc>
        <w:tc>
          <w:tcPr/>
          <w:p>
            <w:pPr>
              <w:pStyle w:val="Compact"/>
              <w:jc w:val="right"/>
            </w:pPr>
            <w:r>
              <w:t xml:space="preserve">0.060748</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0.034921</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ffmc</w:t>
            </w:r>
          </w:p>
        </w:tc>
        <w:tc>
          <w:tcPr/>
          <w:p>
            <w:pPr>
              <w:pStyle w:val="Compact"/>
            </w:pPr>
            <w:r>
              <w:t xml:space="preserve">Fine fuel moisture code (FFMC)</w:t>
            </w:r>
          </w:p>
        </w:tc>
        <w:tc>
          <w:tcPr/>
          <w:p>
            <w:pPr>
              <w:pStyle w:val="Compact"/>
              <w:jc w:val="right"/>
            </w:pPr>
            <w:r>
              <w:t xml:space="preserve">0.024360</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dia_del_anio</w:t>
            </w:r>
          </w:p>
        </w:tc>
        <w:tc>
          <w:tcPr/>
          <w:p>
            <w:pPr>
              <w:pStyle w:val="Compact"/>
            </w:pPr>
            <w:r>
              <w:t xml:space="preserve">Day of year (DOY)</w:t>
            </w:r>
          </w:p>
        </w:tc>
        <w:tc>
          <w:tcPr/>
          <w:p>
            <w:pPr>
              <w:pStyle w:val="Compact"/>
              <w:jc w:val="right"/>
            </w:pPr>
            <w:r>
              <w:t xml:space="preserve">0.020410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0.018477</w:t>
            </w:r>
          </w:p>
        </w:tc>
        <w:tc>
          <w:tcPr/>
          <w:p>
            <w:pPr>
              <w:pStyle w:val="Compact"/>
              <w:jc w:val="right"/>
            </w:pPr>
            <w:r>
              <w:t xml:space="preserve">10</w:t>
            </w:r>
          </w:p>
        </w:tc>
      </w:tr>
    </w:tbl>
    <w:p>
      <w:pPr>
        <w:pStyle w:val="CaptionedFigure"/>
      </w:pPr>
      <w:r>
        <w:drawing>
          <wp:inline>
            <wp:extent cx="8252460" cy="3404139"/>
            <wp:effectExtent b="0" l="0" r="0" t="0"/>
            <wp:docPr descr="Figure S1. TreeSHAP comparison for the hybrid ignition model. The two regions use separate models and feature set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8252460" cy="3404139"/>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6949440" cy="5278265"/>
            <wp:effectExtent b="0" l="0" r="0" t="0"/>
            <wp:docPr descr="Figure S2. Controlled ablation under the D2 test. The figure complements Table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6949440" cy="527826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100536"/>
            <wp:effectExtent b="0" l="0" r="0" t="0"/>
            <wp:docPr descr="Figure S3. Cost-loss curves. The propagation panel uses the full \alpha range; the ignition panel is truncated at \alpha=0.006 because the decision value is zero or negligible at larger values. The figure complements Table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8252460" cy="31005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44</w:t>
            </w:r>
          </w:p>
        </w:tc>
        <w:tc>
          <w:tcPr/>
          <w:p>
            <w:pPr>
              <w:pStyle w:val="Compact"/>
            </w:pPr>
            <w:r>
              <w:t xml:space="preserve">OK</w:t>
            </w:r>
          </w:p>
        </w:tc>
        <w:tc>
          <w:tcPr/>
          <w:p>
            <w:pPr>
              <w:pStyle w:val="Compact"/>
            </w:pPr>
          </w:p>
        </w:tc>
      </w:tr>
    </w:tbl>
    <w:bookmarkEnd w:id="24"/>
    <w:bookmarkStart w:id="25" w:name="data-availability"/>
    <w:p>
      <w:pPr>
        <w:pStyle w:val="Heading1"/>
      </w:pPr>
      <w:r>
        <w:t xml:space="preserve">Data availability</w:t>
      </w:r>
    </w:p>
    <w:p>
      <w:pPr>
        <w:pStyle w:val="FirstParagraph"/>
      </w:pPr>
      <w:r>
        <w:t xml:space="preserve">Processed data, test predictions, trained models and derived tables are archived in Zenodo under CC BY 4.0 (concept DOI):</w:t>
      </w:r>
      <w:r>
        <w:t xml:space="preserve"> </w:t>
      </w:r>
      <w:hyperlink r:id="rId11">
        <w:r>
          <w:rPr>
            <w:rStyle w:val="Hyperlink"/>
          </w:rPr>
          <w:t xml:space="preserve">10.5281/zenodo.23675278</w:t>
        </w:r>
      </w:hyperlink>
      <w:r>
        <w:t xml:space="preserve">. Raw NASA FIRMS, ERA5-Land/CDS, MapBiomas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25"/>
    <w:bookmarkStart w:id="26"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 (v2.0.0):</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26"/>
    <w:bookmarkStart w:id="41" w:name="references"/>
    <w:p>
      <w:pPr>
        <w:pStyle w:val="Heading1"/>
      </w:pPr>
      <w:r>
        <w:t xml:space="preserve">References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2026-10-27T23:53:37Z</dcterms:created>
  <dcterms:modified xsi:type="dcterms:W3CDTF">2026-10-27T23:53:37Z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2026-10-27</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