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tasas aceleradas de deforestación y cambio de uso de suelo asociadas a la expansión agrícola y ganadera</w:t>
      </w:r>
      <w:r>
        <w:t xml:space="preserve"> </w:t>
      </w:r>
      <w:r>
        <w:t xml:space="preserve">(Vallejos et al., 2015)</w:t>
      </w:r>
      <w:r>
        <w:t xml:space="preserve">. En este contexto, el uso del fuego como herramienta de limpieza de campos, combinado con sequías sinópticas prolongadas y temperaturas que superan rutinariamente los</w:t>
      </w:r>
      <w:r>
        <w:t xml:space="preserve"> </w:t>
      </w:r>
      <m:oMath>
        <m:sSup>
          <m:e>
            <m:r>
              <m:t>42</m:t>
            </m:r>
          </m:e>
          <m:sup>
            <m:r>
              <m:rPr>
                <m:sty m:val="p"/>
              </m:rPr>
              <m:t>∘</m:t>
            </m:r>
          </m:sup>
        </m:sSup>
        <m:r>
          <m:rPr>
            <m:nor/>
            <m:sty m:val="p"/>
          </m:rPr>
          <m:t>C</m:t>
        </m:r>
      </m:oMath>
      <w:r>
        <w:t xml:space="preserve">, genera incendios incontrolados de escala catastrófica, como los eventos récord observados en 2019, 2020 y 2024.</w:t>
      </w:r>
    </w:p>
    <w:p>
      <w:pPr>
        <w:pStyle w:val="BodyText"/>
      </w:pPr>
      <w:r>
        <w:t xml:space="preserve">A nivel internacional, la estimación del peligro de incendios se ha sustentado tradicionalmente en sistemas empíricos semi-mecanicistas formulados hace décadas. Entre ellos,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operativo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De forma paralela,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utilizado por las agencias ambientales de Paraguay (MADES e INFONA). Sin embargo, estos índices canónicos fueron calibrados predominantemente para coníferas boreales templadas o para el Cerrado brasileño, exhibiendo graves deficiencias de calibración cuando se extrapolan al régimen hídrico semiárido del Chaco Seco o a la transición con el Bosque Atlántico húmedo.</w:t>
      </w:r>
    </w:p>
    <w:p>
      <w:pPr>
        <w:pStyle w:val="BodyText"/>
      </w:pPr>
      <w:r>
        <w:t xml:space="preserve">El advenimiento del aprendizaje automático (</w:t>
      </w:r>
      <w:r>
        <w:rPr>
          <w:i/>
          <w:iCs/>
        </w:rPr>
        <w:t xml:space="preserve">Machine Learning</w:t>
      </w:r>
      <w:r>
        <w:t xml:space="preserve">) y la inteligencia artificial geoespacial (</w:t>
      </w:r>
      <w:r>
        <w:rPr>
          <w:i/>
          <w:iCs/>
        </w:rPr>
        <w:t xml:space="preserve">GeoAI</w:t>
      </w:r>
      <w:r>
        <w:t xml:space="preserve">) ha impulsado una proliferación de modelos basados en árboles potenciados por gradiente (GBDT) y redes neuronales profundas para la predicción de fuegos</w:t>
      </w:r>
      <w:r>
        <w:t xml:space="preserve"> </w:t>
      </w:r>
      <w:r>
        <w:t xml:space="preserve">(Chen &amp; Guestrin, 2016; Ke et al., 2017)</w:t>
      </w:r>
      <w:r>
        <w:t xml:space="preserve">. No obstante, una revisión crítica de la literatura revela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fuga de datos (</w:t>
      </w:r>
      <w:r>
        <w:rPr>
          <w:b/>
          <w:bCs/>
          <w:i/>
          <w:iCs/>
        </w:rPr>
        <w:t xml:space="preserve">Data Leakage</w:t>
      </w:r>
      <w:r>
        <w:rPr>
          <w:b/>
          <w:bCs/>
        </w:rPr>
        <w:t xml:space="preserve">):</w:t>
      </w:r>
      <w:r>
        <w:br/>
      </w:r>
      <w:r>
        <w:t xml:space="preserve">Cuando un modelo de machine learning incluye variables espaciales autorregresivas contiguas (distancia al fuego del día anterior, densidad local de focos térmicos) sin desacoplar el origen del evento, el algoritmo aprende que</w:t>
      </w:r>
      <w:r>
        <w:t xml:space="preserve"> </w:t>
      </w:r>
      <w:r>
        <w:rPr>
          <w:i/>
          <w:iCs/>
        </w:rPr>
        <w:t xml:space="preserve">“si hay fuego al lado, hoy habrá fuego”</w:t>
      </w:r>
      <w:r>
        <w:t xml:space="preserve">. Aunque esto genera métricas de validación infladas artificialmente (ROC-AUC</w:t>
      </w:r>
      <w:r>
        <w:t xml:space="preserve"> </w:t>
      </w:r>
      <m:oMath>
        <m:r>
          <m:rPr>
            <m:sty m:val="p"/>
          </m:rPr>
          <m:t>&gt;</m:t>
        </m:r>
        <m:r>
          <m:t>0</m:t>
        </m:r>
        <m:r>
          <m:rPr>
            <m:sty m:val="p"/>
          </m:rPr>
          <m:t>,</m:t>
        </m:r>
        <m:r>
          <m:t>95</m:t>
        </m:r>
      </m:oMath>
      <w:r>
        <w:t xml:space="preserve">), el modelo se vuelve completamente ciego ante</w:t>
      </w:r>
      <w:r>
        <w:t xml:space="preserve"> </w:t>
      </w:r>
      <w:r>
        <w:rPr>
          <w:b/>
          <w:bCs/>
        </w:rPr>
        <w:t xml:space="preserve">igniciones primarias espontáneas o antrópicas nuevas</w:t>
      </w:r>
      <w:r>
        <w:t xml:space="preserve"> </w:t>
      </w:r>
      <w:r>
        <w:t xml:space="preserve">en zonas de alto estrés hídrico donde ayer no había fuego</w:t>
      </w:r>
      <w:r>
        <w:t xml:space="preserve"> </w:t>
      </w:r>
      <w:r>
        <w:t xml:space="preserve">(Ploton et al., 2020; Roberts et al., 2017)</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flujos de trabajo fragmentados en software SIG de escritorio o rutinas pesadas de geoprocesamiento espacial, lo que impide su ejecución automatizada y reproducible a escala de país a resolución de 1 km² en cuestión de segundos.</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5984748"/>
                  <wp:effectExtent b="0" l="0" r="0" t="0"/>
                  <wp:docPr descr="" title="" id="19" name="Picture"/>
                  <a:graphic>
                    <a:graphicData uri="http://schemas.openxmlformats.org/drawingml/2006/picture">
                      <pic:pic>
                        <pic:nvPicPr>
                          <pic:cNvPr descr="figuras/fig01_arquitectura_desacoplada_pele.png" id="20" name="Picture"/>
                          <pic:cNvPicPr>
                            <a:picLocks noChangeArrowheads="1" noChangeAspect="1"/>
                          </pic:cNvPicPr>
                        </pic:nvPicPr>
                        <pic:blipFill>
                          <a:blip r:embed="rId18"/>
                          <a:stretch>
                            <a:fillRect/>
                          </a:stretch>
                        </pic:blipFill>
                        <pic:spPr bwMode="auto">
                          <a:xfrm>
                            <a:off x="0" y="0"/>
                            <a:ext cx="5334000" cy="5984748"/>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separación estricta entre la capa de Ignición Primaria Física y la capa de Propagación Táctica Local, renderizada con tipografía y paleta editorial mediante Pele (</w:t>
            </w:r>
            <w:r>
              <w:rPr>
                <w:i/>
                <w:iCs/>
              </w:rPr>
              <w:t xml:space="preserve">obsidianmd/pele</w:t>
            </w:r>
            <w:r>
              <w:t xml:space="preserv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divergencia de cobertura vegetal entre formaciones boscosas continuas y pastizales/sabanas antrópicas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1</m:t>
          </m:r>
          <m:r>
            <m:rPr>
              <m:sty m:val="p"/>
            </m:rPr>
            <m:t>,</m:t>
          </m:r>
          <m:r>
            <m:t>0</m:t>
          </m:r>
          <m:r>
            <m:rPr>
              <m:sty m:val="p"/>
            </m:rPr>
            <m:t>−</m:t>
          </m:r>
          <m:r>
            <m:rPr>
              <m:sty m:val="p"/>
            </m:rPr>
            <m:t>|</m:t>
          </m:r>
          <m:sSub>
            <m:e>
              <m:r>
                <m:rPr>
                  <m:nor/>
                  <m:sty m:val="p"/>
                </m:rPr>
                <m:t>pct_pastura</m:t>
              </m:r>
            </m:e>
            <m:sub>
              <m:r>
                <m:t>i</m:t>
              </m:r>
            </m:sub>
          </m:sSub>
          <m:r>
            <m:rPr>
              <m:sty m:val="p"/>
            </m:rPr>
            <m:t>−</m:t>
          </m:r>
          <m:r>
            <m:rPr>
              <m:sty m:val="p"/>
            </m:rPr>
            <m:t>(</m:t>
          </m:r>
          <m:sSub>
            <m:e>
              <m:r>
                <m:rPr>
                  <m:nor/>
                  <m:sty m:val="p"/>
                </m:rPr>
                <m:t>pct_bosque_seco</m:t>
              </m:r>
            </m:e>
            <m:sub>
              <m:r>
                <m:t>i</m:t>
              </m:r>
            </m:sub>
          </m:sSub>
          <m:r>
            <m:rPr>
              <m:sty m:val="p"/>
            </m:rPr>
            <m:t>+</m:t>
          </m:r>
          <m:sSub>
            <m:e>
              <m:r>
                <m:rPr>
                  <m:nor/>
                  <m:sty m:val="p"/>
                </m:rPr>
                <m:t>pct_bosque_humedo</m:t>
              </m:r>
            </m:e>
            <m:sub>
              <m:r>
                <m:t>i</m:t>
              </m:r>
            </m:sub>
          </m:sSub>
          <m:r>
            <m:rPr>
              <m:sty m:val="p"/>
            </m:rPr>
            <m:t>)</m:t>
          </m:r>
          <m:r>
            <m:rPr>
              <m:sty m:val="p"/>
            </m:rPr>
            <m:t>|</m:t>
          </m:r>
          <m:r>
            <m:t>  </m:t>
          </m:r>
          <m:r>
            <m:rPr>
              <m:sty m:val="p"/>
            </m:rPr>
            <m:t>(</m:t>
          </m:r>
          <m:r>
            <m:t>8</m:t>
          </m:r>
          <m:r>
            <m:rPr>
              <m:sty m:val="p"/>
            </m:rPr>
            <m:t>)</m:t>
          </m:r>
        </m:oMath>
      </m:oMathPara>
      <w:bookmarkEnd w:id="26"/>
    </w:p>
    <w:p>
      <w:pPr>
        <w:pStyle w:val="FirstParagraph"/>
      </w:pPr>
      <w:r>
        <w:t xml:space="preserve">Este índice alcanza su valor máximo (</w:t>
      </w:r>
      <m:oMath>
        <m:sSub>
          <m:e>
            <m:r>
              <m:rPr>
                <m:scr m:val="script"/>
                <m:sty m:val="p"/>
              </m:rPr>
              <m:t>E</m:t>
            </m:r>
          </m:e>
          <m:sub>
            <m:r>
              <m:t>i</m:t>
            </m:r>
          </m:sub>
        </m:sSub>
        <m:r>
          <m:rPr>
            <m:sty m:val="p"/>
          </m:rPr>
          <m:t>≈</m:t>
        </m:r>
        <m:r>
          <m:t>1</m:t>
        </m:r>
        <m:r>
          <m:rPr>
            <m:sty m:val="p"/>
          </m:rPr>
          <m:t>,</m:t>
        </m:r>
        <m:r>
          <m:t>0</m:t>
        </m:r>
      </m:oMath>
      <w:r>
        <w:t xml:space="preserve">) en bordes de deforestación y fragmentación agrícola,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la función de pérdida logarítmica binaria sujeta a restricción de monotonicidad estricta:</w:t>
      </w:r>
    </w:p>
    <w:p>
      <w:pPr>
        <w:pStyle w:val="BodyText"/>
      </w:pPr>
      <w:bookmarkStart w:id="28" w:name="eq-calibracion"/>
      <m:oMathPara>
        <m:oMathParaPr>
          <m:jc m:val="center"/>
        </m:oMathParaPr>
        <m:oMath>
          <m:acc>
            <m:accPr>
              <m:chr m:val="̂"/>
            </m:accPr>
            <m:e>
              <m:r>
                <m:t>P</m:t>
              </m:r>
            </m:e>
          </m:acc>
          <m:r>
            <m:rPr>
              <m:sty m:val="p"/>
            </m:rPr>
            <m:t>(</m:t>
          </m:r>
          <m:r>
            <m:t>Y</m:t>
          </m:r>
          <m:r>
            <m:rPr>
              <m:sty m:val="p"/>
            </m:rPr>
            <m:t>=</m:t>
          </m:r>
          <m:r>
            <m:t>1</m:t>
          </m:r>
          <m:r>
            <m:rPr>
              <m:sty m:val="p"/>
            </m:rPr>
            <m:t>∣</m:t>
          </m:r>
          <m:r>
            <m:t>z</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r>
                <m:t>z</m:t>
              </m:r>
              <m:r>
                <m:rPr>
                  <m:sty m:val="p"/>
                </m:rPr>
                <m:t>+</m:t>
              </m:r>
              <m:r>
                <m:t>b</m:t>
              </m:r>
              <m:r>
                <m:rPr>
                  <m:sty m:val="p"/>
                </m:rPr>
                <m:t>)</m:t>
              </m:r>
              <m:r>
                <m:rPr>
                  <m:sty m:val="p"/>
                </m:rPr>
                <m:t>)</m:t>
              </m:r>
            </m:den>
          </m:f>
          <m:r>
            <m:rPr>
              <m:sty m:val="p"/>
            </m:rPr>
            <m:t>,</m:t>
          </m:r>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r>
          <m:t>z</m:t>
        </m:r>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37"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4"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bookmarkEnd w:id="34"/>
    <w:bookmarkStart w:id="36"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Para procesar la serie multianual sin desbordamiento de memoria RAM en hardware estándar, implementamos el pipeline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5"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5"/>
          <w:p/>
        </w:tc>
      </w:tr>
    </w:tbl>
    <w:p>
      <w:r>
        <w:pict>
          <v:rect style="width:0;height:1.5pt" o:hralign="center" o:hrstd="t" o:hr="t"/>
        </w:pict>
      </w:r>
    </w:p>
    <w:bookmarkEnd w:id="36"/>
    <w:bookmarkEnd w:id="37"/>
    <w:bookmarkStart w:id="42" w:name="X5c2edce0d25de16bceded4e02fc5d5e8cb28461"/>
    <w:p>
      <w:pPr>
        <w:pStyle w:val="Heading1"/>
      </w:pPr>
      <w:r>
        <w:t xml:space="preserve">4. 4. Protocolo Experimental Decenal y Benchmarking Internacional</w:t>
      </w:r>
    </w:p>
    <w:bookmarkStart w:id="38"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38"/>
    <w:bookmarkStart w:id="39"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puede extenderse a lo largo de decenas de kilómetros debido al transporte advectivo de columnas de humo y frentes de ráfagas, el muestreo aleatorio estándar de ausencias genera falsos negativos contaminados (</w:t>
      </w:r>
      <w:r>
        <w:rPr>
          <w:i/>
          <w:iCs/>
        </w:rPr>
        <w:t xml:space="preserve">leakage</w:t>
      </w:r>
      <w:r>
        <w:t xml:space="preserve"> </w:t>
      </w:r>
      <w:r>
        <w:t xml:space="preserve">por proximidad).</w:t>
      </w:r>
    </w:p>
    <w:p>
      <w:pPr>
        <w:pStyle w:val="BodyText"/>
      </w:pPr>
      <w:r>
        <w:t xml:space="preserve">Siguiendo las recomendaciones de</w:t>
      </w:r>
      <w:r>
        <w:t xml:space="preserve"> </w:t>
      </w:r>
      <w:r>
        <w:t xml:space="preserve">Roberts et al. (2017)</w:t>
      </w:r>
      <w:r>
        <w:t xml:space="preserve"> </w:t>
      </w:r>
      <w:r>
        <w:t xml:space="preserve">y</w:t>
      </w:r>
      <w:r>
        <w:t xml:space="preserve"> </w:t>
      </w:r>
      <w:r>
        <w:t xml:space="preserve">Ploton et al. (2020)</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bookmarkEnd w:id="39"/>
    <w:bookmarkStart w:id="40"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tres sistemas alternativos sobre el conjunto ciego de prueba:</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0"/>
    <w:bookmarkStart w:id="41"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1"/>
    <w:bookmarkEnd w:id="42"/>
    <w:bookmarkStart w:id="51" w:name="X20f4958fcedc9bafa13e2cf47911c5a9e13d390"/>
    <w:p>
      <w:pPr>
        <w:pStyle w:val="Heading1"/>
      </w:pPr>
      <w:r>
        <w:t xml:space="preserve">5. 5. Resultados Empíricos y Explicabilidad Biofísica</w:t>
      </w:r>
    </w:p>
    <w:bookmarkStart w:id="4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3"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15</m:t>
                    </m:r>
                    <m:r>
                      <m:rPr>
                        <m:sty m:val="p"/>
                      </m:rPr>
                      <m:t>,</m:t>
                    </m:r>
                    <m:r>
                      <m:t>2</m:t>
                    </m:r>
                    <m:r>
                      <m:rPr>
                        <m:nor/>
                        <m:sty m:val="p"/>
                      </m:rPr>
                      <m:t> %</m:t>
                    </m:r>
                  </m:oMath>
                  <w:r>
                    <w:t xml:space="preserve">​</w:t>
                  </w:r>
                </w:p>
              </w:tc>
              <w:tc>
                <w:tcPr/>
                <w:p>
                  <w:pPr>
                    <w:pStyle w:val="Compact"/>
                    <w:jc w:val="center"/>
                    <w:jc w:val="center"/>
                  </w:pPr>
                  <m:oMath>
                    <m:r>
                      <m:t>68</m:t>
                    </m:r>
                    <m:r>
                      <m:rPr>
                        <m:sty m:val="p"/>
                      </m:rPr>
                      <m:t>,</m:t>
                    </m:r>
                    <m:r>
                      <m:t>4</m:t>
                    </m:r>
                    <m:r>
                      <m:rPr>
                        <m:nor/>
                        <m:sty m:val="p"/>
                      </m:rPr>
                      <m:t> %</m:t>
                    </m:r>
                  </m:oMath>
                  <w:r>
                    <w:t xml:space="preserve">​</w:t>
                  </w:r>
                </w:p>
              </w:tc>
              <w:tc>
                <w:tcPr/>
                <w:p>
                  <w:pPr>
                    <w:pStyle w:val="Compact"/>
                    <w:jc w:val="center"/>
                    <w:jc w:val="center"/>
                  </w:pPr>
                  <m:oMath>
                    <m:r>
                      <m:t>0</m:t>
                    </m:r>
                    <m:r>
                      <m:rPr>
                        <m:sty m:val="p"/>
                      </m:rPr>
                      <m:t>,</m:t>
                    </m:r>
                    <m:r>
                      <m:t>0821</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87</m:t>
                    </m:r>
                    <m:r>
                      <m:rPr>
                        <m:sty m:val="b"/>
                      </m:rPr>
                      <m:t>,</m:t>
                    </m:r>
                    <m:r>
                      <m:rPr>
                        <m:sty m:val="b"/>
                      </m:rPr>
                      <m:t>83</m:t>
                    </m:r>
                    <m:r>
                      <m:rPr>
                        <m:nor/>
                        <m:sty m:val="p"/>
                      </m:rPr>
                      <m:t> %</m:t>
                    </m:r>
                  </m:oMath>
                  <w:r>
                    <w:t xml:space="preserve">​</w:t>
                  </w:r>
                </w:p>
              </w:tc>
              <w:tc>
                <w:tcPr/>
                <w:p>
                  <w:pPr>
                    <w:pStyle w:val="Compact"/>
                    <w:jc w:val="center"/>
                    <w:jc w:val="center"/>
                  </w:pPr>
                  <m:oMath>
                    <m:r>
                      <m:rPr>
                        <m:sty m:val="b"/>
                      </m:rPr>
                      <m:t>0</m:t>
                    </m:r>
                    <m:r>
                      <m:rPr>
                        <m:sty m:val="b"/>
                      </m:rPr>
                      <m:t>,</m:t>
                    </m:r>
                    <m:r>
                      <m:rPr>
                        <m:sty m:val="b"/>
                      </m:rPr>
                      <m:t>0194</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32</m:t>
                    </m:r>
                    <m:r>
                      <m:rPr>
                        <m:sty m:val="p"/>
                      </m:rPr>
                      <m:t>,</m:t>
                    </m:r>
                    <m:r>
                      <m:t>6</m:t>
                    </m:r>
                    <m:r>
                      <m:rPr>
                        <m:nor/>
                        <m:sty m:val="p"/>
                      </m:rPr>
                      <m:t> %</m:t>
                    </m:r>
                  </m:oMath>
                  <w:r>
                    <w:t xml:space="preserve">​</w:t>
                  </w:r>
                </w:p>
              </w:tc>
              <w:tc>
                <w:tcPr/>
                <w:p>
                  <w:pPr>
                    <w:pStyle w:val="Compact"/>
                    <w:jc w:val="center"/>
                    <w:jc w:val="center"/>
                  </w:pPr>
                  <m:oMath>
                    <m:r>
                      <m:t>74</m:t>
                    </m:r>
                    <m:r>
                      <m:rPr>
                        <m:sty m:val="p"/>
                      </m:rPr>
                      <m:t>,</m:t>
                    </m:r>
                    <m:r>
                      <m:t>2</m:t>
                    </m:r>
                    <m:r>
                      <m:rPr>
                        <m:nor/>
                        <m:sty m:val="p"/>
                      </m:rPr>
                      <m:t> %</m:t>
                    </m:r>
                  </m:oMath>
                  <w:r>
                    <w:t xml:space="preserve">​</w:t>
                  </w:r>
                </w:p>
              </w:tc>
              <w:tc>
                <w:tcPr/>
                <w:p>
                  <w:pPr>
                    <w:pStyle w:val="Compact"/>
                    <w:jc w:val="center"/>
                    <w:jc w:val="center"/>
                  </w:pPr>
                  <m:oMath>
                    <m:r>
                      <m:t>0</m:t>
                    </m:r>
                    <m:r>
                      <m:rPr>
                        <m:sty m:val="p"/>
                      </m:rPr>
                      <m:t>,</m:t>
                    </m:r>
                    <m:r>
                      <m:t>0645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78</m:t>
                    </m:r>
                    <m:r>
                      <m:rPr>
                        <m:sty m:val="b"/>
                      </m:rPr>
                      <m:t>,</m:t>
                    </m:r>
                    <m:r>
                      <m:rPr>
                        <m:sty m:val="b"/>
                      </m:rPr>
                      <m:t>12</m:t>
                    </m:r>
                    <m:r>
                      <m:rPr>
                        <m:nor/>
                        <m:sty m:val="p"/>
                      </m:rPr>
                      <m:t> %</m:t>
                    </m:r>
                  </m:oMath>
                  <w:r>
                    <w:t xml:space="preserve">​</w:t>
                  </w:r>
                </w:p>
              </w:tc>
              <w:tc>
                <w:tcPr/>
                <w:p>
                  <w:pPr>
                    <w:pStyle w:val="Compact"/>
                    <w:jc w:val="center"/>
                    <w:jc w:val="center"/>
                  </w:pPr>
                  <m:oMath>
                    <m:r>
                      <m:rPr>
                        <m:sty m:val="b"/>
                      </m:rPr>
                      <m:t>0</m:t>
                    </m:r>
                    <m:r>
                      <m:rPr>
                        <m:sty m:val="b"/>
                      </m:rPr>
                      <m:t>,</m:t>
                    </m:r>
                    <m:r>
                      <m:rPr>
                        <m:sty m:val="b"/>
                      </m:rPr>
                      <m:t>0312</m:t>
                    </m:r>
                  </m:oMath>
                  <w:r>
                    <w:t xml:space="preserve">​</w:t>
                  </w:r>
                </w:p>
              </w:tc>
            </w:tr>
          </w:tbl>
          <w:bookmarkEnd w:id="43"/>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bookmarkEnd w:id="44"/>
    <w:bookmarkStart w:id="46"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45" w:name="tbl-benchmark"/>
          <w:p>
            <w:pPr>
              <w:jc w:val="center"/>
            </w:pPr>
            <w:pPr>
              <w:jc w:val="left"/>
              <w:spacing w:before="200"/>
              <w:pStyle w:val="ImageCaption"/>
            </w:pPr>
            <w:r>
              <w:t xml:space="preserve">Tabla 3: Benchmarking internacional comparativo sobre el mismo conjunto de prueba ciego out-of-time.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Canadian FWI Puro (EFFIS)</w:t>
                  </w:r>
                </w:p>
              </w:tc>
              <w:tc>
                <w:tcPr/>
                <w:p>
                  <w:pPr>
                    <w:pStyle w:val="Compact"/>
                    <w:jc w:val="center"/>
                    <w:jc w:val="center"/>
                  </w:pPr>
                  <m:oMath>
                    <m:r>
                      <m:t>0</m:t>
                    </m:r>
                    <m:r>
                      <m:rPr>
                        <m:sty m:val="p"/>
                      </m:rPr>
                      <m:t>,</m:t>
                    </m:r>
                    <m:r>
                      <m:t>3891</m:t>
                    </m:r>
                  </m:oMath>
                  <w:r>
                    <w:t xml:space="preserve">​</w:t>
                  </w:r>
                </w:p>
              </w:tc>
              <w:tc>
                <w:tcPr/>
                <w:p>
                  <w:pPr>
                    <w:pStyle w:val="Compact"/>
                    <w:jc w:val="center"/>
                    <w:jc w:val="center"/>
                  </w:pPr>
                  <m:oMath>
                    <m:r>
                      <m:t>0</m:t>
                    </m:r>
                    <m:r>
                      <m:rPr>
                        <m:sty m:val="p"/>
                      </m:rPr>
                      <m:t>,</m:t>
                    </m:r>
                    <m:r>
                      <m:t>1418</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INPE Risco de Fogo (Setzer)</w:t>
                  </w:r>
                </w:p>
              </w:tc>
              <w:tc>
                <w:tcPr/>
                <w:p>
                  <w:pPr>
                    <w:pStyle w:val="Compact"/>
                    <w:jc w:val="center"/>
                    <w:jc w:val="center"/>
                  </w:pPr>
                  <m:oMath>
                    <m:r>
                      <m:t>0</m:t>
                    </m:r>
                    <m:r>
                      <m:rPr>
                        <m:sty m:val="p"/>
                      </m:rPr>
                      <m:t>,</m:t>
                    </m:r>
                    <m:r>
                      <m:t>3990</m:t>
                    </m:r>
                  </m:oMath>
                  <w:r>
                    <w:t xml:space="preserve">​</w:t>
                  </w:r>
                </w:p>
              </w:tc>
              <w:tc>
                <w:tcPr/>
                <w:p>
                  <w:pPr>
                    <w:pStyle w:val="Compact"/>
                    <w:jc w:val="center"/>
                    <w:jc w:val="center"/>
                  </w:pPr>
                  <m:oMath>
                    <m:r>
                      <m:t>0</m:t>
                    </m:r>
                    <m:r>
                      <m:rPr>
                        <m:sty m:val="p"/>
                      </m:rPr>
                      <m:t>,</m:t>
                    </m:r>
                    <m:r>
                      <m:t>1523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141</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Canadian FWI Puro (EFFIS)</w:t>
                  </w:r>
                </w:p>
              </w:tc>
              <w:tc>
                <w:tcPr/>
                <w:p>
                  <w:pPr>
                    <w:pStyle w:val="Compact"/>
                    <w:jc w:val="center"/>
                    <w:jc w:val="center"/>
                  </w:pPr>
                  <m:oMath>
                    <m:r>
                      <m:t>0</m:t>
                    </m:r>
                    <m:r>
                      <m:rPr>
                        <m:sty m:val="p"/>
                      </m:rPr>
                      <m:t>,</m:t>
                    </m:r>
                    <m:r>
                      <m:t>4120</m:t>
                    </m:r>
                  </m:oMath>
                  <w:r>
                    <w:t xml:space="preserve">​</w:t>
                  </w:r>
                </w:p>
              </w:tc>
              <w:tc>
                <w:tcPr/>
                <w:p>
                  <w:pPr>
                    <w:pStyle w:val="Compact"/>
                    <w:jc w:val="center"/>
                    <w:jc w:val="center"/>
                  </w:pPr>
                  <m:oMath>
                    <m:r>
                      <m:t>0</m:t>
                    </m:r>
                    <m:r>
                      <m:rPr>
                        <m:sty m:val="p"/>
                      </m:rPr>
                      <m:t>,</m:t>
                    </m:r>
                    <m:r>
                      <m:t>1650</m:t>
                    </m:r>
                  </m:oMath>
                  <w:r>
                    <w:t xml:space="preserve">​</w:t>
                  </w:r>
                </w:p>
              </w:tc>
              <w:tc>
                <w:tcPr/>
                <w:p>
                  <w:pPr>
                    <w:pStyle w:val="Compact"/>
                    <w:jc w:val="center"/>
                    <w:jc w:val="center"/>
                  </w:pPr>
                  <w:r>
                    <w:t xml:space="preserve">Inversión de ranking en bioma árido</w:t>
                  </w:r>
                </w:p>
              </w:tc>
            </w:tr>
            <w:tr>
              <w:tc>
                <w:tcPr/>
                <w:p>
                  <w:pPr>
                    <w:pStyle w:val="Compact"/>
                    <w:jc w:val="left"/>
                    <w:jc w:val="center"/>
                  </w:pPr>
                  <w:r>
                    <w:t xml:space="preserve">Chaco</w:t>
                  </w:r>
                </w:p>
              </w:tc>
              <w:tc>
                <w:tcPr/>
                <w:p>
                  <w:pPr>
                    <w:pStyle w:val="Compact"/>
                    <w:jc w:val="left"/>
                    <w:jc w:val="center"/>
                  </w:pPr>
                  <w:r>
                    <w:t xml:space="preserve">INPE Risco de Fogo (Setzer)</w:t>
                  </w:r>
                </w:p>
              </w:tc>
              <w:tc>
                <w:tcPr/>
                <w:p>
                  <w:pPr>
                    <w:pStyle w:val="Compact"/>
                    <w:jc w:val="center"/>
                    <w:jc w:val="center"/>
                  </w:pPr>
                  <m:oMath>
                    <m:r>
                      <m:t>0</m:t>
                    </m:r>
                    <m:r>
                      <m:rPr>
                        <m:sty m:val="p"/>
                      </m:rPr>
                      <m:t>,</m:t>
                    </m:r>
                    <m:r>
                      <m:t>4315</m:t>
                    </m:r>
                  </m:oMath>
                  <w:r>
                    <w:t xml:space="preserve">​</w:t>
                  </w:r>
                </w:p>
              </w:tc>
              <w:tc>
                <w:tcPr/>
                <w:p>
                  <w:pPr>
                    <w:pStyle w:val="Compact"/>
                    <w:jc w:val="center"/>
                    <w:jc w:val="center"/>
                  </w:pPr>
                  <m:oMath>
                    <m:r>
                      <m:t>0</m:t>
                    </m:r>
                    <m:r>
                      <m:rPr>
                        <m:sty m:val="p"/>
                      </m:rPr>
                      <m:t>,</m:t>
                    </m:r>
                    <m:r>
                      <m:t>1810</m:t>
                    </m:r>
                  </m:oMath>
                  <w:r>
                    <w:t xml:space="preserve">​</w:t>
                  </w:r>
                </w:p>
              </w:tc>
              <w:tc>
                <w:tcPr/>
                <w:p>
                  <w:pPr>
                    <w:pStyle w:val="Compact"/>
                    <w:jc w:val="center"/>
                    <w:jc w:val="center"/>
                  </w:pPr>
                  <w:r>
                    <w:t xml:space="preserve">Subestima avance en sabana seca</w:t>
                  </w:r>
                </w:p>
              </w:tc>
            </w:tr>
          </w:tbl>
          <w:bookmarkEnd w:id="45"/>
          <w:p/>
        </w:tc>
      </w:tr>
    </w:tbl>
    <w:p>
      <w:pPr>
        <w:pStyle w:val="BodyText"/>
      </w:pPr>
      <w:r>
        <w:t xml:space="preserve">Como se observa, tanto el</w:t>
      </w:r>
      <w:r>
        <w:t xml:space="preserve"> </w:t>
      </w:r>
      <w:r>
        <w:rPr>
          <w:b/>
          <w:bCs/>
        </w:rPr>
        <w:t xml:space="preserve">Canadian FWI</w:t>
      </w:r>
      <w:r>
        <w:t xml:space="preserve"> </w:t>
      </w:r>
      <w:r>
        <w:t xml:space="preserve">como el</w:t>
      </w:r>
      <w:r>
        <w:t xml:space="preserve"> </w:t>
      </w:r>
      <w:r>
        <w:rPr>
          <w:b/>
          <w:bCs/>
        </w:rPr>
        <w:t xml:space="preserve">INPE Risco de Fogo</w:t>
      </w:r>
      <w:r>
        <w:t xml:space="preserve"> </w:t>
      </w:r>
      <w:r>
        <w:t xml:space="preserve">obtienen un ROC-AUC inferior a 0,50 en la Región Oriental (</w:t>
      </w:r>
      <m:oMath>
        <m:r>
          <m:t>0</m:t>
        </m:r>
        <m:r>
          <m:rPr>
            <m:sty m:val="p"/>
          </m:rPr>
          <m:t>,</m:t>
        </m:r>
        <m:r>
          <m:t>389</m:t>
        </m:r>
      </m:oMath>
      <w:r>
        <w:t xml:space="preserve"> </w:t>
      </w:r>
      <w:r>
        <w:t xml:space="preserve">y</w:t>
      </w:r>
      <w:r>
        <w:t xml:space="preserve"> </w:t>
      </w:r>
      <m:oMath>
        <m:r>
          <m:t>0</m:t>
        </m:r>
        <m:r>
          <m:rPr>
            <m:sty m:val="p"/>
          </m:rPr>
          <m:t>,</m:t>
        </m:r>
        <m:r>
          <m:t>399</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38 puntos porcentuales de ROC-AUC.</w:t>
      </w:r>
    </w:p>
    <w:bookmarkEnd w:id="46"/>
    <w:bookmarkStart w:id="48"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47"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Máximo (</w:t>
                  </w:r>
                  <m:oMath>
                    <m:r>
                      <m:t>V</m:t>
                    </m:r>
                    <m:r>
                      <m:t>P</m:t>
                    </m:r>
                    <m:sSub>
                      <m:e>
                        <m:r>
                          <m:t>D</m:t>
                        </m:r>
                      </m:e>
                      <m:sub>
                        <m:r>
                          <m:rPr>
                            <m:nor/>
                            <m:sty m:val="p"/>
                          </m:rPr>
                          <m:t>max</m:t>
                        </m:r>
                      </m:sub>
                    </m:sSub>
                  </m:oMath>
                  <w:r>
                    <w:t xml:space="preserve">)</w:t>
                  </w:r>
                </w:p>
              </w:tc>
              <w:tc>
                <w:tcPr/>
                <w:p>
                  <w:pPr>
                    <w:pStyle w:val="Compact"/>
                    <w:jc w:val="left"/>
                    <w:jc w:val="center"/>
                  </w:pPr>
                  <w:r>
                    <w:t xml:space="preserve">Índice de Humedad Fina FWI (</w:t>
                  </w:r>
                  <m:oMath>
                    <m:r>
                      <m:t>F</m:t>
                    </m:r>
                    <m:r>
                      <m:t>F</m:t>
                    </m:r>
                    <m:r>
                      <m:t>M</m:t>
                    </m:r>
                    <m:r>
                      <m:t>C</m:t>
                    </m:r>
                  </m:oMath>
                  <w:r>
                    <w:t xml:space="preserve">)</w:t>
                  </w:r>
                </w:p>
              </w:tc>
            </w:tr>
            <w:tr>
              <w:tc>
                <w:tcPr/>
                <w:p>
                  <w:pPr>
                    <w:pStyle w:val="Compact"/>
                    <w:jc w:val="center"/>
                    <w:jc w:val="center"/>
                  </w:pPr>
                  <w:r>
                    <w:rPr>
                      <w:b/>
                      <w:bCs/>
                    </w:rPr>
                    <w:t xml:space="preserve">2</w:t>
                  </w:r>
                </w:p>
              </w:tc>
              <w:tc>
                <w:tcPr/>
                <w:p>
                  <w:pPr>
                    <w:pStyle w:val="Compact"/>
                    <w:jc w:val="left"/>
                    <w:jc w:val="center"/>
                  </w:pPr>
                  <w:r>
                    <w:t xml:space="preserve">Velocidad del Viento Máxima (</w:t>
                  </w:r>
                  <m:oMath>
                    <m:sSub>
                      <m:e>
                        <m:r>
                          <m:t>V</m:t>
                        </m:r>
                      </m:e>
                      <m:sub>
                        <m:r>
                          <m:rPr>
                            <m:nor/>
                            <m:sty m:val="p"/>
                          </m:rPr>
                          <m:t>viento</m:t>
                        </m:r>
                      </m:sub>
                    </m:sSub>
                  </m:oMath>
                  <w:r>
                    <w:t xml:space="preserve">)</w:t>
                  </w:r>
                </w:p>
              </w:tc>
              <w:tc>
                <w:tcPr/>
                <w:p>
                  <w:pPr>
                    <w:pStyle w:val="Compact"/>
                    <w:jc w:val="left"/>
                    <w:jc w:val="center"/>
                  </w:pPr>
                  <w:r>
                    <w:t xml:space="preserve">Amplitud Térmica Diaria (</w:t>
                  </w:r>
                  <m:oMath>
                    <m:sSub>
                      <m:e>
                        <m:r>
                          <m:t>T</m:t>
                        </m:r>
                      </m:e>
                      <m:sub>
                        <m:r>
                          <m:rPr>
                            <m:nor/>
                            <m:sty m:val="p"/>
                          </m:rPr>
                          <m:t>max</m:t>
                        </m:r>
                      </m:sub>
                    </m:sSub>
                    <m:r>
                      <m:rPr>
                        <m:sty m:val="p"/>
                      </m:rPr>
                      <m:t>−</m:t>
                    </m:r>
                    <m:sSub>
                      <m:e>
                        <m:r>
                          <m:t>T</m:t>
                        </m:r>
                      </m:e>
                      <m:sub>
                        <m:r>
                          <m:rPr>
                            <m:nor/>
                            <m:sty m:val="p"/>
                          </m:rPr>
                          <m:t>min</m:t>
                        </m:r>
                      </m:sub>
                    </m:sSub>
                  </m:oMath>
                  <w:r>
                    <w:t xml:space="preserve">)</w:t>
                  </w:r>
                </w:p>
              </w:tc>
            </w:tr>
            <w:tr>
              <w:tc>
                <w:tcPr/>
                <w:p>
                  <w:pPr>
                    <w:pStyle w:val="Compact"/>
                    <w:jc w:val="center"/>
                    <w:jc w:val="center"/>
                  </w:pPr>
                  <w:r>
                    <w:rPr>
                      <w:b/>
                      <w:bCs/>
                    </w:rPr>
                    <w:t xml:space="preserve">3</w:t>
                  </w:r>
                </w:p>
              </w:tc>
              <w:tc>
                <w:tcPr/>
                <w:p>
                  <w:pPr>
                    <w:pStyle w:val="Compact"/>
                    <w:jc w:val="left"/>
                    <w:jc w:val="center"/>
                  </w:pPr>
                  <w:r>
                    <w:t xml:space="preserve">Días Secos Consecutivos (</w:t>
                  </w:r>
                  <m:oMath>
                    <m:r>
                      <m:t>C</m:t>
                    </m:r>
                    <m:r>
                      <m:t>D</m:t>
                    </m:r>
                    <m:r>
                      <m:t>D</m:t>
                    </m:r>
                  </m:oMath>
                  <w:r>
                    <w:t xml:space="preserve">)</w:t>
                  </w:r>
                </w:p>
              </w:tc>
              <w:tc>
                <w:tcPr/>
                <w:p>
                  <w:pPr>
                    <w:pStyle w:val="Compact"/>
                    <w:jc w:val="left"/>
                    <w:jc w:val="center"/>
                  </w:pPr>
                  <w:r>
                    <w:t xml:space="preserve">Porcentaje de Pastura Cultivada</w:t>
                  </w:r>
                </w:p>
              </w:tc>
            </w:tr>
            <w:tr>
              <w:tc>
                <w:tcPr/>
                <w:p>
                  <w:pPr>
                    <w:pStyle w:val="Compact"/>
                    <w:jc w:val="center"/>
                    <w:jc w:val="center"/>
                  </w:pPr>
                  <w:r>
                    <w:rPr>
                      <w:b/>
                      <w:bCs/>
                    </w:rPr>
                    <w:t xml:space="preserve">4</w:t>
                  </w:r>
                </w:p>
              </w:tc>
              <w:tc>
                <w:tcPr/>
                <w:p>
                  <w:pPr>
                    <w:pStyle w:val="Compact"/>
                    <w:jc w:val="left"/>
                    <w:jc w:val="center"/>
                  </w:pPr>
                  <w:r>
                    <w:t xml:space="preserve">Proporción de Bosque Seco MapBiomas</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w:t>
                  </w:r>
                </w:p>
              </w:tc>
            </w:tr>
            <w:tr>
              <w:tc>
                <w:tcPr/>
                <w:p>
                  <w:pPr>
                    <w:pStyle w:val="Compact"/>
                    <w:jc w:val="center"/>
                    <w:jc w:val="center"/>
                  </w:pPr>
                  <w:r>
                    <w:rPr>
                      <w:b/>
                      <w:bCs/>
                    </w:rPr>
                    <w:t xml:space="preserve">5</w:t>
                  </w:r>
                </w:p>
              </w:tc>
              <w:tc>
                <w:tcPr/>
                <w:p>
                  <w:pPr>
                    <w:pStyle w:val="Compact"/>
                    <w:jc w:val="left"/>
                    <w:jc w:val="center"/>
                  </w:pPr>
                  <w:r>
                    <w:t xml:space="preserve">Índice de Ecotono Perimetral (</w:t>
                  </w:r>
                  <m:oMath>
                    <m:sSub>
                      <m:e>
                        <m:r>
                          <m:rPr>
                            <m:scr m:val="script"/>
                            <m:sty m:val="p"/>
                          </m:rPr>
                          <m:t>E</m:t>
                        </m:r>
                      </m:e>
                      <m:sub>
                        <m:r>
                          <m:t>i</m:t>
                        </m:r>
                      </m:sub>
                    </m:sSub>
                  </m:oMath>
                  <w:r>
                    <w:t xml:space="preserve">)</w:t>
                  </w:r>
                </w:p>
              </w:tc>
              <w:tc>
                <w:tcPr/>
                <w:p>
                  <w:pPr>
                    <w:pStyle w:val="Compact"/>
                    <w:jc w:val="left"/>
                    <w:jc w:val="center"/>
                  </w:pPr>
                  <w:r>
                    <w:t xml:space="preserve">Interacción Viento</w:t>
                  </w:r>
                  <w:r>
                    <w:t xml:space="preserve"> </w:t>
                  </w:r>
                  <m:oMath>
                    <m:r>
                      <m:rPr>
                        <m:sty m:val="p"/>
                      </m:rPr>
                      <m:t>×</m:t>
                    </m:r>
                  </m:oMath>
                  <w:r>
                    <w:t xml:space="preserve"> </w:t>
                  </w:r>
                  <w:r>
                    <w:t xml:space="preserve">Sequedad</w:t>
                  </w:r>
                </w:p>
              </w:tc>
            </w:tr>
          </w:tbl>
          <w:bookmarkEnd w:id="47"/>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r>
          <m:t>D</m:t>
        </m:r>
      </m:oMath>
      <w:r>
        <w:t xml:space="preserve">), seguido de la velocidad del viento y los días secos consecutivos. Esto refleja la realidad termodinámica de un bioma xerofítico donde la ignición depende del secado explosivo de la biomasa por aire cálido proveniente del noroeste continental.</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y la</w:t>
      </w:r>
      <w:r>
        <w:t xml:space="preserve"> </w:t>
      </w:r>
      <w:r>
        <w:rPr>
          <w:b/>
          <w:bCs/>
        </w:rPr>
        <w:t xml:space="preserve">amplitud térmica</w:t>
      </w:r>
      <w:r>
        <w:t xml:space="preserve">, combinados con la cobertura de pasturas. La amplitud térmica actúa como indicador de cielos despejados e insolación intensa que deseca los pastizales implantados en zonas de frontera agrícola.</w:t>
      </w:r>
    </w:p>
    <w:bookmarkEnd w:id="48"/>
    <w:bookmarkStart w:id="5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49">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w:t>
      </w:r>
    </w:p>
    <w:p>
      <w:r>
        <w:pict>
          <v:rect style="width:0;height:1.5pt" o:hralign="center" o:hrstd="t" o:hr="t"/>
        </w:pict>
      </w:r>
    </w:p>
    <w:bookmarkEnd w:id="50"/>
    <w:bookmarkEnd w:id="51"/>
    <w:bookmarkStart w:id="56" w:name="discusión"/>
    <w:p>
      <w:pPr>
        <w:pStyle w:val="Heading1"/>
      </w:pPr>
      <w:r>
        <w:t xml:space="preserve">6. 6. Discusión</w:t>
      </w:r>
    </w:p>
    <w:bookmarkStart w:id="5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(Van Wagner, 1987)</w:t>
      </w:r>
      <w:r>
        <w:t xml:space="preserve">.</w:t>
      </w:r>
    </w:p>
    <w:p>
      <w:pPr>
        <w:pStyle w:val="BodyText"/>
      </w:pPr>
      <w:r>
        <w:t xml:space="preserve">En el Gran Chaco,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52"/>
    <w:bookmarkStart w:id="53" w:name="Xe143504139dc7344e78637b6380bb48516f1da7"/>
    <w:p>
      <w:pPr>
        <w:pStyle w:val="Heading2"/>
      </w:pPr>
      <w:r>
        <w:t xml:space="preserve">6.2 6.2 El Valor Científico del Desacoplamiento Honesto</w:t>
      </w:r>
    </w:p>
    <w:p>
      <w:pPr>
        <w:pStyle w:val="FirstParagraph"/>
      </w:pPr>
      <w:r>
        <w:t xml:space="preserve">La literatura de machine learning aplicado al fuego abunda en publicaciones que reportan precisiones superiores al 95 % utilizando modelos únicos que mezclan variables meteorológicas con la distancia a focos del día anterior. Nuestro estudio demuestra que esos modelos sufren de</w:t>
      </w:r>
      <w:r>
        <w:t xml:space="preserve"> </w:t>
      </w:r>
      <w:r>
        <w:rPr>
          <w:b/>
          <w:bCs/>
        </w:rPr>
        <w:t xml:space="preserve">ceguera selectiva ante la ignición primaria</w:t>
      </w:r>
      <w:r>
        <w:t xml:space="preserve">: cuando se elimina el atajo del fuego anterior, su precisión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53"/>
    <w:bookmarkStart w:id="5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54"/>
    <w:bookmarkStart w:id="5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55"/>
    <w:bookmarkEnd w:id="56"/>
    <w:bookmarkStart w:id="58"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57"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r>
        <w:pict>
          <v:rect style="width:0;height:1.5pt" o:hralign="center" o:hrstd="t" o:hr="t"/>
        </w:pict>
      </w:r>
    </w:p>
    <w:bookmarkEnd w:id="57"/>
    <w:bookmarkEnd w:id="58"/>
    <w:bookmarkStart w:id="61"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60"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59">
                    <w:r>
                      <w:rPr>
                        <w:rStyle w:val="Hyperlink"/>
                      </w:rPr>
                      <w:t xml:space="preserve">https://github.com/sanchezmartin093-code/Incendios_PY</w:t>
                    </w:r>
                  </w:hyperlink>
                  <w:r>
                    <w:t xml:space="preserve"> </w:t>
                  </w:r>
                  <w:r>
                    <w:t xml:space="preserve">(versión anonimizada disponible para revisores).</w:t>
                  </w:r>
                </w:p>
              </w:tc>
            </w:tr>
          </w:tbl>
          <w:bookmarkEnd w:id="60"/>
          <w:p/>
        </w:tc>
      </w:tr>
    </w:tbl>
    <w:p>
      <w:r>
        <w:pict>
          <v:rect style="width:0;height:1.5pt" o:hralign="center" o:hrstd="t" o:hr="t"/>
        </w:pict>
      </w:r>
    </w:p>
    <w:bookmarkEnd w:id="61"/>
    <w:bookmarkStart w:id="96" w:name="referencias"/>
    <w:p>
      <w:pPr>
        <w:pStyle w:val="Heading1"/>
      </w:pPr>
      <w:r>
        <w:t xml:space="preserve">Referencias</w:t>
      </w:r>
    </w:p>
    <w:bookmarkStart w:id="95" w:name="refs"/>
    <w:bookmarkStart w:id="63"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2">
        <w:r>
          <w:rPr>
            <w:rStyle w:val="Hyperlink"/>
          </w:rPr>
          <w:t xml:space="preserve">https://doi.org/10.1111/gcb.13521</w:t>
        </w:r>
      </w:hyperlink>
    </w:p>
    <w:bookmarkEnd w:id="63"/>
    <w:bookmarkStart w:id="65"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64">
        <w:r>
          <w:rPr>
            <w:rStyle w:val="Hyperlink"/>
          </w:rPr>
          <w:t xml:space="preserve">https://doi.org/10.1145/2939672.2939785</w:t>
        </w:r>
      </w:hyperlink>
    </w:p>
    <w:bookmarkEnd w:id="65"/>
    <w:bookmarkStart w:id="67"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66">
        <w:r>
          <w:rPr>
            <w:rStyle w:val="Hyperlink"/>
          </w:rPr>
          <w:t xml:space="preserve">https://doi.org/10.1038/ncomms8537</w:t>
        </w:r>
      </w:hyperlink>
    </w:p>
    <w:bookmarkEnd w:id="67"/>
    <w:bookmarkStart w:id="6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68"/>
    <w:bookmarkStart w:id="70"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69">
        <w:r>
          <w:rPr>
            <w:rStyle w:val="Hyperlink"/>
          </w:rPr>
          <w:t xml:space="preserve">https://doi.org/10.1038/s42256-019-0138-9</w:t>
        </w:r>
      </w:hyperlink>
    </w:p>
    <w:bookmarkEnd w:id="70"/>
    <w:bookmarkStart w:id="7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71">
        <w:r>
          <w:rPr>
            <w:rStyle w:val="Hyperlink"/>
          </w:rPr>
          <w:t xml:space="preserve">https://chaco.mapbiomas.org/</w:t>
        </w:r>
      </w:hyperlink>
      <w:r>
        <w:t xml:space="preserve">.</w:t>
      </w:r>
    </w:p>
    <w:bookmarkEnd w:id="72"/>
    <w:bookmarkStart w:id="7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3">
        <w:r>
          <w:rPr>
            <w:rStyle w:val="Hyperlink"/>
          </w:rPr>
          <w:t xml:space="preserve">https://doi.org/10.5194/essd-13-4349-2021</w:t>
        </w:r>
      </w:hyperlink>
    </w:p>
    <w:bookmarkEnd w:id="74"/>
    <w:bookmarkStart w:id="7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5">
        <w:r>
          <w:rPr>
            <w:rStyle w:val="Hyperlink"/>
          </w:rPr>
          <w:t xml:space="preserve">https://doi.org/10.1145/1102351.1102430</w:t>
        </w:r>
      </w:hyperlink>
    </w:p>
    <w:bookmarkEnd w:id="76"/>
    <w:bookmarkStart w:id="7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7"/>
    <w:bookmarkStart w:id="79"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78">
        <w:r>
          <w:rPr>
            <w:rStyle w:val="Hyperlink"/>
          </w:rPr>
          <w:t xml:space="preserve">https://doi.org/10.1038/s41467-020-18321-y</w:t>
        </w:r>
      </w:hyperlink>
    </w:p>
    <w:bookmarkEnd w:id="79"/>
    <w:bookmarkStart w:id="81"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80">
        <w:r>
          <w:rPr>
            <w:rStyle w:val="Hyperlink"/>
          </w:rPr>
          <w:t xml:space="preserve">https://doi.org/10.1145/3299869.3320212</w:t>
        </w:r>
      </w:hyperlink>
    </w:p>
    <w:bookmarkEnd w:id="81"/>
    <w:bookmarkStart w:id="8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2">
        <w:r>
          <w:rPr>
            <w:rStyle w:val="Hyperlink"/>
          </w:rPr>
          <w:t xml:space="preserve">https://doi.org/10.1111/ecog.02881</w:t>
        </w:r>
      </w:hyperlink>
    </w:p>
    <w:bookmarkEnd w:id="83"/>
    <w:bookmarkStart w:id="8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4">
        <w:r>
          <w:rPr>
            <w:rStyle w:val="Hyperlink"/>
          </w:rPr>
          <w:t xml:space="preserve">https://doi.org/10.5772/28441</w:t>
        </w:r>
      </w:hyperlink>
    </w:p>
    <w:bookmarkEnd w:id="85"/>
    <w:bookmarkStart w:id="87"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6">
        <w:r>
          <w:rPr>
            <w:rStyle w:val="Hyperlink"/>
          </w:rPr>
          <w:t xml:space="preserve">https://doi.org/10.1016/j.rse.2013.12.008</w:t>
        </w:r>
      </w:hyperlink>
    </w:p>
    <w:bookmarkEnd w:id="87"/>
    <w:bookmarkStart w:id="89"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8">
        <w:r>
          <w:rPr>
            <w:rStyle w:val="Hyperlink"/>
          </w:rPr>
          <w:t xml:space="preserve">http://queimadas.dgi.inpe.br</w:t>
        </w:r>
      </w:hyperlink>
    </w:p>
    <w:bookmarkEnd w:id="89"/>
    <w:bookmarkStart w:id="91"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0">
        <w:r>
          <w:rPr>
            <w:rStyle w:val="Hyperlink"/>
          </w:rPr>
          <w:t xml:space="preserve">https://doi.org/10.5558/tfc65258-4</w:t>
        </w:r>
      </w:hyperlink>
    </w:p>
    <w:bookmarkEnd w:id="91"/>
    <w:bookmarkStart w:id="9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2">
        <w:r>
          <w:rPr>
            <w:rStyle w:val="Hyperlink"/>
          </w:rPr>
          <w:t xml:space="preserve">https://doi.org/10.1016/j.jaridenv.2014.11.009</w:t>
        </w:r>
      </w:hyperlink>
    </w:p>
    <w:bookmarkEnd w:id="93"/>
    <w:bookmarkStart w:id="9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2026-10-25T01:20:07Z</dcterms:created>
  <dcterms:modified xsi:type="dcterms:W3CDTF">2026-10-25T01:20:07Z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