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2026-10-25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25,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“A Reproducible Computational Framework for Decoupled Wildfire Ignition and Propagation Benchmarking in the Gran Chaco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“A Reproducible Computational Framework for Decoupled Wildfire Ignition and Propagation Benchmarking in the Gran Chaco (2018–2025): D2 Targets, Gated M3/M1 Inference and an Open Benchmark Against Canadian FWI and INPE”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</w:t>
      </w:r>
      <m:oMath>
        <m:r>
          <m:t>V</m:t>
        </m:r>
        <m:r>
          <m:t>P</m:t>
        </m:r>
        <m:r>
          <m:t>D</m:t>
        </m:r>
      </m:oMath>
      <w:r>
        <w:t xml:space="preserve">) and non-linear fuel-curing dynamics govern fire risk.</w:t>
      </w:r>
    </w:p>
    <w:p>
      <w:pPr>
        <w:pStyle w:val="BodyText"/>
      </w:pPr>
      <w:r>
        <w:t xml:space="preserve">To address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 computational framework for reproducible decoupled wildfire modelling across</w:t>
      </w:r>
      <w:r>
        <w:t xml:space="preserve"> </w:t>
      </w:r>
      <m:oMath>
        <m:r>
          <m:t>400</m:t>
        </m:r>
        <m:r>
          <m:rPr>
            <m:sty m:val="p"/>
          </m:rPr>
          <m:t>,</m:t>
        </m:r>
        <m:r>
          <m:t>006</m:t>
        </m:r>
      </m:oMath>
      <w:r>
        <w:rPr>
          <w:b/>
          <w:bCs/>
        </w:rP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-km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grid cells</w:t>
      </w:r>
      <w:r>
        <w:t xml:space="preserve"> </w:t>
      </w:r>
      <w:r>
        <w:t xml:space="preserve">over an 8-year homogeneous multi-annual observation baseline (2018–2025). This horizon is strictly anchored to the dual-sensor VIIRS 375m constellation (Suomi-NPP and NOAA-20 in continuous orbital tandem), systematically eliminating observational effort bias and ensuring uniform temporal sampling across all modeling phases. We analytically decouple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. The contribution is a reusable protocol and benchmark, not a new boosting algorithm: D2 target construction, gated M3/M1 inference, and a reproducible evaluation harness are the computational core.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Zero-Copy Computational Pipeline:</w:t>
      </w:r>
      <w:r>
        <w:t xml:space="preserve"> </w:t>
      </w:r>
      <w:r>
        <w:t xml:space="preserve">By integrating Apache Arrow, DuckDB, and Polars, our computational engine processes the entire national territory (</w:t>
      </w:r>
      <m:oMath>
        <m:r>
          <m:t>400</m:t>
        </m:r>
        <m:r>
          <m:rPr>
            <m:sty m:val="p"/>
          </m:rPr>
          <m:t>,</m:t>
        </m:r>
        <m:r>
          <m:t>006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 in</w:t>
      </w:r>
      <w:r>
        <w:t xml:space="preserve"> </w:t>
      </w:r>
      <w:r>
        <w:rPr>
          <w:b/>
          <w:bCs/>
        </w:rPr>
        <w:t xml:space="preserve">~</w:t>
      </w:r>
      <m:oMath>
        <m:r>
          <m:t>1.57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on a standard ARM64 machine (~</w:t>
      </w:r>
      <m:oMath>
        <m:r>
          <m:t>2.18</m:t>
        </m:r>
        <m:r>
          <m:rPr>
            <m:nor/>
            <m:sty m:val="p"/>
          </m:rPr>
          <m:t> GB</m:t>
        </m:r>
      </m:oMath>
      <w:r>
        <w:t xml:space="preserve"> </w:t>
      </w:r>
      <w:r>
        <w:t xml:space="preserve">peak RAM), demonstrating that national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atmospheric dryness and wind pressure,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We use the</w:t>
      </w:r>
      <w:r>
        <w:t xml:space="preserve"> </w:t>
      </w:r>
      <w:r>
        <w:rPr>
          <w:b/>
          <w:bCs/>
        </w:rPr>
        <w:t xml:space="preserve">D2 target definition</w:t>
      </w:r>
      <w:r>
        <w:t xml:space="preserve"> </w:t>
      </w:r>
      <w:r>
        <w:t xml:space="preserve">(no t-1 fire within 25 km; no same-cell fire in 10 days) and multi-year out-of-time test partitions (2024–2025). We also implement a</w:t>
      </w:r>
      <w:r>
        <w:t xml:space="preserve"> </w:t>
      </w:r>
      <w:r>
        <w:rPr>
          <w:b/>
          <w:bCs/>
        </w:rPr>
        <w:t xml:space="preserve">50-km spatial block holdout with a 20-km buffer</w:t>
      </w:r>
      <w:r>
        <w:t xml:space="preserve">; a reproducible semivariogram remains pending.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62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</w:t>
      </w:r>
      <w:r>
        <w:t xml:space="preserve"> </w:t>
      </w:r>
      <m:oMath>
        <m:r>
          <m:rPr>
            <m:sty m:val="p"/>
          </m:rPr>
          <m:t>≈</m:t>
        </m:r>
        <m:r>
          <m:t>1.7</m:t>
        </m:r>
        <m:r>
          <m:rPr>
            <m:nor/>
            <m:sty m:val="p"/>
          </m:rPr>
          <m:t> seconds</m:t>
        </m:r>
      </m:oMath>
      <w:r>
        <w:t xml:space="preserve">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publication-ready outputs (</w:t>
      </w:r>
      <w:r>
        <w:rPr>
          <w:rStyle w:val="VerbatimChar"/>
        </w:rPr>
        <w:t xml:space="preserve">scripts/24_...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retrospective temporal testing over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813</m:t>
        </m:r>
        <m:r>
          <m:rPr>
            <m:sty m:val="p"/>
          </m:rPr>
          <m:t>,</m:t>
        </m:r>
        <m:r>
          <m:t>966</m:t>
        </m:r>
      </m:oMath>
      <w:r>
        <w:t xml:space="preserve"> </w:t>
      </w:r>
      <w:r>
        <w:t xml:space="preserve">D2 holdout cell-days during 2024–2025, our hybrid ignition layer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a ROC-AUC of</w:t>
      </w:r>
      <w:r>
        <w:t xml:space="preserve"> </w:t>
      </w:r>
      <m:oMath>
        <m:r>
          <m:t>0.7851</m:t>
        </m:r>
      </m:oMath>
      <w:r>
        <w:t xml:space="preserve"> </w:t>
      </w:r>
      <w:r>
        <w:t xml:space="preserve">in the Gran Chaco and</w:t>
      </w:r>
      <w:r>
        <w:t xml:space="preserve"> </w:t>
      </w:r>
      <m:oMath>
        <m:r>
          <m:t>0.7485</m:t>
        </m:r>
      </m:oMath>
      <w:r>
        <w:t xml:space="preserve"> </w:t>
      </w:r>
      <w:r>
        <w:t xml:space="preserve">in the Oriental Region, versus</w:t>
      </w:r>
      <w:r>
        <w:t xml:space="preserve"> </w:t>
      </w:r>
      <m:oMath>
        <m:r>
          <m:t>0.5185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0.5569</m:t>
        </m:r>
      </m:oMath>
      <w:r>
        <w:t xml:space="preserve"> </w:t>
      </w:r>
      <w:r>
        <w:t xml:space="preserve">for the full Canadian FWI and</w:t>
      </w:r>
      <w:r>
        <w:t xml:space="preserve"> </w:t>
      </w:r>
      <m:oMath>
        <m:r>
          <m:t>0.5386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0.4994</m:t>
        </m:r>
      </m:oMath>
      <w:r>
        <w:t xml:space="preserve"> </w:t>
      </w:r>
      <w:r>
        <w:t xml:space="preserve">for the INPE.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</w:t>
      </w:r>
      <w:r>
        <w:t xml:space="preserve"> </w:t>
      </w:r>
      <m:oMath>
        <m:r>
          <m:t>27.54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29.67</m:t>
        </m:r>
        <m:r>
          <m:rPr>
            <m:nor/>
            <m:sty m:val="p"/>
          </m:rPr>
          <m:t> %</m:t>
        </m:r>
      </m:oMath>
      <w:r>
        <w:t xml:space="preserve">; after correction to population prevalence (~0.015 % / 0.041 %), operational precision is</w:t>
      </w:r>
      <w:r>
        <w:t xml:space="preserve"> </w:t>
      </w:r>
      <m:oMath>
        <m:r>
          <m:t>0.062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0.206</m:t>
        </m:r>
        <m:r>
          <m:rPr>
            <m:nor/>
            <m:sty m:val="p"/>
          </m:rPr>
          <m:t> %</m:t>
        </m:r>
      </m:oMath>
      <w:r>
        <w:t xml:space="preserve">. Tactical propagation achieves ROC-AUC</w:t>
      </w:r>
      <w:r>
        <w:t xml:space="preserve"> </w:t>
      </w:r>
      <m:oMath>
        <m:r>
          <m:t>0.8989</m:t>
        </m:r>
      </m:oMath>
      <w:r>
        <w:t xml:space="preserve"> </w:t>
      </w:r>
      <w:r>
        <w:t xml:space="preserve">(Chaco) and population precision</w:t>
      </w:r>
      <w:r>
        <w:t xml:space="preserve"> </w:t>
      </w:r>
      <m:oMath>
        <m:r>
          <m:t>9.96</m:t>
        </m:r>
        <m:r>
          <m:rPr>
            <m:nor/>
            <m:sty m:val="p"/>
          </m:rPr>
          <m:t> %</m:t>
        </m:r>
      </m:oMath>
      <w:r>
        <w:t xml:space="preserve">. These corrected metrics are the honest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). Processed data and trained models are documented with SHA-256 hashes in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and archived on Zenodo (code DOI: 10.5281/zenodo.23675105; data DOI: 10.5281/zenodo.23675279).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2026-10-26T20:53:58Z</dcterms:created>
  <dcterms:modified xsi:type="dcterms:W3CDTF">2026-10-26T20:53:58Z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