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74.png" ContentType="image/png"/>
  <Override PartName="/word/media/rId69.png" ContentType="image/png"/>
  <Override PartName="/word/media/rId57.png" ContentType="image/png"/>
  <Override PartName="/word/media/rId100.png" ContentType="image/png"/>
  <Override PartName="/word/media/rId6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desacoplamiento y benchmarking de ignición y propagación de incendios en el Gran Chaco (2018–2025)</w:t>
      </w:r>
    </w:p>
    <w:p>
      <w:pPr>
        <w:pStyle w:val="Subtitle"/>
      </w:pPr>
      <w:r>
        <w:t xml:space="preserve">Targets D2, inferencia con gating y fallback M1/M3, y benchmark abierto frente a Canadian FWI e INPE Risco de Fogo</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 as specified by the journal. Author, affiliation and repository information are provided on the title page.</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con aprendizaje automático sufre fugas espaciales y una limitada transferibilidad de los índices boreales a biomas subtropicales. Presentamos un marco computacional reproducible que separa ignición primaria y propagación táctica y hace explícitos la construcción de targets, la inferencia con gating y el protocolo de evaluación. La definición D2 exige que la ignición no tenga fuego</w:t>
      </w:r>
      <w:r>
        <w:t xml:space="preserve"> </w:t>
      </w:r>
      <m:oMath>
        <m:r>
          <m:t>t</m:t>
        </m:r>
        <m:r>
          <m:rPr>
            <m:sty m:val="p"/>
          </m:rPr>
          <m:t>−</m:t>
        </m:r>
        <m:r>
          <m:t>1</m:t>
        </m:r>
      </m:oMath>
      <w:r>
        <w:t xml:space="preserve"> </w:t>
      </w:r>
      <w:r>
        <w:t xml:space="preserve">en 25 km ni fuego en la misma celda en 10 días; la propagación se evalúa dentro de 25 km de un fuego</w:t>
      </w:r>
      <w:r>
        <w:t xml:space="preserve"> </w:t>
      </w:r>
      <m:oMath>
        <m:r>
          <m:t>t</m:t>
        </m:r>
        <m:r>
          <m:rPr>
            <m:sty m:val="p"/>
          </m:rPr>
          <m:t>−</m:t>
        </m:r>
        <m:r>
          <m:t>1</m:t>
        </m:r>
      </m:oMath>
      <w:r>
        <w:t xml:space="preserve">. Un gating biofísico elimina celdas no combustibles o húmedas; un modelo híbrido LightGBM (</w:t>
      </w:r>
      <m:oMath>
        <m:sSub>
          <m:e>
            <m:r>
              <m:rPr>
                <m:scr m:val="script"/>
                <m:sty m:val="p"/>
              </m:rPr>
              <m:t>M</m:t>
            </m:r>
          </m:e>
          <m:sub>
            <m:r>
              <m:t>3</m:t>
            </m:r>
          </m:sub>
        </m:sSub>
      </m:oMath>
      <w:r>
        <w:t xml:space="preserve">) predice ignición sin variables de fuego</w:t>
      </w:r>
      <w:r>
        <w:t xml:space="preserve"> </w:t>
      </w:r>
      <m:oMath>
        <m:r>
          <m:t>t</m:t>
        </m:r>
        <m:r>
          <m:rPr>
            <m:sty m:val="p"/>
          </m:rPr>
          <m:t>−</m:t>
        </m:r>
        <m:r>
          <m:t>1</m:t>
        </m:r>
      </m:oMath>
      <w:r>
        <w:t xml:space="preserve">, con</w:t>
      </w:r>
      <w:r>
        <w:t xml:space="preserve"> </w:t>
      </w:r>
      <m:oMath>
        <m:sSub>
          <m:e>
            <m:r>
              <m:rPr>
                <m:scr m:val="script"/>
                <m:sty m:val="p"/>
              </m:rPr>
              <m:t>M</m:t>
            </m:r>
          </m:e>
          <m:sub>
            <m:r>
              <m:t>1</m:t>
            </m:r>
          </m:sub>
        </m:sSub>
      </m:oMath>
      <w:r>
        <w:t xml:space="preserve"> </w:t>
      </w:r>
      <w:r>
        <w:t xml:space="preserve">como fallback para celdas sin historia; la propagación usa un kernel causal</w:t>
      </w:r>
      <w:r>
        <w:t xml:space="preserve"> </w:t>
      </w:r>
      <m:oMath>
        <m:r>
          <m:t>t</m:t>
        </m:r>
        <m:r>
          <m:rPr>
            <m:sty m:val="p"/>
          </m:rPr>
          <m:t>−</m:t>
        </m:r>
        <m:r>
          <m:t>1</m:t>
        </m:r>
      </m:oMath>
      <w:r>
        <w:t xml:space="preserve">. Un pipeline</w:t>
      </w:r>
      <w:r>
        <w:t xml:space="preserve"> </w:t>
      </w:r>
      <w:r>
        <w:rPr>
          <w:i/>
          <w:iCs/>
        </w:rPr>
        <w:t xml:space="preserve">zero-copy</w:t>
      </w:r>
      <w:r>
        <w:t xml:space="preserve"> </w:t>
      </w:r>
      <w:r>
        <w:t xml:space="preserve">en Polars/DuckDB evalúa 400.006 celdas de 1 km², y un harness reproducible combina bootstrap agrupado por fecha, bloques espaciales de 50 km, lead-time y cost-loss. En test ciego 2024–2025 (1.813.966 celdas-día-tarea),</w:t>
      </w:r>
      <w:r>
        <w:t xml:space="preserve"> </w:t>
      </w:r>
      <m:oMath>
        <m:sSub>
          <m:e>
            <m:r>
              <m:rPr>
                <m:scr m:val="script"/>
                <m:sty m:val="p"/>
              </m:rPr>
              <m:t>M</m:t>
            </m:r>
          </m:e>
          <m:sub>
            <m:r>
              <m:t>3</m:t>
            </m:r>
          </m:sub>
        </m:sSub>
      </m:oMath>
      <w:r>
        <w:t xml:space="preserve"> </w:t>
      </w:r>
      <w:r>
        <w:t xml:space="preserve">alcanza ROC-AUC 0,7851/0,7485 (Chaco/Oriental), frente a 0,5185/0,5569 del FWI completo y 0,5386/0,4994 del INPE; la propagación alcanza 0,8989/0,7799. La precisión poblacional de ignición es solo 0,062 %/0,206 %, por lo que el sistema es un nowcast y herramienta de priorización, no una alerta autónoma.</w:t>
      </w:r>
      <w:r>
        <w:t xml:space="preserve"> </w:t>
      </w:r>
      <m:oMath>
        <m:sSub>
          <m:e>
            <m:r>
              <m:rPr>
                <m:scr m:val="script"/>
                <m:sty m:val="p"/>
              </m:rPr>
              <m:t>M</m:t>
            </m:r>
          </m:e>
          <m:sub>
            <m:r>
              <m:t>3</m:t>
            </m:r>
          </m:sub>
        </m:sSub>
      </m:oMath>
      <w:r>
        <w:t xml:space="preserve"> </w:t>
      </w:r>
      <w:r>
        <w:t xml:space="preserve">pierde transferibilidad espacial (0,6243/0,5754), mientras</w:t>
      </w:r>
      <w:r>
        <w:t xml:space="preserve"> </w:t>
      </w:r>
      <m:oMath>
        <m:sSub>
          <m:e>
            <m:r>
              <m:rPr>
                <m:scr m:val="script"/>
                <m:sty m:val="p"/>
              </m:rPr>
              <m:t>M</m:t>
            </m:r>
          </m:e>
          <m:sub>
            <m:r>
              <m:t>1</m:t>
            </m:r>
          </m:sub>
        </m:sSub>
      </m:oMath>
      <w:r>
        <w:t xml:space="preserve"> </w:t>
      </w:r>
      <w:r>
        <w:t xml:space="preserve">es más robusto (0,6338/0,6176), lo que motiva el fallback. Código y datos están archivados con DOI. La contribución es un protocolo computacional y un benchmark reproducible, no un nuevo algoritmo de</w:t>
      </w:r>
      <w:r>
        <w:t xml:space="preserve"> </w:t>
      </w:r>
      <w:r>
        <w:rPr>
          <w:i/>
          <w:iCs/>
        </w:rPr>
        <w:t xml:space="preserve">boosting</w:t>
      </w:r>
      <w:r>
        <w:t xml:space="preserve">.</w:t>
      </w:r>
    </w:p>
    <w:p>
      <w:pPr>
        <w:pStyle w:val="BodyText"/>
      </w:pPr>
      <w:r>
        <w:rPr>
          <w:b/>
          <w:bCs/>
        </w:rPr>
        <w:t xml:space="preserve">Palabras clave:</w:t>
      </w:r>
      <w:r>
        <w:t xml:space="preserve"> </w:t>
      </w:r>
      <w:r>
        <w:t xml:space="preserve">Incendios forestales; GeoAI; reproducibilidad; validación espacial; LightGBM; Gran Chaco.</w:t>
      </w:r>
    </w:p>
    <w:p>
      <w:r>
        <w:pict>
          <v:rect style="width:0;height:1.5pt" o:hralign="center" o:hrstd="t" o:hr="t"/>
        </w:pict>
      </w:r>
    </w:p>
    <w:bookmarkEnd w:id="9"/>
    <w:bookmarkStart w:id="10"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M1 as a fallback for cells without fire history; propagation uses a causal t-1 kernel. A zero-copy Polars/DuckDB pipeline scores 400,006 1-km² cells, and a reproducible harness combines grouped-by-date bootstrap, 50-km spatial blocks, lead-time and cost-loss analyses. In the 2024–2025 held-out test (1,813,966 task cell-days), M3 reaches ROC-AUC 0.7851/0.7485 (Chaco/Oriental), versus 0.5185/0.5569 for full Canadian FWI and 0.5386/0.4994 for INPE; propagation reaches 0.8989/0.7799. Population-level ignition precision is only 0.062 %/0.206 %, so the system is a nowcast and prioritisation tool, not a stand-alone warning system. M3 loses spatial transferability (0.6243/0.5754), whereas M1 is more robust (0.6338/0.6176), motivating the fallback. Code and data are archived with DOIs.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a escala nacional a resolución de 1 km² en tiempo subsegundo.</w:t>
      </w:r>
    </w:p>
    <w:p>
      <w:pPr>
        <w:pStyle w:val="FirstParagraph"/>
      </w:pPr>
      <w:r>
        <w:t xml:space="preserve">Este artículo presenta</w:t>
      </w:r>
      <w:r>
        <w:t xml:space="preserve"> </w:t>
      </w:r>
      <w:r>
        <w:rPr>
          <w:rStyle w:val="VerbatimChar"/>
        </w:rPr>
        <w:t xml:space="preserve">Incendios_PY</w:t>
      </w:r>
      <w:r>
        <w:t xml:space="preserve"> </w:t>
      </w:r>
      <w:r>
        <w:t xml:space="preserve">como un marco computacional reproducible para construir, evaluar y comparar modelos de ignición y propagación. La novedad no es un nuevo algoritmo de</w:t>
      </w:r>
      <w:r>
        <w:t xml:space="preserve"> </w:t>
      </w:r>
      <w:r>
        <w:rPr>
          <w:i/>
          <w:iCs/>
        </w:rPr>
        <w:t xml:space="preserve">boosting</w:t>
      </w:r>
      <w:r>
        <w:t xml:space="preserve">, sino la combinación explícita de un operador de targets, una arquitectura de inferencia con gating y fallback, y un harness de evaluación que puede reutilizarse en otros biomas. Las contribuciones computacionales son:</w:t>
      </w:r>
    </w:p>
    <w:p>
      <w:pPr>
        <w:pStyle w:val="Compact"/>
        <w:numPr>
          <w:ilvl w:val="0"/>
          <w:numId w:val="1002"/>
        </w:numPr>
      </w:pPr>
      <w:r>
        <w:rPr>
          <w:b/>
          <w:bCs/>
        </w:rPr>
        <w:t xml:space="preserve">Operador de targets D2:</w:t>
      </w:r>
      <w:r>
        <w:t xml:space="preserve"> </w:t>
      </w:r>
      <w:r>
        <w:t xml:space="preserve">formalizamos una regla reproducible que separa ignición primaria y propagación, impide mezclar persistencia con ignición y hace verificables las condiciones de no-leakage.</w:t>
      </w:r>
    </w:p>
    <w:p>
      <w:pPr>
        <w:pStyle w:val="Compact"/>
        <w:numPr>
          <w:ilvl w:val="0"/>
          <w:numId w:val="1002"/>
        </w:numPr>
      </w:pPr>
      <w:r>
        <w:rPr>
          <w:b/>
          <w:bCs/>
        </w:rPr>
        <w:t xml:space="preserve">Inferencia con gating y fallback:</w:t>
      </w:r>
      <w:r>
        <w:t xml:space="preserve"> </w:t>
      </w:r>
      <w:r>
        <w:t xml:space="preserve">combinamos un cribado biofísico de primera etapa con un modelo híbrido M3 para celdas con historia de fuego y un modelo biofísico M1 para celdas nuevas, sin usar variables de fuego</w:t>
      </w:r>
      <w:r>
        <w:t xml:space="preserve"> </w:t>
      </w:r>
      <m:oMath>
        <m:r>
          <m:t>t</m:t>
        </m:r>
        <m:r>
          <m:rPr>
            <m:sty m:val="p"/>
          </m:rPr>
          <m:t>−</m:t>
        </m:r>
        <m:r>
          <m:t>1</m:t>
        </m:r>
      </m:oMath>
      <w:r>
        <w:t xml:space="preserve"> </w:t>
      </w:r>
      <w:r>
        <w:t xml:space="preserve">en la capa de ignición.</w:t>
      </w:r>
    </w:p>
    <w:p>
      <w:pPr>
        <w:pStyle w:val="Compact"/>
        <w:numPr>
          <w:ilvl w:val="0"/>
          <w:numId w:val="1002"/>
        </w:numPr>
      </w:pPr>
      <w:r>
        <w:rPr>
          <w:b/>
          <w:bCs/>
        </w:rPr>
        <w:t xml:space="preserve">Harness de evaluación reproducible:</w:t>
      </w:r>
      <w:r>
        <w:t xml:space="preserve"> </w:t>
      </w:r>
      <w:r>
        <w:t xml:space="preserve">integramos bootstrap agrupado por fecha, holdout por bloques espaciales, evaluación con clima</w:t>
      </w:r>
      <w:r>
        <w:t xml:space="preserve"> </w:t>
      </w:r>
      <m:oMath>
        <m:r>
          <m:t>t</m:t>
        </m:r>
        <m:r>
          <m:rPr>
            <m:sty m:val="p"/>
          </m:rPr>
          <m:t>−</m:t>
        </m:r>
        <m:r>
          <m:t>1</m:t>
        </m:r>
      </m:oMath>
      <w:r>
        <w:t xml:space="preserve">, calibración conforme y análisis cost-loss en un protocolo único.</w:t>
      </w:r>
    </w:p>
    <w:p>
      <w:pPr>
        <w:pStyle w:val="Compact"/>
        <w:numPr>
          <w:ilvl w:val="0"/>
          <w:numId w:val="1002"/>
        </w:numPr>
      </w:pPr>
      <w:r>
        <w:rPr>
          <w:b/>
          <w:bCs/>
        </w:rPr>
        <w:t xml:space="preserve">Pipeline abierto y eficiente:</w:t>
      </w:r>
      <w:r>
        <w:t xml:space="preserve"> </w:t>
      </w:r>
      <w:r>
        <w:t xml:space="preserve">implementamos una canalización</w:t>
      </w:r>
      <w:r>
        <w:t xml:space="preserve"> </w:t>
      </w:r>
      <w:r>
        <w:rPr>
          <w:i/>
          <w:iCs/>
        </w:rPr>
        <w:t xml:space="preserve">zero-copy</w:t>
      </w:r>
      <w:r>
        <w:t xml:space="preserve"> </w:t>
      </w:r>
      <w:r>
        <w:t xml:space="preserve">en Polars/DuckDB que evalúa 400.006 celdas de 1 km² en ~1,569 s, con código, datos y DOIs públicos.</w:t>
      </w:r>
    </w:p>
    <w:p>
      <w:pPr>
        <w:pStyle w:val="Compact"/>
        <w:numPr>
          <w:ilvl w:val="0"/>
          <w:numId w:val="1002"/>
        </w:numPr>
      </w:pPr>
      <w:r>
        <w:rPr>
          <w:b/>
          <w:bCs/>
        </w:rPr>
        <w:t xml:space="preserve">Protocolo de benchmark:</w:t>
      </w:r>
      <w:r>
        <w:t xml:space="preserve"> </w:t>
      </w:r>
      <w:r>
        <w:t xml:space="preserve">comparamos la arquitectura contra el Canadian FWI completo y el INPE Risco de Fogo bajo el mismo test ciego y reportamos también los resultados negativos de transferencia espacial.</w:t>
      </w:r>
    </w:p>
    <w:p>
      <w:pPr>
        <w:pStyle w:val="FirstParagraph"/>
      </w:pPr>
      <w:r>
        <w:t xml:space="preserve">La contribución geocientífica es mostrar que los índices boreales no transfieren al Gran Chaco, que la ventaja del modelo híbrido es temporal y específica de celdas con historia, y que un fallback biofísico es necesario para celdas nuevas.</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541073"/>
                  <wp:effectExtent b="0" l="0" r="0" t="0"/>
                  <wp:docPr descr="" title="" id="19" name="Picture"/>
                  <a:graphic>
                    <a:graphicData uri="http://schemas.openxmlformats.org/drawingml/2006/picture">
                      <pic:pic>
                        <pic:nvPicPr>
                          <pic:cNvPr descr="figuras/fig01_framework_conceptual.png" id="20" name="Picture"/>
                          <pic:cNvPicPr>
                            <a:picLocks noChangeArrowheads="1" noChangeAspect="1"/>
                          </pic:cNvPicPr>
                        </pic:nvPicPr>
                        <pic:blipFill>
                          <a:blip r:embed="rId18"/>
                          <a:stretch>
                            <a:fillRect/>
                          </a:stretch>
                        </pic:blipFill>
                        <pic:spPr bwMode="auto">
                          <a:xfrm>
                            <a:off x="0" y="0"/>
                            <a:ext cx="5334000" cy="2541073"/>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propuesto: ingesta multifuente, operador de targets D2, gating biofísico, inferencia desacoplada M3/M1 para ignición y kernel causal</w:t>
            </w:r>
            <w:r>
              <w:t xml:space="preserve"> </w:t>
            </w:r>
            <m:oMath>
              <m:r>
                <m:t>t</m:t>
              </m:r>
              <m:r>
                <m:rPr>
                  <m:sty m:val="p"/>
                </m:rPr>
                <m:t>−</m:t>
              </m:r>
              <m:r>
                <m:t>1</m:t>
              </m:r>
            </m:oMath>
            <w:r>
              <w:t xml:space="preserve"> </w:t>
            </w:r>
            <w:r>
              <w:t xml:space="preserve">para propagación, harness de evaluación reproducible y productos abiertos.</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3" w:name="X500a81763a499a350900bb953648fad63a0c8bf"/>
    <w:p>
      <w:pPr>
        <w:pStyle w:val="Heading1"/>
      </w:pPr>
      <w:r>
        <w:t xml:space="preserve">3. 3. Arquitectura de Software y Datos Espaciales</w:t>
      </w:r>
    </w:p>
    <w:bookmarkStart w:id="32" w:name="Xe3e38d604ef1d5973bd07bef1b16b29d1ea61e6"/>
    <w:p>
      <w:pPr>
        <w:pStyle w:val="Heading2"/>
      </w:pPr>
      <w:r>
        <w:t xml:space="preserve">3.1 3.1 Malla Geográfica Nacional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nacionales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bookmarkEnd w:id="40"/>
    <w:bookmarkStart w:id="42" w:name="contribución-computacional"/>
    <w:p>
      <w:pPr>
        <w:pStyle w:val="Heading2"/>
      </w:pPr>
      <w:r>
        <w:t xml:space="preserve">3.5 3.5 Contribución computacional</w:t>
      </w:r>
    </w:p>
    <w:p>
      <w:pPr>
        <w:pStyle w:val="FirstParagraph"/>
      </w:pPr>
      <w:r>
        <w:t xml:space="preserve">La contribución computacional no depende de un nuevo algoritmo de</w:t>
      </w:r>
      <w:r>
        <w:t xml:space="preserve"> </w:t>
      </w:r>
      <w:r>
        <w:rPr>
          <w:i/>
          <w:iCs/>
        </w:rPr>
        <w:t xml:space="preserve">boosting</w:t>
      </w:r>
      <w:r>
        <w:t xml:space="preserve">, sino de la combinación de: (i) una grilla nacional con</w:t>
      </w:r>
      <w:r>
        <w:t xml:space="preserve"> </w:t>
      </w:r>
      <w:r>
        <w:rPr>
          <w:rStyle w:val="VerbatimChar"/>
        </w:rPr>
        <w:t xml:space="preserve">cell_id</w:t>
      </w:r>
      <w:r>
        <w:t xml:space="preserve"> </w:t>
      </w:r>
      <w:r>
        <w:t xml:space="preserve">entero y lookup (O(1)); (ii) un pipeline columnar DuckDB/Polars con gating temprano; (iii) un operador D2 de targets que evita mezclar persistencia e ignición; (iv) calibración Platt y conformal; y (v) un harness de evaluación que integra bootstrap agrupado, bloques espaciales, lead-time y cost-loss. El criterio de novedad es la reutilización y verificabilidad del protocolo, no la arquitectura del booster.</w:t>
      </w:r>
    </w:p>
    <w:p>
      <w:pPr>
        <w:pStyle w:val="BodyText"/>
      </w:pPr>
      <w:r>
        <w:t xml:space="preserve">El alcance es un caso de estudio nacional que funciona como</w:t>
      </w:r>
      <w:r>
        <w:t xml:space="preserve"> </w:t>
      </w:r>
      <w:r>
        <w:rPr>
          <w:i/>
          <w:iCs/>
        </w:rPr>
        <w:t xml:space="preserve">testbed</w:t>
      </w:r>
      <w:r>
        <w:t xml:space="preserve"> </w:t>
      </w:r>
      <w:r>
        <w:t xml:space="preserve">de un problema general: escasez de datos, biomas subtropicales, leakage espacial y benchmarking de índices. No se afirma validez universal ni un nuevo estado del arte en aprendizaje automático; se afirma que el protocolo es reproducible, que los resultados negativos de transferencia espacial son informativos y que el código, los datos y los DOIs permiten auditoría independiente.</w:t>
      </w:r>
    </w:p>
    <w:p>
      <w:pPr>
        <w:pStyle w:val="BodyText"/>
      </w:pPr>
      <w:r>
        <w:t xml:space="preserve">El lookup</w:t>
      </w:r>
      <w:r>
        <w:t xml:space="preserve"> </w:t>
      </w:r>
      <w:r>
        <w:rPr>
          <w:rStyle w:val="VerbatimChar"/>
        </w:rPr>
        <w:t xml:space="preserve">cell_id</w:t>
      </w:r>
      <w:r>
        <w:t xml:space="preserve"> </w:t>
      </w:r>
      <w:r>
        <w:t xml:space="preserve">procesa 400.006 celdas en (7{,}3</w:t>
      </w:r>
      <w:r>
        <w:t xml:space="preserve">^{-4}) s (mediana de 100 repeticiones). Un</w:t>
      </w:r>
      <w:r>
        <w:t xml:space="preserve"> </w:t>
      </w:r>
      <w:r>
        <w:rPr>
          <w:rStyle w:val="VerbatimChar"/>
        </w:rPr>
        <w:t xml:space="preserve">sjoin</w:t>
      </w:r>
      <w:r>
        <w:t xml:space="preserve"> </w:t>
      </w:r>
      <w:r>
        <w:t xml:space="preserve">de GeoPandas sobre 50.000 puntos tarda 0,026 s; la comparación no es lineal, pero ilustra por qué el lookup entero evita Point-in-Polygon en tiempo de ejecución.</w:t>
      </w:r>
    </w:p>
    <w:tbl>
      <w:tblPr>
        <w:tblStyle w:val="Table"/>
        <w:tblW w:type="pct" w:w="5000"/>
        <w:tblLayout w:type="fixed"/>
        <w:tblLook w:firstRow="0" w:lastRow="0" w:firstColumn="0" w:lastColumn="0" w:noHBand="0" w:noVBand="0" w:val="0000"/>
      </w:tblPr>
      <w:tblGrid>
        <w:gridCol w:w="7920"/>
      </w:tblGrid>
      <w:tr>
        <w:tc>
          <w:tcPr/>
          <w:bookmarkStart w:id="41" w:name="tbl-computo"/>
          <w:p>
            <w:pPr>
              <w:jc w:val="center"/>
            </w:pPr>
            <w:pPr>
              <w:jc w:val="left"/>
              <w:spacing w:before="200"/>
              <w:pStyle w:val="ImageCaption"/>
            </w:pPr>
            <w:r>
              <w:t xml:space="preserve">Tabla 2: Benchmark computacional en macOS ARM64. El pipeline completo se midió sobre 400.006 celdas para 2024-09-09; x86_64 no fue medido.</w:t>
            </w:r>
          </w:p>
          <w:tbl>
            <w:tblPr>
              <w:tblStyle w:val="Table"/>
              <w:tblW w:type="pct" w:w="5000"/>
              <w:tblLayout w:type="fixed"/>
              <w:tblLook w:firstRow="1" w:lastRow="0" w:firstColumn="0" w:lastColumn="0" w:noHBand="0" w:noVBand="0" w:val="0020"/>
            </w:tblPr>
            <w:tblGrid>
              <w:gridCol w:w="1926"/>
              <w:gridCol w:w="1212"/>
              <w:gridCol w:w="570"/>
              <w:gridCol w:w="856"/>
              <w:gridCol w:w="713"/>
              <w:gridCol w:w="2640"/>
            </w:tblGrid>
            <w:tr>
              <w:trPr>
                <w:tblHeader w:val="on"/>
              </w:trPr>
              <w:tc>
                <w:tcPr/>
                <w:p>
                  <w:pPr>
                    <w:pStyle w:val="Compact"/>
                    <w:jc w:val="left"/>
                    <w:jc w:val="center"/>
                  </w:pPr>
                  <w:r>
                    <w:t xml:space="preserve">etapa</w:t>
                  </w:r>
                </w:p>
              </w:tc>
              <w:tc>
                <w:tcPr/>
                <w:p>
                  <w:pPr>
                    <w:pStyle w:val="Compact"/>
                    <w:jc w:val="left"/>
                    <w:jc w:val="center"/>
                  </w:pPr>
                  <w:r>
                    <w:t xml:space="preserve">metodo</w:t>
                  </w:r>
                </w:p>
              </w:tc>
              <w:tc>
                <w:tcPr/>
                <w:p>
                  <w:pPr>
                    <w:pStyle w:val="Compact"/>
                    <w:jc w:val="right"/>
                    <w:jc w:val="center"/>
                  </w:pPr>
                  <w:r>
                    <w:t xml:space="preserve">n</w:t>
                  </w:r>
                </w:p>
              </w:tc>
              <w:tc>
                <w:tcPr/>
                <w:p>
                  <w:pPr>
                    <w:pStyle w:val="Compact"/>
                    <w:jc w:val="right"/>
                    <w:jc w:val="center"/>
                  </w:pPr>
                  <w:r>
                    <w:t xml:space="preserve">tiempo_s</w:t>
                  </w:r>
                </w:p>
              </w:tc>
              <w:tc>
                <w:tcPr/>
                <w:p>
                  <w:pPr>
                    <w:pStyle w:val="Compact"/>
                    <w:jc w:val="right"/>
                    <w:jc w:val="center"/>
                  </w:pPr>
                  <w:r>
                    <w:t xml:space="preserve">ram_mb</w:t>
                  </w:r>
                </w:p>
              </w:tc>
              <w:tc>
                <w:tcPr/>
                <w:p>
                  <w:pPr>
                    <w:pStyle w:val="Compact"/>
                    <w:jc w:val="left"/>
                    <w:jc w:val="center"/>
                  </w:pPr>
                  <w:r>
                    <w:t xml:space="preserve">nota</w:t>
                  </w:r>
                </w:p>
              </w:tc>
            </w:tr>
            <w:tr>
              <w:tc>
                <w:tcPr/>
                <w:p>
                  <w:pPr>
                    <w:pStyle w:val="Compact"/>
                    <w:jc w:val="left"/>
                    <w:jc w:val="center"/>
                  </w:pPr>
                  <w:r>
                    <w:t xml:space="preserve">Lookup cell_id O(1)</w:t>
                  </w:r>
                </w:p>
              </w:tc>
              <w:tc>
                <w:tcPr/>
                <w:p>
                  <w:pPr>
                    <w:pStyle w:val="Compact"/>
                    <w:jc w:val="left"/>
                    <w:jc w:val="center"/>
                  </w:pPr>
                  <w:r>
                    <w:t xml:space="preserve">NumPy int64</w:t>
                  </w:r>
                </w:p>
              </w:tc>
              <w:tc>
                <w:tcPr/>
                <w:p>
                  <w:pPr>
                    <w:pStyle w:val="Compact"/>
                    <w:jc w:val="right"/>
                    <w:jc w:val="center"/>
                  </w:pPr>
                  <w:r>
                    <w:t xml:space="preserve">400006</w:t>
                  </w:r>
                </w:p>
              </w:tc>
              <w:tc>
                <w:tcPr/>
                <w:p>
                  <w:pPr>
                    <w:pStyle w:val="Compact"/>
                    <w:jc w:val="right"/>
                    <w:jc w:val="center"/>
                  </w:pPr>
                  <w:r>
                    <w:t xml:space="preserve">0.00073</w:t>
                  </w:r>
                </w:p>
              </w:tc>
              <w:tc>
                <w:tcPr/>
                <w:p>
                  <w:pPr>
                    <w:pStyle w:val="Compact"/>
                    <w:jc w:val="right"/>
                    <w:jc w:val="center"/>
                  </w:pPr>
                  <w:r>
                    <w:t xml:space="preserve">nan</w:t>
                  </w:r>
                </w:p>
              </w:tc>
              <w:tc>
                <w:tcPr/>
                <w:p>
                  <w:pPr>
                    <w:pStyle w:val="Compact"/>
                    <w:jc w:val="left"/>
                    <w:jc w:val="center"/>
                  </w:pPr>
                  <w:r>
                    <w:t xml:space="preserve">mediana 100 repeticiones</w:t>
                  </w:r>
                </w:p>
              </w:tc>
            </w:tr>
            <w:tr>
              <w:tc>
                <w:tcPr/>
                <w:p>
                  <w:pPr>
                    <w:pStyle w:val="Compact"/>
                    <w:jc w:val="left"/>
                    <w:jc w:val="center"/>
                  </w:pPr>
                  <w:r>
                    <w:t xml:space="preserve">Point-in-Polygon</w:t>
                  </w:r>
                </w:p>
              </w:tc>
              <w:tc>
                <w:tcPr/>
                <w:p>
                  <w:pPr>
                    <w:pStyle w:val="Compact"/>
                    <w:jc w:val="left"/>
                    <w:jc w:val="center"/>
                  </w:pPr>
                  <w:r>
                    <w:t xml:space="preserve">GeoPandas sjoin</w:t>
                  </w:r>
                </w:p>
              </w:tc>
              <w:tc>
                <w:tcPr/>
                <w:p>
                  <w:pPr>
                    <w:pStyle w:val="Compact"/>
                    <w:jc w:val="right"/>
                    <w:jc w:val="center"/>
                  </w:pPr>
                  <w:r>
                    <w:t xml:space="preserve">50000</w:t>
                  </w:r>
                </w:p>
              </w:tc>
              <w:tc>
                <w:tcPr/>
                <w:p>
                  <w:pPr>
                    <w:pStyle w:val="Compact"/>
                    <w:jc w:val="right"/>
                    <w:jc w:val="center"/>
                  </w:pPr>
                  <w:r>
                    <w:t xml:space="preserve">0.0261</w:t>
                  </w:r>
                </w:p>
              </w:tc>
              <w:tc>
                <w:tcPr/>
                <w:p>
                  <w:pPr>
                    <w:pStyle w:val="Compact"/>
                    <w:jc w:val="right"/>
                    <w:jc w:val="center"/>
                  </w:pPr>
                  <w:r>
                    <w:t xml:space="preserve">nan</w:t>
                  </w:r>
                </w:p>
              </w:tc>
              <w:tc>
                <w:tcPr/>
                <w:p>
                  <w:pPr>
                    <w:pStyle w:val="Compact"/>
                    <w:jc w:val="left"/>
                    <w:jc w:val="center"/>
                  </w:pPr>
                  <w:r>
                    <w:t xml:space="preserve">50k puntos; extrapolación no lineal</w:t>
                  </w:r>
                </w:p>
              </w:tc>
            </w:tr>
            <w:tr>
              <w:tc>
                <w:tcPr/>
                <w:p>
                  <w:pPr>
                    <w:pStyle w:val="Compact"/>
                    <w:jc w:val="left"/>
                    <w:jc w:val="center"/>
                  </w:pPr>
                  <w:r>
                    <w:t xml:space="preserve">Ingesta + priors + gating</w:t>
                  </w:r>
                </w:p>
              </w:tc>
              <w:tc>
                <w:tcPr/>
                <w:p>
                  <w:pPr>
                    <w:pStyle w:val="Compact"/>
                    <w:jc w:val="left"/>
                    <w:jc w:val="center"/>
                  </w:pPr>
                  <w:r>
                    <w:t xml:space="preserve">Polars/cKDTree</w:t>
                  </w:r>
                </w:p>
              </w:tc>
              <w:tc>
                <w:tcPr/>
                <w:p>
                  <w:pPr>
                    <w:pStyle w:val="Compact"/>
                    <w:jc w:val="right"/>
                    <w:jc w:val="center"/>
                  </w:pPr>
                  <w:r>
                    <w:t xml:space="preserve">400006</w:t>
                  </w:r>
                </w:p>
              </w:tc>
              <w:tc>
                <w:tcPr/>
                <w:p>
                  <w:pPr>
                    <w:pStyle w:val="Compact"/>
                    <w:jc w:val="right"/>
                    <w:jc w:val="center"/>
                  </w:pPr>
                  <w:r>
                    <w:t xml:space="preserve">1.268</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Inferencia dual</w:t>
                  </w:r>
                </w:p>
              </w:tc>
              <w:tc>
                <w:tcPr/>
                <w:p>
                  <w:pPr>
                    <w:pStyle w:val="Compact"/>
                    <w:jc w:val="left"/>
                    <w:jc w:val="center"/>
                  </w:pPr>
                  <w:r>
                    <w:t xml:space="preserve">LightGBM</w:t>
                  </w:r>
                </w:p>
              </w:tc>
              <w:tc>
                <w:tcPr/>
                <w:p>
                  <w:pPr>
                    <w:pStyle w:val="Compact"/>
                    <w:jc w:val="right"/>
                    <w:jc w:val="center"/>
                  </w:pPr>
                  <w:r>
                    <w:t xml:space="preserve">400006</w:t>
                  </w:r>
                </w:p>
              </w:tc>
              <w:tc>
                <w:tcPr/>
                <w:p>
                  <w:pPr>
                    <w:pStyle w:val="Compact"/>
                    <w:jc w:val="right"/>
                    <w:jc w:val="center"/>
                  </w:pPr>
                  <w:r>
                    <w:t xml:space="preserve">0.285</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Agregación/boletín</w:t>
                  </w:r>
                </w:p>
              </w:tc>
              <w:tc>
                <w:tcPr/>
                <w:p>
                  <w:pPr>
                    <w:pStyle w:val="Compact"/>
                    <w:jc w:val="left"/>
                    <w:jc w:val="center"/>
                  </w:pPr>
                  <w:r>
                    <w:t xml:space="preserve">Polars</w:t>
                  </w:r>
                </w:p>
              </w:tc>
              <w:tc>
                <w:tcPr/>
                <w:p>
                  <w:pPr>
                    <w:pStyle w:val="Compact"/>
                    <w:jc w:val="right"/>
                    <w:jc w:val="center"/>
                  </w:pPr>
                  <w:r>
                    <w:t xml:space="preserve">400006</w:t>
                  </w:r>
                </w:p>
              </w:tc>
              <w:tc>
                <w:tcPr/>
                <w:p>
                  <w:pPr>
                    <w:pStyle w:val="Compact"/>
                    <w:jc w:val="right"/>
                    <w:jc w:val="center"/>
                  </w:pPr>
                  <w:r>
                    <w:t xml:space="preserve">0.016</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Total pipeline</w:t>
                  </w:r>
                </w:p>
              </w:tc>
              <w:tc>
                <w:tcPr/>
                <w:p>
                  <w:pPr>
                    <w:pStyle w:val="Compact"/>
                    <w:jc w:val="left"/>
                    <w:jc w:val="center"/>
                  </w:pPr>
                  <w:r>
                    <w:t xml:space="preserve">Consolidado</w:t>
                  </w:r>
                </w:p>
              </w:tc>
              <w:tc>
                <w:tcPr/>
                <w:p>
                  <w:pPr>
                    <w:pStyle w:val="Compact"/>
                    <w:jc w:val="right"/>
                    <w:jc w:val="center"/>
                  </w:pPr>
                  <w:r>
                    <w:t xml:space="preserve">400006</w:t>
                  </w:r>
                </w:p>
              </w:tc>
              <w:tc>
                <w:tcPr/>
                <w:p>
                  <w:pPr>
                    <w:pStyle w:val="Compact"/>
                    <w:jc w:val="right"/>
                    <w:jc w:val="center"/>
                  </w:pPr>
                  <w:r>
                    <w:t xml:space="preserve">1.569</w:t>
                  </w:r>
                </w:p>
              </w:tc>
              <w:tc>
                <w:tcPr/>
                <w:p>
                  <w:pPr>
                    <w:pStyle w:val="Compact"/>
                    <w:jc w:val="right"/>
                    <w:jc w:val="center"/>
                  </w:pPr>
                  <w:r>
                    <w:t xml:space="preserve">2182.1</w:t>
                  </w:r>
                </w:p>
              </w:tc>
              <w:tc>
                <w:tcPr/>
                <w:p>
                  <w:pPr>
                    <w:pStyle w:val="Compact"/>
                    <w:jc w:val="left"/>
                    <w:jc w:val="center"/>
                  </w:pPr>
                  <w:r>
                    <w:t xml:space="preserve">ARM64; x86_64 no medido</w:t>
                  </w:r>
                </w:p>
              </w:tc>
            </w:tr>
          </w:tbl>
          <w:bookmarkEnd w:id="41"/>
          <w:p/>
        </w:tc>
      </w:tr>
    </w:tbl>
    <w:p>
      <w:r>
        <w:pict>
          <v:rect style="width:0;height:1.5pt" o:hralign="center" o:hrstd="t" o:hr="t"/>
        </w:pict>
      </w:r>
    </w:p>
    <w:bookmarkEnd w:id="42"/>
    <w:bookmarkEnd w:id="43"/>
    <w:bookmarkStart w:id="48" w:name="Xc7095903020df5e14970680641ef602b443ca6a"/>
    <w:p>
      <w:pPr>
        <w:pStyle w:val="Heading1"/>
      </w:pPr>
      <w:r>
        <w:t xml:space="preserve">4. 4. Protocolo Experimental Multianual y Benchmarking Internacional</w:t>
      </w:r>
    </w:p>
    <w:bookmarkStart w:id="44"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scripts/24_...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4"/>
    <w:bookmarkStart w:id="45"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5"/>
    <w:bookmarkStart w:id="46"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Los intervalos de confianza y los</w:t>
      </w:r>
      <w:r>
        <w:t xml:space="preserve"> </w:t>
      </w:r>
      <m:oMath>
        <m:r>
          <m:t>p</m:t>
        </m:r>
      </m:oMath>
      <w:r>
        <w:t xml:space="preserve">-valores se obtuvieron con bootstrap agrupado por fecha (bloques = días), para preservar la dependencia intra-día; los modelos LightGBM usan semilla fija y modo determinista. 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completo):</w:t>
      </w:r>
      <w:r>
        <w:t xml:space="preserve"> </w:t>
      </w:r>
      <w:r>
        <w:t xml:space="preserve">Se implementan FFMC, DMC, DC, BUI, ISI y FWI de Van Wagner</w:t>
      </w:r>
      <w:r>
        <w:t xml:space="preserve"> </w:t>
      </w:r>
      <w:r>
        <w:t xml:space="preserve">(1987)</w:t>
      </w:r>
      <w:r>
        <w:t xml:space="preserve"> </w:t>
      </w:r>
      <w:r>
        <w:t xml:space="preserve">con variables de mediodía de ERA5-Land (15 UTC), lluvia diaria y spin-up desde 2018. Se reporta como FWI completo en todas las tablas.</w:t>
      </w:r>
    </w:p>
    <w:p>
      <w:pPr>
        <w:pStyle w:val="Compact"/>
        <w:numPr>
          <w:ilvl w:val="1"/>
          <w:numId w:val="1009"/>
        </w:numPr>
      </w:pPr>
      <w:r>
        <w:rPr>
          <w:b/>
          <w:bCs/>
        </w:rPr>
        <w:t xml:space="preserve">INPE Risco de Fogo:</w:t>
      </w:r>
      <w:r>
        <w:t xml:space="preserve"> </w:t>
      </w:r>
      <w:r>
        <w:t xml:space="preserve">implementación del método público v11 de Setzer et al.</w:t>
      </w:r>
      <w:r>
        <w:t xml:space="preserve"> </w:t>
      </w:r>
      <w:r>
        <w:t xml:space="preserve">(2019)</w:t>
      </w:r>
      <w:r>
        <w:t xml:space="preserve">, con PSE, factores de precipitación, riesgo básico senoidal, factores de temperatura/HR y corrección latitudinal. Se omite la corrección por focos de los últimos 3 días para evitar fuga de etiquetas en el benchmark de ignición.</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nacionales a costo de infraestructura nulo y con una latencia de inferencia de</w:t>
      </w:r>
      <w:r>
        <w:t xml:space="preserve"> </w:t>
      </w:r>
      <m:oMath>
        <m:r>
          <m:t>1</m:t>
        </m:r>
        <m:r>
          <m:rPr>
            <m:sty m:val="p"/>
          </m:rPr>
          <m:t>,</m:t>
        </m:r>
        <m:r>
          <m:t>569</m:t>
        </m:r>
        <m:r>
          <m:rPr>
            <m:nor/>
            <m:sty m:val="p"/>
          </m:rPr>
          <m:t> segundos</m:t>
        </m:r>
      </m:oMath>
      <w:r>
        <w:t xml:space="preserve"> </w:t>
      </w:r>
      <w:r>
        <w:t xml:space="preserve">en hardware de consumo ordinario.</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90"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3</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3: Métricas de desempeño en el test ciego out-of-time (2024–2025,</w:t>
            </w:r>
            <w:r>
              <w:t xml:space="preserve"> </w:t>
            </w:r>
            <m:oMath>
              <m:r>
                <m:t>N</m:t>
              </m:r>
              <m:r>
                <m:rPr>
                  <m:sty m:val="p"/>
                </m:rPr>
                <m:t>=</m:t>
              </m:r>
              <m:r>
                <m:t>1.813</m:t>
              </m:r>
              <m:r>
                <m:t>.966</m:t>
              </m:r>
            </m:oMath>
            <w:r>
              <w:t xml:space="preserve"> </w:t>
            </w:r>
            <w:r>
              <w:t xml:space="preserve">celda-días en total: 376.552 de ignición y 1.437.414 de propagación).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23.10</w:t>
                  </w:r>
                </w:p>
              </w:tc>
              <w:tc>
                <w:tcPr/>
                <w:p>
                  <w:pPr>
                    <w:pStyle w:val="Compact"/>
                    <w:jc w:val="left"/>
                    <w:jc w:val="center"/>
                  </w:pPr>
                  <w:r>
                    <w:t xml:space="preserve">40.08</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84.94</w:t>
                  </w:r>
                </w:p>
              </w:tc>
              <w:tc>
                <w:tcPr/>
                <w:p>
                  <w:pPr>
                    <w:pStyle w:val="Compact"/>
                    <w:jc w:val="left"/>
                    <w:jc w:val="center"/>
                  </w:pPr>
                  <w:r>
                    <w:t xml:space="preserve">50.33</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24.49</w:t>
                  </w:r>
                </w:p>
              </w:tc>
              <w:tc>
                <w:tcPr/>
                <w:p>
                  <w:pPr>
                    <w:pStyle w:val="Compact"/>
                    <w:jc w:val="left"/>
                    <w:jc w:val="center"/>
                  </w:pPr>
                  <w:r>
                    <w:t xml:space="preserve">21.52</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62.42</w:t>
                  </w:r>
                </w:p>
              </w:tc>
              <w:tc>
                <w:tcPr/>
                <w:p>
                  <w:pPr>
                    <w:pStyle w:val="Compact"/>
                    <w:jc w:val="left"/>
                    <w:jc w:val="center"/>
                  </w:pPr>
                  <w:r>
                    <w:t xml:space="preserve">20.55</w:t>
                  </w:r>
                </w:p>
              </w:tc>
              <w:tc>
                <w:tcPr/>
                <w:p>
                  <w:pPr>
                    <w:pStyle w:val="Compact"/>
                    <w:jc w:val="left"/>
                    <w:jc w:val="center"/>
                  </w:pPr>
                  <w:r>
                    <w:t xml:space="preserve">0.0697</w:t>
                  </w:r>
                </w:p>
              </w:tc>
            </w:tr>
          </w:tbl>
          <w:bookmarkEnd w:id="49"/>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8989</m:t>
        </m:r>
      </m:oMath>
      <w:r>
        <w:t xml:space="preserve"> </w:t>
      </w:r>
      <w:r>
        <w:t xml:space="preserve">(</w:t>
      </w:r>
      <m:oMath>
        <m:r>
          <m:rPr>
            <m:sty m:val="p"/>
          </m:rPr>
          <m:t>[</m:t>
        </m:r>
        <m:r>
          <m:t>0</m:t>
        </m:r>
        <m:r>
          <m:rPr>
            <m:sty m:val="p"/>
          </m:rPr>
          <m:t>,</m:t>
        </m:r>
        <m:r>
          <m:t>894</m:t>
        </m:r>
        <m:r>
          <m:rPr>
            <m:sty m:val="p"/>
          </m:rPr>
          <m:t>−</m:t>
        </m:r>
        <m:r>
          <m:t>0</m:t>
        </m:r>
        <m:r>
          <m:rPr>
            <m:sty m:val="p"/>
          </m:rPr>
          <m:t>,</m:t>
        </m:r>
        <m:r>
          <m:t>904</m:t>
        </m:r>
        <m:r>
          <m:rPr>
            <m:sty m:val="p"/>
          </m:rPr>
          <m:t>]</m:t>
        </m:r>
      </m:oMath>
      <w:r>
        <w:t xml:space="preserve">), un PR-AUC de</w:t>
      </w:r>
      <w:r>
        <w:t xml:space="preserve"> </w:t>
      </w:r>
      <m:oMath>
        <m:r>
          <m:t>0</m:t>
        </m:r>
        <m:r>
          <m:rPr>
            <m:sty m:val="p"/>
          </m:rPr>
          <m:t>,</m:t>
        </m:r>
        <m:r>
          <m:t>6831</m:t>
        </m:r>
      </m:oMath>
      <w:r>
        <w:t xml:space="preserve"> </w:t>
      </w:r>
      <w:r>
        <w:t xml:space="preserve">y una precisión táctica case-control del</w:t>
      </w:r>
      <w:r>
        <w:t xml:space="preserve"> </w:t>
      </w:r>
      <m:oMath>
        <m:r>
          <m:t>84</m:t>
        </m:r>
        <m:r>
          <m:rPr>
            <m:sty m:val="p"/>
          </m:rPr>
          <m:t>,</m:t>
        </m:r>
        <m:r>
          <m:t>94</m:t>
        </m:r>
        <m:r>
          <m:rPr>
            <m:nor/>
            <m:sty m:val="p"/>
          </m:rPr>
          <m:t> %</m:t>
        </m:r>
      </m:oMath>
      <w:r>
        <w:t xml:space="preserve">, con pocas falsas alarmas en esa muestra. En la Región Oriental, la precisión táctica case-control bajo corte optimizado asciende al</w:t>
      </w:r>
      <w:r>
        <w:t xml:space="preserve"> </w:t>
      </w:r>
      <m:oMath>
        <m:r>
          <m:t>62</m:t>
        </m:r>
        <m:r>
          <m:rPr>
            <m:sty m:val="p"/>
          </m:rPr>
          <m:t>,</m:t>
        </m:r>
        <m:r>
          <m:t>42</m:t>
        </m:r>
        <m:r>
          <m:rPr>
            <m:nor/>
            <m:sty m:val="p"/>
          </m:rPr>
          <m:t> %</m:t>
        </m:r>
      </m:oMath>
      <w:r>
        <w:t xml:space="preserve"> </w:t>
      </w:r>
      <w:r>
        <w:t xml:space="preserve">con un ROC-AUC de</w:t>
      </w:r>
      <w:r>
        <w:t xml:space="preserve"> </w:t>
      </w:r>
      <m:oMath>
        <m:r>
          <m:t>0</m:t>
        </m:r>
        <m:r>
          <m:rPr>
            <m:sty m:val="p"/>
          </m:rPr>
          <m:t>,</m:t>
        </m:r>
        <m:r>
          <m:t>7799</m:t>
        </m:r>
      </m:oMath>
      <w:r>
        <w:t xml:space="preserve"> </w:t>
      </w:r>
      <w:r>
        <w:t xml:space="preserve">(</w:t>
      </w:r>
      <m:oMath>
        <m:r>
          <m:rPr>
            <m:sty m:val="p"/>
          </m:rPr>
          <m:t>[</m:t>
        </m:r>
        <m:r>
          <m:t>0</m:t>
        </m:r>
        <m:r>
          <m:rPr>
            <m:sty m:val="p"/>
          </m:rPr>
          <m:t>,</m:t>
        </m:r>
        <m:r>
          <m:t>773</m:t>
        </m:r>
        <m:r>
          <m:rPr>
            <m:sty m:val="p"/>
          </m:rPr>
          <m:t>−</m:t>
        </m:r>
        <m:r>
          <m:t>0</m:t>
        </m:r>
        <m:r>
          <m:rPr>
            <m:sty m:val="p"/>
          </m:rPr>
          <m:t>,</m:t>
        </m:r>
        <m:r>
          <m:t>788</m:t>
        </m:r>
        <m:r>
          <m:rPr>
            <m:sty m:val="p"/>
          </m:rPr>
          <m:t>]</m:t>
        </m:r>
      </m:oMath>
      <w:r>
        <w:t xml:space="preserve">) y PR-AUC de</w:t>
      </w:r>
      <w:r>
        <w:t xml:space="preserve"> </w:t>
      </w:r>
      <m:oMath>
        <m:r>
          <m:t>0</m:t>
        </m:r>
        <m:r>
          <m:rPr>
            <m:sty m:val="p"/>
          </m:rPr>
          <m:t>,</m:t>
        </m:r>
        <m:r>
          <m:t>3651</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7851</m:t>
        </m:r>
      </m:oMath>
      <w:r>
        <w:t xml:space="preserve"> </w:t>
      </w:r>
      <w:r>
        <w:t xml:space="preserve">(</w:t>
      </w:r>
      <m:oMath>
        <m:r>
          <m:rPr>
            <m:sty m:val="p"/>
          </m:rPr>
          <m:t>[</m:t>
        </m:r>
        <m:r>
          <m:t>0</m:t>
        </m:r>
        <m:r>
          <m:rPr>
            <m:sty m:val="p"/>
          </m:rPr>
          <m:t>,</m:t>
        </m:r>
        <m:r>
          <m:t>779</m:t>
        </m:r>
        <m:r>
          <m:rPr>
            <m:sty m:val="p"/>
          </m:rPr>
          <m:t>−</m:t>
        </m:r>
        <m:r>
          <m:t>0</m:t>
        </m:r>
        <m:r>
          <m:rPr>
            <m:sty m:val="p"/>
          </m:rPr>
          <m:t>,</m:t>
        </m:r>
        <m:r>
          <m:t>791</m:t>
        </m:r>
        <m:r>
          <m:rPr>
            <m:sty m:val="p"/>
          </m:rPr>
          <m:t>]</m:t>
        </m:r>
      </m:oMath>
      <w:r>
        <w:t xml:space="preserve">) en el Chaco y un ROC-AUC de</w:t>
      </w:r>
      <w:r>
        <w:t xml:space="preserve"> </w:t>
      </w:r>
      <m:oMath>
        <m:r>
          <m:t>0</m:t>
        </m:r>
        <m:r>
          <m:rPr>
            <m:sty m:val="p"/>
          </m:rPr>
          <m:t>,</m:t>
        </m:r>
        <m:r>
          <m:t>7485</m:t>
        </m:r>
      </m:oMath>
      <w:r>
        <w:t xml:space="preserve"> </w:t>
      </w:r>
      <w:r>
        <w:t xml:space="preserve">(</w:t>
      </w:r>
      <m:oMath>
        <m:r>
          <m:rPr>
            <m:sty m:val="p"/>
          </m:rPr>
          <m:t>[</m:t>
        </m:r>
        <m:r>
          <m:t>0</m:t>
        </m:r>
        <m:r>
          <m:rPr>
            <m:sty m:val="p"/>
          </m:rPr>
          <m:t>,</m:t>
        </m:r>
        <m:r>
          <m:t>742</m:t>
        </m:r>
        <m:r>
          <m:rPr>
            <m:sty m:val="p"/>
          </m:rPr>
          <m:t>−</m:t>
        </m:r>
        <m:r>
          <m:t>0</m:t>
        </m:r>
        <m:r>
          <m:rPr>
            <m:sty m:val="p"/>
          </m:rPr>
          <m:t>,</m:t>
        </m:r>
        <m:r>
          <m:t>754</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w:t>
      </w:r>
      <w:r>
        <w:t xml:space="preserve">(reduciendo los falsos positivos a</w:t>
      </w:r>
      <w:r>
        <w:t xml:space="preserve"> </w:t>
      </w:r>
      <m:oMath>
        <m:r>
          <m:t>13.011</m:t>
        </m:r>
      </m:oMath>
      <w:r>
        <w:t xml:space="preserve"> </w:t>
      </w:r>
      <w:r>
        <w:t xml:space="preserve">en Chaco y</w:t>
      </w:r>
      <w:r>
        <w:t xml:space="preserve"> </w:t>
      </w:r>
      <m:oMath>
        <m:r>
          <m:t>8.787</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0110</m:t>
        </m:r>
      </m:oMath>
      <w:r>
        <w:t xml:space="preserve"> </w:t>
      </w:r>
      <w:r>
        <w:t xml:space="preserve">y</w:t>
      </w:r>
      <w:r>
        <w:t xml:space="preserve"> </w:t>
      </w:r>
      <m:oMath>
        <m:r>
          <m:t>0</m:t>
        </m:r>
        <m:r>
          <m:rPr>
            <m:sty m:val="p"/>
          </m:rPr>
          <m:t>,</m:t>
        </m:r>
        <m:r>
          <m:t>0065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0123</m:t>
        </m:r>
      </m:oMath>
      <w:r>
        <w:t xml:space="preserve"> </w:t>
      </w:r>
      <w:r>
        <w:t xml:space="preserve">y</w:t>
      </w:r>
      <w:r>
        <w:t xml:space="preserve"> </w:t>
      </w:r>
      <m:oMath>
        <m:r>
          <m:t>0</m:t>
        </m:r>
        <m:r>
          <m:rPr>
            <m:sty m:val="p"/>
          </m:rPr>
          <m:t>,</m:t>
        </m:r>
        <m:r>
          <m:t>0052</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3114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3"/>
        </w:tc>
      </w:tr>
    </w:tbl>
    <w:bookmarkEnd w:id="54"/>
    <w:bookmarkStart w:id="67"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4</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bootstrap agrupado por fecha (</w:t>
      </w:r>
      <m:oMath>
        <m:r>
          <m:t>B</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4: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0.0735</w:t>
                  </w:r>
                </w:p>
              </w:tc>
              <w:tc>
                <w:tcPr/>
                <w:p>
                  <w:pPr>
                    <w:pStyle w:val="Compact"/>
                    <w:jc w:val="left"/>
                    <w:jc w:val="center"/>
                  </w:pPr>
                  <w:r>
                    <w:t xml:space="preserve">8,787</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0.0583</w:t>
                  </w:r>
                </w:p>
              </w:tc>
              <w:tc>
                <w:tcPr/>
                <w:p>
                  <w:pPr>
                    <w:pStyle w:val="Compact"/>
                    <w:jc w:val="left"/>
                    <w:jc w:val="center"/>
                  </w:pPr>
                  <w:r>
                    <w:t xml:space="preserve">12,060</w:t>
                  </w:r>
                </w:p>
              </w:tc>
            </w:tr>
            <w:tr>
              <w:tc>
                <w:tcPr/>
                <w:p>
                  <w:pPr>
                    <w:pStyle w:val="Compact"/>
                    <w:jc w:val="left"/>
                    <w:jc w:val="center"/>
                  </w:pPr>
                  <w:r>
                    <w:t xml:space="preserve">Oriental</w:t>
                  </w:r>
                </w:p>
              </w:tc>
              <w:tc>
                <w:tcPr/>
                <w:p>
                  <w:pPr>
                    <w:pStyle w:val="Compact"/>
                    <w:jc w:val="left"/>
                    <w:jc w:val="center"/>
                  </w:pPr>
                  <w:r>
                    <w:t xml:space="preserve">Canadian FWI completo</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left"/>
                    <w:jc w:val="center"/>
                  </w:pPr>
                  <w:r>
                    <w:t xml:space="preserve">0.4994 [0.489 - 0.510]</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142,453</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0.1572</w:t>
                  </w:r>
                </w:p>
              </w:tc>
              <w:tc>
                <w:tcPr/>
                <w:p>
                  <w:pPr>
                    <w:pStyle w:val="Compact"/>
                    <w:jc w:val="left"/>
                    <w:jc w:val="center"/>
                  </w:pPr>
                  <w:r>
                    <w:t xml:space="preserve">9,681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0.0896</w:t>
                  </w:r>
                </w:p>
              </w:tc>
              <w:tc>
                <w:tcPr/>
                <w:p>
                  <w:pPr>
                    <w:pStyle w:val="Compact"/>
                    <w:jc w:val="left"/>
                    <w:jc w:val="center"/>
                  </w:pPr>
                  <w:r>
                    <w:t xml:space="preserve">13,011</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0.0748</w:t>
                  </w:r>
                </w:p>
              </w:tc>
              <w:tc>
                <w:tcPr/>
                <w:p>
                  <w:pPr>
                    <w:pStyle w:val="Compact"/>
                    <w:jc w:val="left"/>
                    <w:jc w:val="center"/>
                  </w:pPr>
                  <w:r>
                    <w:t xml:space="preserve">21,425</w:t>
                  </w:r>
                </w:p>
              </w:tc>
            </w:tr>
            <w:tr>
              <w:tc>
                <w:tcPr/>
                <w:p>
                  <w:pPr>
                    <w:pStyle w:val="Compact"/>
                    <w:jc w:val="left"/>
                    <w:jc w:val="center"/>
                  </w:pPr>
                  <w:r>
                    <w:t xml:space="preserve">Chaco</w:t>
                  </w:r>
                </w:p>
              </w:tc>
              <w:tc>
                <w:tcPr/>
                <w:p>
                  <w:pPr>
                    <w:pStyle w:val="Compact"/>
                    <w:jc w:val="left"/>
                    <w:jc w:val="center"/>
                  </w:pPr>
                  <w:r>
                    <w:t xml:space="preserve">Canadian FWI completo</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left"/>
                    <w:jc w:val="center"/>
                  </w:pPr>
                  <w:r>
                    <w:t xml:space="preserve">0.5386 [0.528 - 0.549]</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15,910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0.4586</w:t>
                  </w:r>
                </w:p>
              </w:tc>
              <w:tc>
                <w:tcPr/>
                <w:p>
                  <w:pPr>
                    <w:pStyle w:val="Compact"/>
                    <w:jc w:val="left"/>
                    <w:jc w:val="center"/>
                  </w:pPr>
                  <w:r>
                    <w:t xml:space="preserve">4,677</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bl>
          <w:bookmarkEnd w:id="55"/>
          <w:p/>
        </w:tc>
      </w:tr>
    </w:tbl>
    <w:p>
      <w:pPr>
        <w:pStyle w:val="BodyText"/>
      </w:pPr>
      <w:r>
        <w:t xml:space="preserve">Se realizó un bootstrap pareado agrupado por fecha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INPE Risco de Fogo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5</w:t>
        </w:r>
      </w:hyperlink>
      <w:r>
        <w:t xml:space="preserve">. El bloque temporal reduce la dependencia entre días, pero no corrige el sesgo de prevalencia ni la dependencia espacial residual;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6" w:name="tbl-significancia"/>
          <w:p>
            <w:pPr>
              <w:jc w:val="center"/>
            </w:pPr>
            <w:pPr>
              <w:jc w:val="left"/>
              <w:spacing w:before="200"/>
              <w:pStyle w:val="ImageCaption"/>
            </w:pPr>
            <w:r>
              <w:t xml:space="preserve">Tabla 5: Pruebas pareadas de diferencia de ROC-AUC mediante bootstrap agrupado por fecha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completo</w:t>
                  </w:r>
                </w:p>
              </w:tc>
              <w:tc>
                <w:tcPr/>
                <w:p>
                  <w:pPr>
                    <w:pStyle w:val="Compact"/>
                    <w:jc w:val="left"/>
                    <w:jc w:val="center"/>
                  </w:pPr>
                  <w:r>
                    <w:t xml:space="preserve">+0.1916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INPE Risco de Fogo</w:t>
                  </w:r>
                </w:p>
              </w:tc>
              <w:tc>
                <w:tcPr/>
                <w:p>
                  <w:pPr>
                    <w:pStyle w:val="Compact"/>
                    <w:jc w:val="left"/>
                    <w:jc w:val="center"/>
                  </w:pPr>
                  <w:r>
                    <w:t xml:space="preserve">+0.2492</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completo</w:t>
                  </w:r>
                </w:p>
              </w:tc>
              <w:tc>
                <w:tcPr/>
                <w:p>
                  <w:pPr>
                    <w:pStyle w:val="Compact"/>
                    <w:jc w:val="left"/>
                    <w:jc w:val="center"/>
                  </w:pPr>
                  <w:r>
                    <w:t xml:space="preserve">+0.2667</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INPE Risco de Fogo</w:t>
                  </w:r>
                </w:p>
              </w:tc>
              <w:tc>
                <w:tcPr/>
                <w:p>
                  <w:pPr>
                    <w:pStyle w:val="Compact"/>
                    <w:jc w:val="left"/>
                    <w:jc w:val="center"/>
                  </w:pPr>
                  <w:r>
                    <w:t xml:space="preserve">+0.2465</w:t>
                  </w:r>
                </w:p>
              </w:tc>
              <w:tc>
                <w:tcPr/>
                <w:p>
                  <w:pPr>
                    <w:pStyle w:val="Compact"/>
                    <w:jc w:val="left"/>
                    <w:jc w:val="center"/>
                  </w:pPr>
                  <w:r>
                    <w:t xml:space="preserve">≤0,001</w:t>
                  </w:r>
                </w:p>
              </w:tc>
            </w:tr>
          </w:tbl>
          <w:bookmarkEnd w:id="56"/>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w:t>
      </w:r>
      <w:r>
        <w:t xml:space="preserve"> </w:t>
      </w:r>
      <m:oMath>
        <m:sSub>
          <m:e>
            <m:r>
              <m:rPr>
                <m:scr m:val="script"/>
                <m:sty m:val="p"/>
              </m:rPr>
              <m:t>M</m:t>
            </m:r>
          </m:e>
          <m:sub>
            <m:r>
              <m:t>3</m:t>
            </m:r>
          </m:sub>
        </m:sSub>
      </m:oMath>
      <w:r>
        <w:t xml:space="preserve"> </w:t>
      </w:r>
      <w:r>
        <w:t xml:space="preserve">supera al Canadian FWI completo por</w:t>
      </w:r>
      <w:r>
        <w:t xml:space="preserve"> </w:t>
      </w:r>
      <m:oMath>
        <m:r>
          <m:rPr>
            <m:sty m:val="p"/>
          </m:rPr>
          <m:t>Δ</m:t>
        </m:r>
        <m:r>
          <m:rPr>
            <m:nor/>
            <m:sty m:val="p"/>
          </m:rPr>
          <m:t>ROC</m:t>
        </m:r>
        <m:r>
          <m:rPr>
            <m:sty m:val="p"/>
          </m:rPr>
          <m:t>=</m:t>
        </m:r>
        <m:r>
          <m:rPr>
            <m:sty m:val="p"/>
          </m:rPr>
          <m:t>+</m:t>
        </m:r>
        <m:r>
          <m:t>0</m:t>
        </m:r>
        <m:r>
          <m:rPr>
            <m:sty m:val="p"/>
          </m:rPr>
          <m:t>,</m:t>
        </m:r>
        <m:r>
          <m:t>2667</m:t>
        </m:r>
      </m:oMath>
      <w:r>
        <w:t xml:space="preserve"> </w:t>
      </w:r>
      <w:r>
        <w:t xml:space="preserve">y al INPE Risco de Fogo por</w:t>
      </w:r>
      <w:r>
        <w:t xml:space="preserve"> </w:t>
      </w:r>
      <m:oMath>
        <m:r>
          <m:rPr>
            <m:sty m:val="p"/>
          </m:rPr>
          <m:t>+</m:t>
        </m:r>
        <m:r>
          <m:t>0</m:t>
        </m:r>
        <m:r>
          <m:rPr>
            <m:sty m:val="p"/>
          </m:rPr>
          <m:t>,</m:t>
        </m:r>
        <m:r>
          <m:t>2465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13.011</m:t>
        </m:r>
      </m:oMath>
      <w:r>
        <w:t xml:space="preserve"> </w:t>
      </w:r>
      <w:r>
        <w:t xml:space="preserve">(</w:t>
      </w:r>
      <m:oMath>
        <m:sSub>
          <m:e>
            <m:r>
              <m:rPr>
                <m:scr m:val="script"/>
                <m:sty m:val="p"/>
              </m:rPr>
              <m:t>M</m:t>
            </m:r>
          </m:e>
          <m:sub>
            <m:r>
              <m:t>3</m:t>
            </m:r>
          </m:sub>
        </m:sSub>
      </m:oMath>
      <w:r>
        <w:t xml:space="preserve">),</w:t>
      </w:r>
      <w:r>
        <w:t xml:space="preserve"> </w:t>
      </w:r>
      <m:oMath>
        <m:r>
          <m:t>21.425</m:t>
        </m:r>
      </m:oMath>
      <w:r>
        <w:t xml:space="preserve"> </w:t>
      </w:r>
      <w:r>
        <w:t xml:space="preserve">(</w:t>
      </w:r>
      <m:oMath>
        <m:sSub>
          <m:e>
            <m:r>
              <m:rPr>
                <m:scr m:val="script"/>
                <m:sty m:val="p"/>
              </m:rPr>
              <m:t>M</m:t>
            </m:r>
          </m:e>
          <m:sub>
            <m:r>
              <m:t>2</m:t>
            </m:r>
          </m:sub>
        </m:sSub>
      </m:oMath>
      <w:r>
        <w:t xml:space="preserve">),</w:t>
      </w:r>
      <w:r>
        <w:t xml:space="preserve"> </w:t>
      </w:r>
      <m:oMath>
        <m:r>
          <m:t>15.910</m:t>
        </m:r>
      </m:oMath>
      <w:r>
        <w:t xml:space="preserve"> </w:t>
      </w:r>
      <w:r>
        <w:t xml:space="preserve">(INPE) y</w:t>
      </w:r>
      <w:r>
        <w:t xml:space="preserve"> </w:t>
      </w:r>
      <m:oMath>
        <m:r>
          <m:t>150.654</m:t>
        </m:r>
      </m:oMath>
      <w:r>
        <w:t xml:space="preserve"> </w:t>
      </w:r>
      <w:r>
        <w:t xml:space="preserve">(FWI).</w:t>
      </w:r>
      <w:r>
        <w:t xml:space="preserve"> </w:t>
      </w:r>
      <w:r>
        <w:t xml:space="preserve">- En la</w:t>
      </w:r>
      <w:r>
        <w:t xml:space="preserve"> </w:t>
      </w:r>
      <w:r>
        <w:rPr>
          <w:b/>
          <w:bCs/>
        </w:rPr>
        <w:t xml:space="preserve">Región Oriental</w:t>
      </w:r>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1916</m:t>
        </m:r>
      </m:oMath>
      <w:r>
        <w:t xml:space="preserve"> </w:t>
      </w:r>
      <w:r>
        <w:t xml:space="preserve">y al INPE por</w:t>
      </w:r>
      <w:r>
        <w:t xml:space="preserve"> </w:t>
      </w:r>
      <m:oMath>
        <m:r>
          <m:rPr>
            <m:sty m:val="p"/>
          </m:rPr>
          <m:t>+</m:t>
        </m:r>
        <m:r>
          <m:t>0</m:t>
        </m:r>
        <m:r>
          <m:rPr>
            <m:sty m:val="p"/>
          </m:rPr>
          <m:t>,</m:t>
        </m:r>
        <m:r>
          <m:t>2492</m:t>
        </m:r>
      </m:oMath>
      <w:r>
        <w:t xml:space="preserve">. Los falsos positivos case-control son</w:t>
      </w:r>
      <w:r>
        <w:t xml:space="preserve"> </w:t>
      </w:r>
      <m:oMath>
        <m:r>
          <m:t>8.787</m:t>
        </m:r>
      </m:oMath>
      <w:r>
        <w:t xml:space="preserve"> </w:t>
      </w:r>
      <w:r>
        <w:t xml:space="preserve">(</w:t>
      </w:r>
      <m:oMath>
        <m:sSub>
          <m:e>
            <m:r>
              <m:rPr>
                <m:scr m:val="script"/>
                <m:sty m:val="p"/>
              </m:rPr>
              <m:t>M</m:t>
            </m:r>
          </m:e>
          <m:sub>
            <m:r>
              <m:t>3</m:t>
            </m:r>
          </m:sub>
        </m:sSub>
      </m:oMath>
      <w:r>
        <w:t xml:space="preserve">),</w:t>
      </w:r>
      <w:r>
        <w:t xml:space="preserve"> </w:t>
      </w:r>
      <m:oMath>
        <m:r>
          <m:t>12.060</m:t>
        </m:r>
      </m:oMath>
      <w:r>
        <w:t xml:space="preserve"> </w:t>
      </w:r>
      <w:r>
        <w:t xml:space="preserve">(</w:t>
      </w:r>
      <m:oMath>
        <m:sSub>
          <m:e>
            <m:r>
              <m:rPr>
                <m:scr m:val="script"/>
                <m:sty m:val="p"/>
              </m:rPr>
              <m:t>M</m:t>
            </m:r>
          </m:e>
          <m:sub>
            <m:r>
              <m:t>2</m:t>
            </m:r>
          </m:sub>
        </m:sSub>
      </m:oMath>
      <w:r>
        <w:t xml:space="preserve">),</w:t>
      </w:r>
      <w:r>
        <w:t xml:space="preserve"> </w:t>
      </w:r>
      <m:oMath>
        <m:r>
          <m:t>142.453</m:t>
        </m:r>
      </m:oMath>
      <w:r>
        <w:t xml:space="preserve"> </w:t>
      </w:r>
      <w:r>
        <w:t xml:space="preserve">(INPE) y</w:t>
      </w:r>
      <w:r>
        <w:t xml:space="preserve"> </w:t>
      </w:r>
      <m:oMath>
        <m:r>
          <m:t>52.650</m:t>
        </m:r>
      </m:oMath>
      <w:r>
        <w:t xml:space="preserve"> </w:t>
      </w:r>
      <w:r>
        <w:t xml:space="preserve">(FWI).</w:t>
      </w:r>
      <w:r>
        <w:t xml:space="preserve"> </w:t>
      </w:r>
      <w:r>
        <w:t xml:space="preserve">- Estas cifras son case-control (~9,09 % de prevalencia). La evaluación poblacional (Tabla Suplementaria S6) muestra precisiones de 0,062 %/0,206 % para</w:t>
      </w:r>
      <w:r>
        <w:t xml:space="preserve"> </w:t>
      </w:r>
      <m:oMath>
        <m:sSub>
          <m:e>
            <m:r>
              <m:rPr>
                <m:scr m:val="script"/>
                <m:sty m:val="p"/>
              </m:rPr>
              <m:t>M</m:t>
            </m:r>
          </m:e>
          <m:sub>
            <m:r>
              <m:t>3</m:t>
            </m:r>
          </m:sub>
        </m:sSub>
      </m:oMath>
      <w:r>
        <w:t xml:space="preserve"> </w:t>
      </w:r>
      <w:r>
        <w:t xml:space="preserve">y 9,96 %/4,49 %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60" w:name="fig-benchmark-curvas"/>
          <w:p>
            <w:pPr>
              <w:pStyle w:val="Compact"/>
              <w:jc w:val="center"/>
            </w:pPr>
            <w:r>
              <w:drawing>
                <wp:inline>
                  <wp:extent cx="5334000" cy="3911600"/>
                  <wp:effectExtent b="0" l="0" r="0" t="0"/>
                  <wp:docPr descr="" title="" id="58" name="Picture"/>
                  <a:graphic>
                    <a:graphicData uri="http://schemas.openxmlformats.org/drawingml/2006/picture">
                      <pic:pic>
                        <pic:nvPicPr>
                          <pic:cNvPr descr="figuras/fig05_benchmarking_curvas_roc_pr.png" id="59" name="Picture"/>
                          <pic:cNvPicPr>
                            <a:picLocks noChangeArrowheads="1" noChangeAspect="1"/>
                          </pic:cNvPicPr>
                        </pic:nvPicPr>
                        <pic:blipFill>
                          <a:blip r:embed="rId57"/>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60"/>
        </w:tc>
      </w:tr>
    </w:tbl>
    <w:bookmarkStart w:id="66"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6</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61" w:name="tbl-ablacion"/>
          <w:p>
            <w:pPr>
              <w:jc w:val="center"/>
            </w:pPr>
            <w:pPr>
              <w:jc w:val="left"/>
              <w:spacing w:before="200"/>
              <w:pStyle w:val="ImageCaption"/>
            </w:pPr>
            <w:r>
              <w:t xml:space="preserve">Tabla 6: Ablación controlada: M1, M2-v1 y M3 usan la misma capacidad (45/60 rounds, 23/31 hojas); M2-v1 es un reentrenamiento controlado distinto del M2 operativo de la</w:t>
            </w:r>
            <w:r>
              <w:t xml:space="preserve"> </w:t>
            </w:r>
            <w:hyperlink w:anchor="tbl-metricas">
              <w:r>
                <w:rPr>
                  <w:rStyle w:val="Hyperlink"/>
                </w:rPr>
                <w:t xml:space="preserve">Tabla 3</w:t>
              </w:r>
            </w:hyperlink>
            <w:r>
              <w:t xml:space="preserve">. El M3 de la ablación se reentrenó con esa capacidad y puede diferir marginalmente en IC y falsos positivos respecto a la</w:t>
            </w:r>
            <w:r>
              <w:t xml:space="preserve"> </w:t>
            </w:r>
            <w:hyperlink w:anchor="tbl-metricas">
              <w:r>
                <w:rPr>
                  <w:rStyle w:val="Hyperlink"/>
                </w:rPr>
                <w:t xml:space="preserve">Tabla 3</w:t>
              </w:r>
            </w:hyperlink>
            <w:r>
              <w:t xml:space="preserve">.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0.7851 [0.780 - 0.791]</w:t>
                  </w:r>
                </w:p>
              </w:tc>
              <w:tc>
                <w:tcPr/>
                <w:p>
                  <w:pPr>
                    <w:pStyle w:val="Compact"/>
                    <w:jc w:val="left"/>
                    <w:jc w:val="center"/>
                  </w:pPr>
                  <w:r>
                    <w:t xml:space="preserve">0.2410</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13,016</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0.7751 [0.769 - 0.781]</w:t>
                  </w:r>
                </w:p>
              </w:tc>
              <w:tc>
                <w:tcPr/>
                <w:p>
                  <w:pPr>
                    <w:pStyle w:val="Compact"/>
                    <w:jc w:val="left"/>
                    <w:jc w:val="center"/>
                  </w:pPr>
                  <w:r>
                    <w:t xml:space="preserve">0.2219</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0.0110</w:t>
                  </w:r>
                </w:p>
              </w:tc>
              <w:tc>
                <w:tcPr/>
                <w:p>
                  <w:pPr>
                    <w:pStyle w:val="Compact"/>
                    <w:jc w:val="left"/>
                    <w:jc w:val="center"/>
                  </w:pPr>
                  <w:r>
                    <w:t xml:space="preserve">23.27</w:t>
                  </w:r>
                </w:p>
              </w:tc>
              <w:tc>
                <w:tcPr/>
                <w:p>
                  <w:pPr>
                    <w:pStyle w:val="Compact"/>
                    <w:jc w:val="left"/>
                    <w:jc w:val="center"/>
                  </w:pPr>
                  <w:r>
                    <w:t xml:space="preserve">39.26</w:t>
                  </w:r>
                </w:p>
              </w:tc>
              <w:tc>
                <w:tcPr/>
                <w:p>
                  <w:pPr>
                    <w:pStyle w:val="Compact"/>
                    <w:jc w:val="left"/>
                    <w:jc w:val="center"/>
                  </w:pPr>
                  <w:r>
                    <w:t xml:space="preserve">20,787</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0.6287 [0.622 - 0.636]</w:t>
                  </w:r>
                </w:p>
              </w:tc>
              <w:tc>
                <w:tcPr/>
                <w:p>
                  <w:pPr>
                    <w:pStyle w:val="Compact"/>
                    <w:jc w:val="left"/>
                    <w:jc w:val="center"/>
                  </w:pPr>
                  <w:r>
                    <w:t xml:space="preserve">0.1515</w:t>
                  </w:r>
                </w:p>
              </w:tc>
              <w:tc>
                <w:tcPr/>
                <w:p>
                  <w:pPr>
                    <w:pStyle w:val="Compact"/>
                    <w:jc w:val="left"/>
                    <w:jc w:val="center"/>
                  </w:pPr>
                  <w:r>
                    <w:t xml:space="preserve">0.0809</w:t>
                  </w:r>
                </w:p>
              </w:tc>
              <w:tc>
                <w:tcPr/>
                <w:p>
                  <w:pPr>
                    <w:pStyle w:val="Compact"/>
                    <w:jc w:val="left"/>
                    <w:jc w:val="center"/>
                  </w:pPr>
                  <w:r>
                    <w:t xml:space="preserve">0.0207</w:t>
                  </w:r>
                </w:p>
              </w:tc>
              <w:tc>
                <w:tcPr/>
                <w:p>
                  <w:pPr>
                    <w:pStyle w:val="Compact"/>
                    <w:jc w:val="left"/>
                    <w:jc w:val="center"/>
                  </w:pPr>
                  <w:r>
                    <w:t xml:space="preserve">0.0106</w:t>
                  </w:r>
                </w:p>
              </w:tc>
              <w:tc>
                <w:tcPr/>
                <w:p>
                  <w:pPr>
                    <w:pStyle w:val="Compact"/>
                    <w:jc w:val="left"/>
                    <w:jc w:val="center"/>
                  </w:pPr>
                  <w:r>
                    <w:t xml:space="preserve">16.86</w:t>
                  </w:r>
                </w:p>
              </w:tc>
              <w:tc>
                <w:tcPr/>
                <w:p>
                  <w:pPr>
                    <w:pStyle w:val="Compact"/>
                    <w:jc w:val="left"/>
                    <w:jc w:val="center"/>
                  </w:pPr>
                  <w:r>
                    <w:t xml:space="preserve">17.38</w:t>
                  </w:r>
                </w:p>
              </w:tc>
              <w:tc>
                <w:tcPr/>
                <w:p>
                  <w:pPr>
                    <w:pStyle w:val="Compact"/>
                    <w:jc w:val="left"/>
                    <w:jc w:val="center"/>
                  </w:pPr>
                  <w:r>
                    <w:t xml:space="preserve">13,765</w:t>
                  </w:r>
                </w:p>
              </w:tc>
            </w:tr>
            <w:tr>
              <w:tc>
                <w:tcPr/>
                <w:p>
                  <w:pPr>
                    <w:pStyle w:val="Compact"/>
                    <w:jc w:val="left"/>
                    <w:jc w:val="center"/>
                  </w:pPr>
                  <w:r>
                    <w:t xml:space="preserve">Chaco</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9.29</w:t>
                  </w:r>
                </w:p>
              </w:tc>
              <w:tc>
                <w:tcPr/>
                <w:p>
                  <w:pPr>
                    <w:pStyle w:val="Compact"/>
                    <w:jc w:val="left"/>
                    <w:jc w:val="center"/>
                  </w:pPr>
                  <w:r>
                    <w:t xml:space="preserve">96.08</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0.5386 [0.527 - 0.548]</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11.60</w:t>
                  </w:r>
                </w:p>
              </w:tc>
              <w:tc>
                <w:tcPr/>
                <w:p>
                  <w:pPr>
                    <w:pStyle w:val="Compact"/>
                    <w:jc w:val="left"/>
                    <w:jc w:val="center"/>
                  </w:pPr>
                  <w:r>
                    <w:t xml:space="preserve">13.00</w:t>
                  </w:r>
                </w:p>
              </w:tc>
              <w:tc>
                <w:tcPr/>
                <w:p>
                  <w:pPr>
                    <w:pStyle w:val="Compact"/>
                    <w:jc w:val="left"/>
                    <w:jc w:val="center"/>
                  </w:pPr>
                  <w:r>
                    <w:t xml:space="preserve">15,910</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0.0766</w:t>
                  </w:r>
                </w:p>
              </w:tc>
              <w:tc>
                <w:tcPr/>
                <w:p>
                  <w:pPr>
                    <w:pStyle w:val="Compact"/>
                    <w:jc w:val="left"/>
                    <w:jc w:val="center"/>
                  </w:pPr>
                  <w:r>
                    <w:t xml:space="preserve">0.0735</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8,789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0.7340 [0.728 - 0.740]</w:t>
                  </w:r>
                </w:p>
              </w:tc>
              <w:tc>
                <w:tcPr/>
                <w:p>
                  <w:pPr>
                    <w:pStyle w:val="Compact"/>
                    <w:jc w:val="left"/>
                    <w:jc w:val="center"/>
                  </w:pPr>
                  <w:r>
                    <w:t xml:space="preserve">0.2044</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0.0053</w:t>
                  </w:r>
                </w:p>
              </w:tc>
              <w:tc>
                <w:tcPr/>
                <w:p>
                  <w:pPr>
                    <w:pStyle w:val="Compact"/>
                    <w:jc w:val="left"/>
                    <w:jc w:val="center"/>
                  </w:pPr>
                  <w:r>
                    <w:t xml:space="preserve">23.91</w:t>
                  </w:r>
                </w:p>
              </w:tc>
              <w:tc>
                <w:tcPr/>
                <w:p>
                  <w:pPr>
                    <w:pStyle w:val="Compact"/>
                    <w:jc w:val="left"/>
                    <w:jc w:val="center"/>
                  </w:pPr>
                  <w:r>
                    <w:t xml:space="preserve">24.24</w:t>
                  </w:r>
                </w:p>
              </w:tc>
              <w:tc>
                <w:tcPr/>
                <w:p>
                  <w:pPr>
                    <w:pStyle w:val="Compact"/>
                    <w:jc w:val="left"/>
                    <w:jc w:val="center"/>
                  </w:pPr>
                  <w:r>
                    <w:t xml:space="preserve">14,021</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0.6421 [0.634 - 0.650]</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0.0031</w:t>
                  </w:r>
                </w:p>
              </w:tc>
              <w:tc>
                <w:tcPr/>
                <w:p>
                  <w:pPr>
                    <w:pStyle w:val="Compact"/>
                    <w:jc w:val="left"/>
                    <w:jc w:val="center"/>
                  </w:pPr>
                  <w:r>
                    <w:t xml:space="preserve">16.46</w:t>
                  </w:r>
                </w:p>
              </w:tc>
              <w:tc>
                <w:tcPr/>
                <w:p>
                  <w:pPr>
                    <w:pStyle w:val="Compact"/>
                    <w:jc w:val="left"/>
                    <w:jc w:val="center"/>
                  </w:pPr>
                  <w:r>
                    <w:t xml:space="preserve">21.86</w:t>
                  </w:r>
                </w:p>
              </w:tc>
              <w:tc>
                <w:tcPr/>
                <w:p>
                  <w:pPr>
                    <w:pStyle w:val="Compact"/>
                    <w:jc w:val="left"/>
                    <w:jc w:val="center"/>
                  </w:pPr>
                  <w:r>
                    <w:t xml:space="preserve">20,165</w:t>
                  </w:r>
                </w:p>
              </w:tc>
            </w:tr>
            <w:tr>
              <w:tc>
                <w:tcPr/>
                <w:p>
                  <w:pPr>
                    <w:pStyle w:val="Compact"/>
                    <w:jc w:val="left"/>
                    <w:jc w:val="center"/>
                  </w:pPr>
                  <w:r>
                    <w:t xml:space="preserve">Oriental</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10.98</w:t>
                  </w:r>
                </w:p>
              </w:tc>
              <w:tc>
                <w:tcPr/>
                <w:p>
                  <w:pPr>
                    <w:pStyle w:val="Compact"/>
                    <w:jc w:val="left"/>
                    <w:jc w:val="center"/>
                  </w:pPr>
                  <w:r>
                    <w:t xml:space="preserve">35.74</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0.4994 [0.489 - 0.509]</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9.24</w:t>
                  </w:r>
                </w:p>
              </w:tc>
              <w:tc>
                <w:tcPr/>
                <w:p>
                  <w:pPr>
                    <w:pStyle w:val="Compact"/>
                    <w:jc w:val="left"/>
                    <w:jc w:val="center"/>
                  </w:pPr>
                  <w:r>
                    <w:t xml:space="preserve">79.79</w:t>
                  </w:r>
                </w:p>
              </w:tc>
              <w:tc>
                <w:tcPr/>
                <w:p>
                  <w:pPr>
                    <w:pStyle w:val="Compact"/>
                    <w:jc w:val="left"/>
                    <w:jc w:val="center"/>
                  </w:pPr>
                  <w:r>
                    <w:t xml:space="preserve">142,453</w:t>
                  </w:r>
                </w:p>
              </w:tc>
            </w:tr>
          </w:tbl>
          <w:bookmarkEnd w:id="61"/>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6287</m:t>
        </m:r>
      </m:oMath>
      <w:r>
        <w:t xml:space="preserve"> </w:t>
      </w:r>
      <w:r>
        <w:t xml:space="preserve">vs. </w:t>
      </w:r>
      <m:oMath>
        <m:r>
          <m:t>0</m:t>
        </m:r>
        <m:r>
          <m:rPr>
            <m:sty m:val="p"/>
          </m:rPr>
          <m:t>,</m:t>
        </m:r>
        <m:r>
          <m:t>5185</m:t>
        </m:r>
      </m:oMath>
      <w:r>
        <w:t xml:space="preserve"> </w:t>
      </w:r>
      <w:r>
        <w:t xml:space="preserve">y</w:t>
      </w:r>
      <w:r>
        <w:t xml:space="preserve"> </w:t>
      </w:r>
      <m:oMath>
        <m:r>
          <m:t>0</m:t>
        </m:r>
        <m:r>
          <m:rPr>
            <m:sty m:val="p"/>
          </m:rPr>
          <m:t>,</m:t>
        </m:r>
        <m:r>
          <m:t>5386</m:t>
        </m:r>
      </m:oMath>
      <w:r>
        <w:t xml:space="preserve">;</w:t>
      </w:r>
      <w:r>
        <w:t xml:space="preserve"> </w:t>
      </w:r>
      <m:oMath>
        <m:r>
          <m:rPr>
            <m:nor/>
            <m:sty m:val="p"/>
          </m:rPr>
          <m:t>PR-AUC</m:t>
        </m:r>
        <m:r>
          <m:rPr>
            <m:sty m:val="p"/>
          </m:rPr>
          <m:t>=</m:t>
        </m:r>
        <m:r>
          <m:t>0</m:t>
        </m:r>
        <m:r>
          <m:rPr>
            <m:sty m:val="p"/>
          </m:rPr>
          <m:t>,</m:t>
        </m:r>
        <m:r>
          <m:t>1515</m:t>
        </m:r>
      </m:oMath>
      <w:r>
        <w:t xml:space="preserve"> </w:t>
      </w:r>
      <w:r>
        <w:t xml:space="preserve">vs. </w:t>
      </w:r>
      <m:oMath>
        <m:r>
          <m:t>0</m:t>
        </m:r>
        <m:r>
          <m:rPr>
            <m:sty m:val="p"/>
          </m:rPr>
          <m:t>,</m:t>
        </m:r>
        <m:r>
          <m:t>0960</m:t>
        </m:r>
      </m:oMath>
      <w:r>
        <w:t xml:space="preserve"> </w:t>
      </w:r>
      <w:r>
        <w:t xml:space="preserve">y</w:t>
      </w:r>
      <w:r>
        <w:t xml:space="preserve"> </w:t>
      </w:r>
      <m:oMath>
        <m:r>
          <m:t>0</m:t>
        </m:r>
        <m:r>
          <m:rPr>
            <m:sty m:val="p"/>
          </m:rPr>
          <m:t>,</m:t>
        </m:r>
        <m:r>
          <m:t>1030</m:t>
        </m:r>
      </m:oMath>
      <w:r>
        <w:t xml:space="preserve">), reduciendo las falsas alarmas case-control en un</w:t>
      </w:r>
      <w:r>
        <w:t xml:space="preserve"> </w:t>
      </w:r>
      <m:oMath>
        <m:r>
          <m:t>90</m:t>
        </m:r>
        <m:r>
          <m:rPr>
            <m:sty m:val="p"/>
          </m:rPr>
          <m:t>,</m:t>
        </m:r>
        <m:r>
          <m:t>9</m:t>
        </m:r>
        <m:r>
          <m:rPr>
            <m:nor/>
            <m:sty m:val="p"/>
          </m:rPr>
          <m:t> %</m:t>
        </m:r>
      </m:oMath>
      <w:r>
        <w:t xml:space="preserve"> </w:t>
      </w:r>
      <w:r>
        <w:t xml:space="preserve">respecto al FWI (</w:t>
      </w:r>
      <m:oMath>
        <m:r>
          <m:t>13.765</m:t>
        </m:r>
      </m:oMath>
      <w:r>
        <w:t xml:space="preserve"> </w:t>
      </w:r>
      <w:r>
        <w:t xml:space="preserve">vs. </w:t>
      </w:r>
      <m:oMath>
        <m:r>
          <m:t>150.654</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6287</m:t>
        </m:r>
        <m:r>
          <m:rPr>
            <m:sty m:val="p"/>
          </m:rPr>
          <m:t>→</m:t>
        </m:r>
        <m:r>
          <m:rPr>
            <m:sty m:val="b"/>
          </m:rPr>
          <m:t>0</m:t>
        </m:r>
        <m:r>
          <m:rPr>
            <m:sty m:val="b"/>
          </m:rPr>
          <m:t>,</m:t>
        </m:r>
        <m:r>
          <m:rPr>
            <m:sty m:val="b"/>
          </m:rPr>
          <m:t>7851</m:t>
        </m:r>
      </m:oMath>
      <w:r>
        <w:t xml:space="preserve"> </w:t>
      </w:r>
      <w:r>
        <w:t xml:space="preserve">en el Chaco (</w:t>
      </w:r>
      <m:oMath>
        <m:r>
          <m:rPr>
            <m:sty m:val="p"/>
          </m:rPr>
          <m:t>Δ</m:t>
        </m:r>
        <m:r>
          <m:rPr>
            <m:nor/>
            <m:sty m:val="p"/>
          </m:rPr>
          <m:t>ROC</m:t>
        </m:r>
        <m:r>
          <m:rPr>
            <m:sty m:val="p"/>
          </m:rPr>
          <m:t>=</m:t>
        </m:r>
        <m:r>
          <m:rPr>
            <m:sty m:val="p"/>
          </m:rPr>
          <m:t>+</m:t>
        </m:r>
        <m:r>
          <m:t>0</m:t>
        </m:r>
        <m:r>
          <m:rPr>
            <m:sty m:val="p"/>
          </m:rPr>
          <m:t>,</m:t>
        </m:r>
        <m:r>
          <m:t>1564</m:t>
        </m:r>
      </m:oMath>
      <w:r>
        <w:t xml:space="preserve">; PR-AUC</w:t>
      </w:r>
      <w:r>
        <w:t xml:space="preserve"> </w:t>
      </w:r>
      <m:oMath>
        <m:r>
          <m:t>0</m:t>
        </m:r>
        <m:r>
          <m:rPr>
            <m:sty m:val="p"/>
          </m:rPr>
          <m:t>,</m:t>
        </m:r>
        <m:r>
          <m:t>1515</m:t>
        </m:r>
        <m:r>
          <m:rPr>
            <m:sty m:val="p"/>
          </m:rPr>
          <m:t>→</m:t>
        </m:r>
        <m:r>
          <m:rPr>
            <m:sty m:val="b"/>
          </m:rPr>
          <m:t>0</m:t>
        </m:r>
        <m:r>
          <m:rPr>
            <m:sty m:val="b"/>
          </m:rPr>
          <m:t>,</m:t>
        </m:r>
        <m:r>
          <m:rPr>
            <m:sty m:val="b"/>
          </m:rPr>
          <m:t>2410</m:t>
        </m:r>
      </m:oMath>
      <w:r>
        <w:t xml:space="preserve">) y de</w:t>
      </w:r>
      <w:r>
        <w:t xml:space="preserve"> </w:t>
      </w:r>
      <m:oMath>
        <m:r>
          <m:t>0</m:t>
        </m:r>
        <m:r>
          <m:rPr>
            <m:sty m:val="p"/>
          </m:rPr>
          <m:t>,</m:t>
        </m:r>
        <m:r>
          <m:t>6421</m:t>
        </m:r>
        <m:r>
          <m:rPr>
            <m:sty m:val="p"/>
          </m:rPr>
          <m:t>→</m:t>
        </m:r>
        <m:r>
          <m:rPr>
            <m:sty m:val="b"/>
          </m:rPr>
          <m:t>0</m:t>
        </m:r>
        <m:r>
          <m:rPr>
            <m:sty m:val="b"/>
          </m:rPr>
          <m:t>,</m:t>
        </m:r>
        <m:r>
          <m:rPr>
            <m:sty m:val="b"/>
          </m:rPr>
          <m:t>7485</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1064</m:t>
        </m:r>
      </m:oMath>
      <w:r>
        <w:t xml:space="preserve">; PR-AUC</w:t>
      </w:r>
      <w:r>
        <w:t xml:space="preserve"> </w:t>
      </w:r>
      <m:oMath>
        <m:r>
          <m:t>0</m:t>
        </m:r>
        <m:r>
          <m:rPr>
            <m:sty m:val="p"/>
          </m:rPr>
          <m:t>,</m:t>
        </m:r>
        <m:r>
          <m:t>1422</m:t>
        </m:r>
        <m:r>
          <m:rPr>
            <m:sty m:val="p"/>
          </m:rPr>
          <m:t>→</m:t>
        </m:r>
        <m:r>
          <m:rPr>
            <m:sty m:val="b"/>
          </m:rPr>
          <m:t>0</m:t>
        </m:r>
        <m:r>
          <m:rPr>
            <m:sty m:val="b"/>
          </m:rPr>
          <m:t>,</m:t>
        </m:r>
        <m:r>
          <m:rPr>
            <m:sty m:val="b"/>
          </m:rPr>
          <m:t>2318</m:t>
        </m:r>
      </m:oMath>
      <w:r>
        <w:t xml:space="preserve">). Respecto a</w:t>
      </w:r>
      <w:r>
        <w:t xml:space="preserve"> </w:t>
      </w:r>
      <m:oMath>
        <m:sSub>
          <m:e>
            <m:r>
              <m:rPr>
                <m:scr m:val="script"/>
                <m:sty m:val="p"/>
              </m:rPr>
              <m:t>M</m:t>
            </m:r>
          </m:e>
          <m:sub>
            <m:r>
              <m:t>2</m:t>
            </m:r>
          </m:sub>
        </m:sSub>
      </m:oMath>
      <w:r>
        <w:t xml:space="preserve">-v1 (misma capacidad en la ablación),</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27</m:t>
        </m:r>
      </m:oMath>
      <w:r>
        <w:t xml:space="preserve"> </w:t>
      </w:r>
      <w:r>
        <w:t xml:space="preserve">puntos en el Chaco (</w:t>
      </w:r>
      <m:oMath>
        <m:r>
          <m:t>23</m:t>
        </m:r>
        <m:r>
          <m:rPr>
            <m:sty m:val="p"/>
          </m:rPr>
          <m:t>,</m:t>
        </m:r>
        <m:r>
          <m:t>27</m:t>
        </m:r>
        <m:r>
          <m:rPr>
            <m:sty m:val="p"/>
          </m:rPr>
          <m:t>→</m:t>
        </m:r>
        <m:r>
          <m:rPr>
            <m:sty m:val="b"/>
          </m:rPr>
          <m:t>27</m:t>
        </m:r>
        <m:r>
          <m:rPr>
            <m:sty m:val="b"/>
          </m:rPr>
          <m:t>,</m:t>
        </m:r>
        <m:r>
          <m:rPr>
            <m:sty m:val="b"/>
          </m:rPr>
          <m:t>54</m:t>
        </m:r>
      </m:oMath>
      <w:r>
        <w:t xml:space="preserve">) y</w:t>
      </w:r>
      <w:r>
        <w:t xml:space="preserve"> </w:t>
      </w:r>
      <m:oMath>
        <m:r>
          <m:rPr>
            <m:sty m:val="p"/>
          </m:rPr>
          <m:t>+</m:t>
        </m:r>
        <m:r>
          <m:t>5</m:t>
        </m:r>
        <m:r>
          <m:rPr>
            <m:sty m:val="p"/>
          </m:rPr>
          <m:t>,</m:t>
        </m:r>
        <m:r>
          <m:t>76</m:t>
        </m:r>
      </m:oMath>
      <w:r>
        <w:t xml:space="preserve"> </w:t>
      </w:r>
      <w:r>
        <w:t xml:space="preserve">puntos en Oriental (</w:t>
      </w:r>
      <m:oMath>
        <m:r>
          <m:t>23</m:t>
        </m:r>
        <m:r>
          <m:rPr>
            <m:sty m:val="p"/>
          </m:rPr>
          <m:t>,</m:t>
        </m:r>
        <m:r>
          <m:t>91</m:t>
        </m:r>
        <m:r>
          <m:rPr>
            <m:sty m:val="p"/>
          </m:rPr>
          <m:t>→</m:t>
        </m:r>
        <m:r>
          <m:rPr>
            <m:sty m:val="b"/>
          </m:rPr>
          <m:t>29</m:t>
        </m:r>
        <m:r>
          <m:rPr>
            <m:sty m:val="b"/>
          </m:rPr>
          <m:t>,</m:t>
        </m:r>
        <m:r>
          <m:rPr>
            <m:sty m:val="b"/>
          </m:rPr>
          <m:t>67</m:t>
        </m:r>
      </m:oMath>
      <w:r>
        <w:t xml:space="preserve">), con</w:t>
      </w:r>
      <w:r>
        <w:t xml:space="preserve"> </w:t>
      </w:r>
      <m:oMath>
        <m:r>
          <m:t>13.003</m:t>
        </m:r>
      </m:oMath>
      <w:r>
        <w:t xml:space="preserve"> </w:t>
      </w:r>
      <w:r>
        <w:t xml:space="preserve">falsos positivos menos en total (</w:t>
      </w:r>
      <m:oMath>
        <m:r>
          <m:t>7.771</m:t>
        </m:r>
      </m:oMath>
      <w:r>
        <w:t xml:space="preserve"> </w:t>
      </w:r>
      <w:r>
        <w:t xml:space="preserve">Chaco y</w:t>
      </w:r>
      <w:r>
        <w:t xml:space="preserve"> </w:t>
      </w:r>
      <m:oMath>
        <m:r>
          <m:t>5.232</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5" w:name="fig-ablacion-hibrido"/>
          <w:p>
            <w:pPr>
              <w:pStyle w:val="Compact"/>
              <w:jc w:val="center"/>
            </w:pPr>
            <w:r>
              <w:drawing>
                <wp:inline>
                  <wp:extent cx="5334000" cy="4191000"/>
                  <wp:effectExtent b="0" l="0" r="0" t="0"/>
                  <wp:docPr descr="" title="" id="63" name="Picture"/>
                  <a:graphic>
                    <a:graphicData uri="http://schemas.openxmlformats.org/drawingml/2006/picture">
                      <pic:pic>
                        <pic:nvPicPr>
                          <pic:cNvPr descr="figuras/fig07_ablacion_biofisico_vs_hibrido.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completo y INPE Risco de Fogo).</w:t>
            </w:r>
          </w:p>
          <w:bookmarkEnd w:id="65"/>
        </w:tc>
      </w:tr>
    </w:tbl>
    <w:bookmarkEnd w:id="66"/>
    <w:bookmarkEnd w:id="67"/>
    <w:bookmarkStart w:id="73"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7</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8" w:name="tbl-shap"/>
          <w:p>
            <w:pPr>
              <w:jc w:val="center"/>
            </w:pPr>
            <w:pPr>
              <w:jc w:val="left"/>
              <w:spacing w:before="200"/>
              <w:pStyle w:val="ImageCaption"/>
            </w:pPr>
            <w:r>
              <w:t xml:space="preserve">Tabla 7: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[0.468]</w:t>
                  </w:r>
                </w:p>
              </w:tc>
              <w:tc>
                <w:tcPr/>
                <w:p>
                  <w:pPr>
                    <w:pStyle w:val="Compact"/>
                    <w:jc w:val="left"/>
                    <w:jc w:val="center"/>
                  </w:pPr>
                  <w:r>
                    <w:t xml:space="preserve">dist_foco_hist_km [0.284]</w:t>
                  </w:r>
                </w:p>
              </w:tc>
            </w:tr>
            <w:tr>
              <w:tc>
                <w:tcPr/>
                <w:p>
                  <w:pPr>
                    <w:pStyle w:val="Compact"/>
                    <w:jc w:val="left"/>
                    <w:jc w:val="center"/>
                  </w:pPr>
                  <w:r>
                    <w:rPr>
                      <w:b/>
                      <w:bCs/>
                    </w:rPr>
                    <w:t xml:space="preserve">2</w:t>
                  </w:r>
                </w:p>
              </w:tc>
              <w:tc>
                <w:tcPr/>
                <w:p>
                  <w:pPr>
                    <w:pStyle w:val="Compact"/>
                    <w:jc w:val="left"/>
                    <w:jc w:val="center"/>
                  </w:pPr>
                  <w:r>
                    <w:t xml:space="preserve">pct_bosque_seco [0.188]</w:t>
                  </w:r>
                </w:p>
              </w:tc>
              <w:tc>
                <w:tcPr/>
                <w:p>
                  <w:pPr>
                    <w:pStyle w:val="Compact"/>
                    <w:jc w:val="left"/>
                    <w:jc w:val="center"/>
                  </w:pPr>
                  <w:r>
                    <w:t xml:space="preserve">focalizacion_antropica_local [0.220]</w:t>
                  </w:r>
                </w:p>
              </w:tc>
            </w:tr>
            <w:tr>
              <w:tc>
                <w:tcPr/>
                <w:p>
                  <w:pPr>
                    <w:pStyle w:val="Compact"/>
                    <w:jc w:val="left"/>
                    <w:jc w:val="center"/>
                  </w:pPr>
                  <w:r>
                    <w:rPr>
                      <w:b/>
                      <w:bCs/>
                    </w:rPr>
                    <w:t xml:space="preserve">3</w:t>
                  </w:r>
                </w:p>
              </w:tc>
              <w:tc>
                <w:tcPr/>
                <w:p>
                  <w:pPr>
                    <w:pStyle w:val="Compact"/>
                    <w:jc w:val="left"/>
                    <w:jc w:val="center"/>
                  </w:pPr>
                  <w:r>
                    <w:t xml:space="preserve">dist_corredor_antropico_km [0.080]</w:t>
                  </w:r>
                </w:p>
              </w:tc>
              <w:tc>
                <w:tcPr/>
                <w:p>
                  <w:pPr>
                    <w:pStyle w:val="Compact"/>
                    <w:jc w:val="left"/>
                    <w:jc w:val="center"/>
                  </w:pPr>
                  <w:r>
                    <w:t xml:space="preserve">dist_corredor_antropico_km [0.119]</w:t>
                  </w:r>
                </w:p>
              </w:tc>
            </w:tr>
            <w:tr>
              <w:tc>
                <w:tcPr/>
                <w:p>
                  <w:pPr>
                    <w:pStyle w:val="Compact"/>
                    <w:jc w:val="left"/>
                    <w:jc w:val="center"/>
                  </w:pPr>
                  <w:r>
                    <w:rPr>
                      <w:b/>
                      <w:bCs/>
                    </w:rPr>
                    <w:t xml:space="preserve">4</w:t>
                  </w:r>
                </w:p>
              </w:tc>
              <w:tc>
                <w:tcPr/>
                <w:p>
                  <w:pPr>
                    <w:pStyle w:val="Compact"/>
                    <w:jc w:val="left"/>
                    <w:jc w:val="center"/>
                  </w:pPr>
                  <w:r>
                    <w:t xml:space="preserve">focalizacion_antropica_local [0.078]</w:t>
                  </w:r>
                </w:p>
              </w:tc>
              <w:tc>
                <w:tcPr/>
                <w:p>
                  <w:pPr>
                    <w:pStyle w:val="Compact"/>
                    <w:jc w:val="left"/>
                    <w:jc w:val="center"/>
                  </w:pPr>
                  <w:r>
                    <w:t xml:space="preserve">pct_humedal_palmar [0.090]</w:t>
                  </w:r>
                </w:p>
              </w:tc>
            </w:tr>
            <w:tr>
              <w:tc>
                <w:tcPr/>
                <w:p>
                  <w:pPr>
                    <w:pStyle w:val="Compact"/>
                    <w:jc w:val="left"/>
                    <w:jc w:val="center"/>
                  </w:pPr>
                  <w:r>
                    <w:rPr>
                      <w:b/>
                      <w:bCs/>
                    </w:rPr>
                    <w:t xml:space="preserve">5</w:t>
                  </w:r>
                </w:p>
              </w:tc>
              <w:tc>
                <w:tcPr/>
                <w:p>
                  <w:pPr>
                    <w:pStyle w:val="Compact"/>
                    <w:jc w:val="left"/>
                    <w:jc w:val="center"/>
                  </w:pPr>
                  <w:r>
                    <w:t xml:space="preserve">pct_pastura [0.034]</w:t>
                  </w:r>
                </w:p>
              </w:tc>
              <w:tc>
                <w:tcPr/>
                <w:p>
                  <w:pPr>
                    <w:pStyle w:val="Compact"/>
                    <w:jc w:val="left"/>
                    <w:jc w:val="center"/>
                  </w:pPr>
                  <w:r>
                    <w:t xml:space="preserve">freq_hist_1km [0.064]</w:t>
                  </w:r>
                </w:p>
              </w:tc>
            </w:tr>
            <w:tr>
              <w:tc>
                <w:tcPr/>
                <w:p>
                  <w:pPr>
                    <w:pStyle w:val="Compact"/>
                    <w:jc w:val="left"/>
                    <w:jc w:val="center"/>
                  </w:pPr>
                  <w:r>
                    <w:rPr>
                      <w:b/>
                      <w:bCs/>
                    </w:rPr>
                    <w:t xml:space="preserve">6</w:t>
                  </w:r>
                </w:p>
              </w:tc>
              <w:tc>
                <w:tcPr/>
                <w:p>
                  <w:pPr>
                    <w:pStyle w:val="Compact"/>
                    <w:jc w:val="left"/>
                    <w:jc w:val="center"/>
                  </w:pPr>
                  <w:r>
                    <w:t xml:space="preserve">doy_cos [0.033]</w:t>
                  </w:r>
                </w:p>
              </w:tc>
              <w:tc>
                <w:tcPr/>
                <w:p>
                  <w:pPr>
                    <w:pStyle w:val="Compact"/>
                    <w:jc w:val="left"/>
                    <w:jc w:val="center"/>
                  </w:pPr>
                  <w:r>
                    <w:t xml:space="preserve">pct_sabana_pastizal [0.061]</w:t>
                  </w:r>
                </w:p>
              </w:tc>
            </w:tr>
          </w:tbl>
          <w:bookmarkEnd w:id="68"/>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2" w:name="fig-shap"/>
          <w:p>
            <w:pPr>
              <w:pStyle w:val="Compact"/>
              <w:jc w:val="center"/>
            </w:pPr>
            <w:r>
              <w:drawing>
                <wp:inline>
                  <wp:extent cx="5334000" cy="2333624"/>
                  <wp:effectExtent b="0" l="0" r="0" t="0"/>
                  <wp:docPr descr="" title="" id="70" name="Picture"/>
                  <a:graphic>
                    <a:graphicData uri="http://schemas.openxmlformats.org/drawingml/2006/picture">
                      <pic:pic>
                        <pic:nvPicPr>
                          <pic:cNvPr descr="figuras/fig04_shap_comparativa_chaco_vs_oriental.png" id="71" name="Picture"/>
                          <pic:cNvPicPr>
                            <a:picLocks noChangeArrowheads="1" noChangeAspect="1"/>
                          </pic:cNvPicPr>
                        </pic:nvPicPr>
                        <pic:blipFill>
                          <a:blip r:embed="rId69"/>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2"/>
        </w:tc>
      </w:tr>
    </w:tbl>
    <w:bookmarkEnd w:id="73"/>
    <w:bookmarkStart w:id="78"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268</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285</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016</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569</m:t>
        </m:r>
        <m:r>
          <m:rPr>
            <m:nor/>
            <m:sty m:val="p"/>
          </m:rPr>
          <m:t> s</m:t>
        </m:r>
      </m:oMath>
      <w:r>
        <w:t xml:space="preserve">.</w:t>
      </w:r>
      <w:r>
        <w:t xml:space="preserve"> </w:t>
      </w:r>
      <w:r>
        <w:t xml:space="preserve">-</w:t>
      </w:r>
      <w:r>
        <w:t xml:space="preserve"> </w:t>
      </w:r>
      <w:r>
        <w:rPr>
          <w:b/>
          <w:bCs/>
        </w:rPr>
        <w:t xml:space="preserve">RAM pico medida:</w:t>
      </w:r>
      <w:r>
        <w:t xml:space="preserve"> </w:t>
      </w:r>
      <m:oMath>
        <m:r>
          <m:t>2.182</m:t>
        </m:r>
        <m:r>
          <m:rPr>
            <m:sty m:val="p"/>
          </m:rPr>
          <m:t>,</m:t>
        </m:r>
        <m:r>
          <m:t>1</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mapa-operativo"/>
          <w:p>
            <w:pPr>
              <w:pStyle w:val="Compact"/>
              <w:jc w:val="center"/>
            </w:pPr>
            <w:r>
              <w:drawing>
                <wp:inline>
                  <wp:extent cx="4533900" cy="5037666"/>
                  <wp:effectExtent b="0" l="0" r="0" t="0"/>
                  <wp:docPr descr="" title="" id="75" name="Picture"/>
                  <a:graphic>
                    <a:graphicData uri="http://schemas.openxmlformats.org/drawingml/2006/picture">
                      <pic:pic>
                        <pic:nvPicPr>
                          <pic:cNvPr descr="figuras/fig03_mapa_riesgo_operativo_nacional.png" id="76" name="Picture"/>
                          <pic:cNvPicPr>
                            <a:picLocks noChangeArrowheads="1" noChangeAspect="1"/>
                          </pic:cNvPicPr>
                        </pic:nvPicPr>
                        <pic:blipFill>
                          <a:blip r:embed="rId7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nacional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7"/>
        </w:tc>
      </w:tr>
    </w:tbl>
    <w:p>
      <w:r>
        <w:pict>
          <v:rect style="width:0;height:1.5pt" o:hralign="center" o:hrstd="t" o:hr="t"/>
        </w:pict>
      </w:r>
    </w:p>
    <w:bookmarkEnd w:id="78"/>
    <w:bookmarkStart w:id="81"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tbl-espacial"/>
          <w:p>
            <w:pPr>
              <w:jc w:val="center"/>
            </w:pPr>
            <w:pPr>
              <w:jc w:val="left"/>
              <w:spacing w:before="200"/>
              <w:pStyle w:val="ImageCaption"/>
            </w:pPr>
            <w:r>
              <w:t xml:space="preserve">Tabla 8: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0.6338</w:t>
                  </w:r>
                </w:p>
              </w:tc>
              <w:tc>
                <w:tcPr/>
                <w:p>
                  <w:pPr>
                    <w:pStyle w:val="Compact"/>
                    <w:jc w:val="left"/>
                    <w:jc w:val="center"/>
                  </w:pPr>
                  <w:r>
                    <w:t xml:space="preserve">0.6191</w:t>
                  </w:r>
                </w:p>
              </w:tc>
              <w:tc>
                <w:tcPr/>
                <w:p>
                  <w:pPr>
                    <w:pStyle w:val="Compact"/>
                    <w:jc w:val="left"/>
                    <w:jc w:val="center"/>
                  </w:pPr>
                  <w:r>
                    <w:t xml:space="preserve">0.1607</w:t>
                  </w:r>
                </w:p>
              </w:tc>
              <w:tc>
                <w:tcPr/>
                <w:p>
                  <w:pPr>
                    <w:pStyle w:val="Compact"/>
                    <w:jc w:val="left"/>
                    <w:jc w:val="center"/>
                  </w:pPr>
                  <w:r>
                    <w:t xml:space="preserve">0.1451</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0.6333</w:t>
                  </w:r>
                </w:p>
              </w:tc>
              <w:tc>
                <w:tcPr/>
                <w:p>
                  <w:pPr>
                    <w:pStyle w:val="Compact"/>
                    <w:jc w:val="left"/>
                    <w:jc w:val="center"/>
                  </w:pPr>
                  <w:r>
                    <w:t xml:space="preserve">0.7824</w:t>
                  </w:r>
                </w:p>
              </w:tc>
              <w:tc>
                <w:tcPr/>
                <w:p>
                  <w:pPr>
                    <w:pStyle w:val="Compact"/>
                    <w:jc w:val="left"/>
                    <w:jc w:val="center"/>
                  </w:pPr>
                  <w:r>
                    <w:t xml:space="preserve">0.1426</w:t>
                  </w:r>
                </w:p>
              </w:tc>
              <w:tc>
                <w:tcPr/>
                <w:p>
                  <w:pPr>
                    <w:pStyle w:val="Compact"/>
                    <w:jc w:val="left"/>
                    <w:jc w:val="center"/>
                  </w:pPr>
                  <w:r>
                    <w:t xml:space="preserve">0.2258</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0.6243</w:t>
                  </w:r>
                </w:p>
              </w:tc>
              <w:tc>
                <w:tcPr/>
                <w:p>
                  <w:pPr>
                    <w:pStyle w:val="Compact"/>
                    <w:jc w:val="left"/>
                    <w:jc w:val="center"/>
                  </w:pPr>
                  <w:r>
                    <w:t xml:space="preserve">0.7914</w:t>
                  </w:r>
                </w:p>
              </w:tc>
              <w:tc>
                <w:tcPr/>
                <w:p>
                  <w:pPr>
                    <w:pStyle w:val="Compact"/>
                    <w:jc w:val="left"/>
                    <w:jc w:val="center"/>
                  </w:pPr>
                  <w:r>
                    <w:t xml:space="preserve">0.1410</w:t>
                  </w:r>
                </w:p>
              </w:tc>
              <w:tc>
                <w:tcPr/>
                <w:p>
                  <w:pPr>
                    <w:pStyle w:val="Compact"/>
                    <w:jc w:val="left"/>
                    <w:jc w:val="center"/>
                  </w:pPr>
                  <w:r>
                    <w:t xml:space="preserve">0.2499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0.6176</w:t>
                  </w:r>
                </w:p>
              </w:tc>
              <w:tc>
                <w:tcPr/>
                <w:p>
                  <w:pPr>
                    <w:pStyle w:val="Compact"/>
                    <w:jc w:val="left"/>
                    <w:jc w:val="center"/>
                  </w:pPr>
                  <w:r>
                    <w:t xml:space="preserve">0.6335</w:t>
                  </w:r>
                </w:p>
              </w:tc>
              <w:tc>
                <w:tcPr/>
                <w:p>
                  <w:pPr>
                    <w:pStyle w:val="Compact"/>
                    <w:jc w:val="left"/>
                    <w:jc w:val="center"/>
                  </w:pPr>
                  <w:r>
                    <w:t xml:space="preserve">0.1098</w:t>
                  </w:r>
                </w:p>
              </w:tc>
              <w:tc>
                <w:tcPr/>
                <w:p>
                  <w:pPr>
                    <w:pStyle w:val="Compact"/>
                    <w:jc w:val="left"/>
                    <w:jc w:val="center"/>
                  </w:pPr>
                  <w:r>
                    <w:t xml:space="preserve">0.1488</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0.6010</w:t>
                  </w:r>
                </w:p>
              </w:tc>
              <w:tc>
                <w:tcPr/>
                <w:p>
                  <w:pPr>
                    <w:pStyle w:val="Compact"/>
                    <w:jc w:val="left"/>
                    <w:jc w:val="center"/>
                  </w:pPr>
                  <w:r>
                    <w:t xml:space="preserve">0.7233</w:t>
                  </w:r>
                </w:p>
              </w:tc>
              <w:tc>
                <w:tcPr/>
                <w:p>
                  <w:pPr>
                    <w:pStyle w:val="Compact"/>
                    <w:jc w:val="left"/>
                    <w:jc w:val="center"/>
                  </w:pPr>
                  <w:r>
                    <w:t xml:space="preserve">0.1099</w:t>
                  </w:r>
                </w:p>
              </w:tc>
              <w:tc>
                <w:tcPr/>
                <w:p>
                  <w:pPr>
                    <w:pStyle w:val="Compact"/>
                    <w:jc w:val="left"/>
                    <w:jc w:val="center"/>
                  </w:pPr>
                  <w:r>
                    <w:t xml:space="preserve">0.2073</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0.5754</w:t>
                  </w:r>
                </w:p>
              </w:tc>
              <w:tc>
                <w:tcPr/>
                <w:p>
                  <w:pPr>
                    <w:pStyle w:val="Compact"/>
                    <w:jc w:val="left"/>
                    <w:jc w:val="center"/>
                  </w:pPr>
                  <w:r>
                    <w:t xml:space="preserve">0.7343</w:t>
                  </w:r>
                </w:p>
              </w:tc>
              <w:tc>
                <w:tcPr/>
                <w:p>
                  <w:pPr>
                    <w:pStyle w:val="Compact"/>
                    <w:jc w:val="left"/>
                    <w:jc w:val="center"/>
                  </w:pPr>
                  <w:r>
                    <w:t xml:space="preserve">0.0991</w:t>
                  </w:r>
                </w:p>
              </w:tc>
              <w:tc>
                <w:tcPr/>
                <w:p>
                  <w:pPr>
                    <w:pStyle w:val="Compact"/>
                    <w:jc w:val="left"/>
                    <w:jc w:val="center"/>
                  </w:pPr>
                  <w:r>
                    <w:t xml:space="preserve">0.2313</w:t>
                  </w:r>
                </w:p>
              </w:tc>
            </w:tr>
          </w:tbl>
          <w:bookmarkEnd w:id="79"/>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0,6243 (Chaco) y 0,5754 (Oriental), mientras que M1 —sin priors de fuego— obtiene 0,6338 y 0,6176. La ganancia de M3 en celdas con historia de fuego (0,7914/0,7343)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bookmarkStart w:id="80" w:name="por-qué-m3-se-usa-en-la-alerta"/>
    <w:p>
      <w:pPr>
        <w:pStyle w:val="Heading3"/>
      </w:pPr>
      <w:r>
        <w:t xml:space="preserve">5.5.1 5.5.1 Por qué M3 se usa en la alerta</w:t>
      </w:r>
    </w:p>
    <w:p>
      <w:pPr>
        <w:pStyle w:val="FirstParagraph"/>
      </w:pPr>
      <w:r>
        <w:t xml:space="preserve">La alerta operativa es un</w:t>
      </w:r>
      <w:r>
        <w:t xml:space="preserve"> </w:t>
      </w:r>
      <w:r>
        <w:rPr>
          <w:b/>
          <w:bCs/>
        </w:rPr>
        <w:t xml:space="preserve">nowcast sobre celdas con historia de fuego</w:t>
      </w:r>
      <w:r>
        <w:t xml:space="preserve">, no un modelo de extrapolación a paisajes nuevos. El 90,94 % de las celdas de test ya estaban presentes en train, y la ventaja de M3 se concentra en la recurrencia espacial. Por eso M3 se usa para priorizar celdas ya conocidas por el sistema; para celdas sin historia de fuego la alerta usa M1 y marca el resultado como fallback.</w:t>
      </w:r>
    </w:p>
    <w:p>
      <w:pPr>
        <w:pStyle w:val="BodyText"/>
      </w:pPr>
      <w:r>
        <w:t xml:space="preserve">La alerta implementa un</w:t>
      </w:r>
      <w:r>
        <w:t xml:space="preserve"> </w:t>
      </w:r>
      <w:r>
        <w:rPr>
          <w:i/>
          <w:iCs/>
        </w:rPr>
        <w:t xml:space="preserve">fallback</w:t>
      </w:r>
      <w:r>
        <w:t xml:space="preserve"> </w:t>
      </w:r>
      <w:r>
        <w:t xml:space="preserve">M1: usa M3 en celdas con recurrencia histórica (</w:t>
      </w:r>
      <w:r>
        <w:rPr>
          <w:rStyle w:val="VerbatimChar"/>
        </w:rPr>
        <w:t xml:space="preserve">freq_hist_1km &gt; 0</w:t>
      </w:r>
      <w:r>
        <w:t xml:space="preserve">) y M1 en celdas sin historia (</w:t>
      </w:r>
      <w:r>
        <w:rPr>
          <w:rStyle w:val="VerbatimChar"/>
        </w:rPr>
        <w:t xml:space="preserve">freq_hist_1km = 0</w:t>
      </w:r>
      <w:r>
        <w:t xml:space="preserve">). Esto no convierte a M3 en un modelo espacialmente transferible; sólo evita aplicarlo fuera de su dominio de recurrencia.</w:t>
      </w:r>
    </w:p>
    <w:p>
      <w:r>
        <w:pict>
          <v:rect style="width:0;height:1.5pt" o:hralign="center" o:hrstd="t" o:hr="t"/>
        </w:pict>
      </w:r>
    </w:p>
    <w:bookmarkEnd w:id="80"/>
    <w:bookmarkEnd w:id="81"/>
    <w:bookmarkStart w:id="83"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82" w:name="tbl-lead-time"/>
          <w:p>
            <w:pPr>
              <w:jc w:val="center"/>
            </w:pPr>
            <w:pPr>
              <w:jc w:val="left"/>
              <w:spacing w:before="200"/>
              <w:pStyle w:val="ImageCaption"/>
            </w:pPr>
            <w:r>
              <w:t xml:space="preserve">Tabla 9: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0.6222</w:t>
                  </w:r>
                </w:p>
              </w:tc>
              <w:tc>
                <w:tcPr/>
                <w:p>
                  <w:pPr>
                    <w:pStyle w:val="Compact"/>
                    <w:jc w:val="left"/>
                    <w:jc w:val="center"/>
                  </w:pPr>
                  <w:r>
                    <w:t xml:space="preserve">0.1473</w:t>
                  </w:r>
                </w:p>
              </w:tc>
              <w:tc>
                <w:tcPr/>
                <w:p>
                  <w:pPr>
                    <w:pStyle w:val="Compact"/>
                    <w:jc w:val="left"/>
                    <w:jc w:val="center"/>
                  </w:pPr>
                  <w:r>
                    <w:t xml:space="preserve">14.34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0.7841</w:t>
                  </w:r>
                </w:p>
              </w:tc>
              <w:tc>
                <w:tcPr/>
                <w:p>
                  <w:pPr>
                    <w:pStyle w:val="Compact"/>
                    <w:jc w:val="left"/>
                    <w:jc w:val="center"/>
                  </w:pPr>
                  <w:r>
                    <w:t xml:space="preserve">0.2386</w:t>
                  </w:r>
                </w:p>
              </w:tc>
              <w:tc>
                <w:tcPr/>
                <w:p>
                  <w:pPr>
                    <w:pStyle w:val="Compact"/>
                    <w:jc w:val="left"/>
                    <w:jc w:val="center"/>
                  </w:pPr>
                  <w:r>
                    <w:t xml:space="preserve">27.69</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0.6340</w:t>
                  </w:r>
                </w:p>
              </w:tc>
              <w:tc>
                <w:tcPr/>
                <w:p>
                  <w:pPr>
                    <w:pStyle w:val="Compact"/>
                    <w:jc w:val="left"/>
                    <w:jc w:val="center"/>
                  </w:pPr>
                  <w:r>
                    <w:t xml:space="preserve">0.1412</w:t>
                  </w:r>
                </w:p>
              </w:tc>
              <w:tc>
                <w:tcPr/>
                <w:p>
                  <w:pPr>
                    <w:pStyle w:val="Compact"/>
                    <w:jc w:val="left"/>
                    <w:jc w:val="center"/>
                  </w:pPr>
                  <w:r>
                    <w:t xml:space="preserve">15.79</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0.7465</w:t>
                  </w:r>
                </w:p>
              </w:tc>
              <w:tc>
                <w:tcPr/>
                <w:p>
                  <w:pPr>
                    <w:pStyle w:val="Compact"/>
                    <w:jc w:val="left"/>
                    <w:jc w:val="center"/>
                  </w:pPr>
                  <w:r>
                    <w:t xml:space="preserve">0.2299</w:t>
                  </w:r>
                </w:p>
              </w:tc>
              <w:tc>
                <w:tcPr/>
                <w:p>
                  <w:pPr>
                    <w:pStyle w:val="Compact"/>
                    <w:jc w:val="left"/>
                    <w:jc w:val="center"/>
                  </w:pPr>
                  <w:r>
                    <w:t xml:space="preserve">28.31</w:t>
                  </w:r>
                </w:p>
              </w:tc>
            </w:tr>
          </w:tbl>
          <w:bookmarkEnd w:id="82"/>
          <w:p/>
        </w:tc>
      </w:tr>
    </w:tbl>
    <w:p>
      <w:pPr>
        <w:pStyle w:val="BodyText"/>
      </w:pPr>
      <w:r>
        <w:t xml:space="preserve">M3 conserva casi todo su rendimiento con clima de ayer (0,7841/0,7465 vs. 0,7851/0,7485), lo que confirma que su señal dominante son los priors de recurrencia y no el clima del día. M1 cae ligeramente en Oriental (0,6340). Para un sistema operativo real se requiere un pronóstico day-ahead; la persistencia es sólo una cota.</w:t>
      </w:r>
    </w:p>
    <w:bookmarkEnd w:id="83"/>
    <w:bookmarkStart w:id="89" w:name="utilidad-operativa-análisis-cost-loss"/>
    <w:p>
      <w:pPr>
        <w:pStyle w:val="Heading2"/>
      </w:pPr>
      <w:r>
        <w:t xml:space="preserve">5.7 5.7 Utilidad operativa: análisis cost-loss</w:t>
      </w:r>
    </w:p>
    <w:p>
      <w:pPr>
        <w:pStyle w:val="FirstParagraph"/>
      </w:pPr>
      <w:r>
        <w:t xml:space="preserve">Las métricas de discriminación no responden por sí solas si conviene emitir una alerta. Se aplicó un análisis cost-loss poblacional con razón (</w:t>
      </w:r>
      <w:r>
        <w:t xml:space="preserve">=C/L), donde (C) es el costo de una acción preventiva y (L) la pérdida asociada a un incendio no atendido. El valor relativo (V(</w:t>
      </w:r>
      <w:r>
        <w:t xml:space="preserve">)) se calculó con los pesos poblacionales del muestreo D2.</w:t>
      </w:r>
    </w:p>
    <w:tbl>
      <w:tblPr>
        <w:tblStyle w:val="Table"/>
        <w:tblW w:type="pct" w:w="5000"/>
        <w:tblLayout w:type="fixed"/>
        <w:tblLook w:firstRow="0" w:lastRow="0" w:firstColumn="0" w:lastColumn="0" w:noHBand="0" w:noVBand="0" w:val="0000"/>
      </w:tblPr>
      <w:tblGrid>
        <w:gridCol w:w="7920"/>
      </w:tblGrid>
      <w:tr>
        <w:tc>
          <w:tcPr/>
          <w:bookmarkStart w:id="84" w:name="tbl-costloss"/>
          <w:p>
            <w:pPr>
              <w:jc w:val="center"/>
            </w:pPr>
            <w:pPr>
              <w:jc w:val="left"/>
              <w:spacing w:before="200"/>
              <w:pStyle w:val="ImageCaption"/>
            </w:pPr>
            <w:r>
              <w:t xml:space="preserve">Tabla 10: Análisis cost-loss poblacional. FWI/INPE se excluyen porque no son probabilidades calibradas.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Target</w:t>
                  </w:r>
                </w:p>
              </w:tc>
              <w:tc>
                <w:tcPr/>
                <w:p>
                  <w:pPr>
                    <w:pStyle w:val="Compact"/>
                    <w:jc w:val="left"/>
                    <w:jc w:val="center"/>
                  </w:pPr>
                  <w:r>
                    <w:t xml:space="preserve">Modelo</w:t>
                  </w:r>
                </w:p>
              </w:tc>
              <w:tc>
                <w:tcPr/>
                <w:p>
                  <w:pPr>
                    <w:pStyle w:val="Compact"/>
                    <w:jc w:val="right"/>
                    <w:jc w:val="center"/>
                  </w:pPr>
                  <w:r>
                    <w:t xml:space="preserve">(</w:t>
                  </w:r>
                  <w:r>
                    <w:t xml:space="preserve">) óptimo</w:t>
                  </w:r>
                </w:p>
              </w:tc>
              <w:tc>
                <w:tcPr/>
                <w:p>
                  <w:pPr>
                    <w:pStyle w:val="Compact"/>
                    <w:jc w:val="right"/>
                    <w:jc w:val="center"/>
                  </w:pPr>
                  <w:r>
                    <w:t xml:space="preserve">(V_{</w:t>
                  </w:r>
                  <w:r>
                    <w:t xml:space="preserve">})</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0,0001</w:t>
                  </w:r>
                </w:p>
              </w:tc>
              <w:tc>
                <w:tcPr/>
                <w:p>
                  <w:pPr>
                    <w:pStyle w:val="Compact"/>
                    <w:jc w:val="right"/>
                    <w:jc w:val="center"/>
                  </w:pPr>
                  <w:r>
                    <w:t xml:space="preserve">0,357</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0,0001</w:t>
                  </w:r>
                </w:p>
              </w:tc>
              <w:tc>
                <w:tcPr/>
                <w:p>
                  <w:pPr>
                    <w:pStyle w:val="Compact"/>
                    <w:jc w:val="right"/>
                    <w:jc w:val="center"/>
                  </w:pPr>
                  <w:r>
                    <w:t xml:space="preserve">0,353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0,623</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0,0005</w:t>
                  </w:r>
                </w:p>
              </w:tc>
              <w:tc>
                <w:tcPr/>
                <w:p>
                  <w:pPr>
                    <w:pStyle w:val="Compact"/>
                    <w:jc w:val="right"/>
                    <w:jc w:val="center"/>
                  </w:pPr>
                  <w:r>
                    <w:t xml:space="preserve">0,300</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0,0005</w:t>
                  </w:r>
                </w:p>
              </w:tc>
              <w:tc>
                <w:tcPr/>
                <w:p>
                  <w:pPr>
                    <w:pStyle w:val="Compact"/>
                    <w:jc w:val="right"/>
                    <w:jc w:val="center"/>
                  </w:pPr>
                  <w:r>
                    <w:t xml:space="preserve">0,309</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0,391</w:t>
                  </w:r>
                </w:p>
              </w:tc>
            </w:tr>
          </w:tbl>
          <w:bookmarkEnd w:id="84"/>
          <w:p/>
        </w:tc>
      </w:tr>
    </w:tbl>
    <w:p>
      <w:pPr>
        <w:pStyle w:val="BodyText"/>
      </w:pPr>
      <w:r>
        <w:t xml:space="preserve">El resultado es sobrio:</w:t>
      </w:r>
      <w:r>
        <w:t xml:space="preserve"> </w:t>
      </w:r>
      <w:r>
        <w:rPr>
          <w:b/>
          <w:bCs/>
        </w:rPr>
        <w:t xml:space="preserve">M3 no supera de forma clara a M2 en utilidad cost-loss para ignición</w:t>
      </w:r>
      <w:r>
        <w:t xml:space="preserve">; en Chaco, M2 es ligeramente superior en el óptimo, y en Oriental M3 lo supera por un margen pequeño. La capa de propagación sí muestra un valor operativo claramente mayor, con un óptimo alrededor de (</w:t>
      </w:r>
      <w:r>
        <w:t xml:space="preserve">002). Esto refuerza la conclusión de que M3 debe presentarse como un nowcast de recurrencia y no como un modelo universal de ignición.</w:t>
      </w:r>
    </w:p>
    <w:tbl>
      <w:tblPr>
        <w:tblStyle w:val="Table"/>
        <w:tblW w:type="pct" w:w="5000"/>
        <w:tblLayout w:type="fixed"/>
        <w:tblLook w:firstRow="0" w:lastRow="0" w:firstColumn="0" w:lastColumn="0" w:noHBand="0" w:noVBand="0" w:val="0000"/>
      </w:tblPr>
      <w:tblGrid>
        <w:gridCol w:w="7920"/>
      </w:tblGrid>
      <w:tr>
        <w:tc>
          <w:tcPr/>
          <w:bookmarkStart w:id="88" w:name="fig-costloss"/>
          <w:p>
            <w:pPr>
              <w:pStyle w:val="Compact"/>
              <w:jc w:val="center"/>
            </w:pPr>
            <w:r>
              <w:drawing>
                <wp:inline>
                  <wp:extent cx="5334000" cy="2051538"/>
                  <wp:effectExtent b="0" l="0" r="0" t="0"/>
                  <wp:docPr descr="" title="" id="86" name="Picture"/>
                  <a:graphic>
                    <a:graphicData uri="http://schemas.openxmlformats.org/drawingml/2006/picture">
                      <pic:pic>
                        <pic:nvPicPr>
                          <pic:cNvPr descr="figuras/fig08_cost_loss.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Curvas cost-loss poblacionales para ignición y propagación. La línea horizontal marca el valor nulo.</w:t>
            </w:r>
          </w:p>
          <w:bookmarkEnd w:id="88"/>
        </w:tc>
      </w:tr>
    </w:tbl>
    <w:p>
      <w:r>
        <w:pict>
          <v:rect style="width:0;height:1.5pt" o:hralign="center" o:hrstd="t" o:hr="t"/>
        </w:pict>
      </w:r>
    </w:p>
    <w:bookmarkEnd w:id="89"/>
    <w:bookmarkEnd w:id="90"/>
    <w:bookmarkStart w:id="98" w:name="discusión"/>
    <w:p>
      <w:pPr>
        <w:pStyle w:val="Heading1"/>
      </w:pPr>
      <w:r>
        <w:t xml:space="preserve">6. 6. Discusión</w:t>
      </w:r>
    </w:p>
    <w:bookmarkStart w:id="91"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INPE Risco de Fogo obtiene un ROC-AUC de</w:t>
      </w:r>
      <w:r>
        <w:t xml:space="preserve"> </w:t>
      </w:r>
      <m:oMath>
        <m:r>
          <m:t>0</m:t>
        </m:r>
        <m:r>
          <m:rPr>
            <m:sty m:val="p"/>
          </m:rPr>
          <m:t>,</m:t>
        </m:r>
        <m:r>
          <m:t>5386</m:t>
        </m:r>
      </m:oMath>
      <w:r>
        <w:t xml:space="preserve"> </w:t>
      </w:r>
      <w:r>
        <w:t xml:space="preserve">y el Canadian FWI completo un</w:t>
      </w:r>
      <w:r>
        <w:t xml:space="preserve"> </w:t>
      </w:r>
      <m:oMath>
        <m:r>
          <m:t>0</m:t>
        </m:r>
        <m:r>
          <m:rPr>
            <m:sty m:val="p"/>
          </m:rPr>
          <m:t>,</m:t>
        </m:r>
        <m:r>
          <m:t>5185</m:t>
        </m:r>
      </m:oMath>
      <w:r>
        <w:t xml:space="preserve">, ambos cercanos a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15.910</m:t>
        </m:r>
      </m:oMath>
      <w:r>
        <w:rPr>
          <w:b/>
          <w:bCs/>
        </w:rPr>
        <w:t xml:space="preserve"> </w:t>
      </w:r>
      <w:r>
        <w:rPr>
          <w:b/>
          <w:bCs/>
        </w:rPr>
        <w:t xml:space="preserve">falsos positivos</w:t>
      </w:r>
      <w:r>
        <w:t xml:space="preserve"> </w:t>
      </w:r>
      <w:r>
        <w:t xml:space="preserve">en el INPE y</w:t>
      </w:r>
      <w:r>
        <w:t xml:space="preserve"> </w:t>
      </w:r>
      <m:oMath>
        <m:r>
          <m:t>150.654</m:t>
        </m:r>
      </m:oMath>
      <w:r>
        <w:t xml:space="preserve"> </w:t>
      </w:r>
      <w:r>
        <w:t xml:space="preserve">en el FWI en 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91"/>
    <w:bookmarkStart w:id="92"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7851</m:t>
        </m:r>
      </m:oMath>
      <w:r>
        <w:t xml:space="preserve"> </w:t>
      </w:r>
      <w:r>
        <w:t xml:space="preserve">en el Chaco y</w:t>
      </w:r>
      <w:r>
        <w:t xml:space="preserve"> </w:t>
      </w:r>
      <m:oMath>
        <m:r>
          <m:t>0</m:t>
        </m:r>
        <m:r>
          <m:rPr>
            <m:sty m:val="p"/>
          </m:rPr>
          <m:t>,</m:t>
        </m:r>
        <m:r>
          <m:t>7485</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206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94</m:t>
        </m:r>
        <m:r>
          <m:rPr>
            <m:nor/>
            <m:sty m:val="p"/>
          </m:rPr>
          <m:t> %</m:t>
        </m:r>
      </m:oMath>
      <w:r>
        <w:t xml:space="preserve"> </w:t>
      </w:r>
      <w:r>
        <w:t xml:space="preserve">en el Chaco (con solo</w:t>
      </w:r>
      <w:r>
        <w:t xml:space="preserve"> </w:t>
      </w:r>
      <m:oMath>
        <m:r>
          <m:t>4.677</m:t>
        </m:r>
      </m:oMath>
      <w:r>
        <w:t xml:space="preserve"> </w:t>
      </w:r>
      <w:r>
        <w:t xml:space="preserve">falsos positivos frente a</w:t>
      </w:r>
      <w:r>
        <w:t xml:space="preserve"> </w:t>
      </w:r>
      <m:oMath>
        <m:r>
          <m:t>147.661</m:t>
        </m:r>
      </m:oMath>
      <w:r>
        <w:t xml:space="preserve"> </w:t>
      </w:r>
      <w:r>
        <w:t xml:space="preserve">del índice INPE) y del</w:t>
      </w:r>
      <w:r>
        <w:t xml:space="preserve"> </w:t>
      </w:r>
      <m:oMath>
        <m:r>
          <m:t>62</m:t>
        </m:r>
        <m:r>
          <m:rPr>
            <m:sty m:val="p"/>
          </m:rPr>
          <m:t>,</m:t>
        </m:r>
        <m:r>
          <m:t>42</m:t>
        </m:r>
        <m:r>
          <m:rPr>
            <m:nor/>
            <m:sty m:val="p"/>
          </m:rPr>
          <m:t> %</m:t>
        </m:r>
      </m:oMath>
      <w:r>
        <w:t xml:space="preserve"> </w:t>
      </w:r>
      <w:r>
        <w:t xml:space="preserve">en la Región Oriental. En población, la precisión es</w:t>
      </w:r>
      <w:r>
        <w:t xml:space="preserve"> </w:t>
      </w:r>
      <m:oMath>
        <m:r>
          <m:t>9</m:t>
        </m:r>
        <m:r>
          <m:rPr>
            <m:sty m:val="p"/>
          </m:rPr>
          <m:t>,</m:t>
        </m:r>
        <m:r>
          <m:t>96</m:t>
        </m:r>
        <m:r>
          <m:rPr>
            <m:nor/>
            <m:sty m:val="p"/>
          </m:rPr>
          <m:t> %</m:t>
        </m:r>
      </m:oMath>
      <w:r>
        <w:t xml:space="preserve"> </w:t>
      </w:r>
      <w:r>
        <w:t xml:space="preserve">y</w:t>
      </w:r>
      <w:r>
        <w:t xml:space="preserve"> </w:t>
      </w:r>
      <m:oMath>
        <m:r>
          <m:t>4</m:t>
        </m:r>
        <m:r>
          <m:rPr>
            <m:sty m:val="p"/>
          </m:rPr>
          <m:t>,</m:t>
        </m:r>
        <m:r>
          <m:t>49</m:t>
        </m:r>
        <m:r>
          <m:rPr>
            <m:nor/>
            <m:sty m:val="p"/>
          </m:rPr>
          <m:t> %</m:t>
        </m:r>
      </m:oMath>
      <w:r>
        <w:t xml:space="preserve">.</w:t>
      </w:r>
    </w:p>
    <w:bookmarkEnd w:id="92"/>
    <w:bookmarkStart w:id="93"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7</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93"/>
    <w:bookmarkStart w:id="94"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algo menor (</w:t>
      </w:r>
      <m:oMath>
        <m:r>
          <m:t>R</m:t>
        </m:r>
        <m:r>
          <m:t>O</m:t>
        </m:r>
        <m:r>
          <m:t>C</m:t>
        </m:r>
        <m:r>
          <m:rPr>
            <m:sty m:val="p"/>
          </m:rPr>
          <m:t>=</m:t>
        </m:r>
        <m:r>
          <m:t>0</m:t>
        </m:r>
        <m:r>
          <m:rPr>
            <m:sty m:val="p"/>
          </m:rPr>
          <m:t>,</m:t>
        </m:r>
        <m:r>
          <m:t>7485</m:t>
        </m:r>
      </m:oMath>
      <w:r>
        <w:t xml:space="preserve">,</w:t>
      </w:r>
      <w:r>
        <w:t xml:space="preserve"> </w:t>
      </w:r>
      <m:oMath>
        <m:r>
          <m:t>P</m:t>
        </m:r>
        <m:r>
          <m:t>R</m:t>
        </m:r>
        <m:r>
          <m:rPr>
            <m:sty m:val="p"/>
          </m:rPr>
          <m:t>=</m:t>
        </m:r>
        <m:r>
          <m:t>0</m:t>
        </m:r>
        <m:r>
          <m:rPr>
            <m:sty m:val="p"/>
          </m:rPr>
          <m:t>,</m:t>
        </m:r>
        <m:r>
          <m:t>2318</m:t>
        </m:r>
      </m:oMath>
      <w:r>
        <w:t xml:space="preserve">) que el Chaco (</w:t>
      </w:r>
      <m:oMath>
        <m:r>
          <m:t>R</m:t>
        </m:r>
        <m:r>
          <m:t>O</m:t>
        </m:r>
        <m:r>
          <m:t>C</m:t>
        </m:r>
        <m:r>
          <m:rPr>
            <m:sty m:val="p"/>
          </m:rPr>
          <m:t>=</m:t>
        </m:r>
        <m:r>
          <m:t>0</m:t>
        </m:r>
        <m:r>
          <m:rPr>
            <m:sty m:val="p"/>
          </m:rPr>
          <m:t>,</m:t>
        </m:r>
        <m:r>
          <m:t>7851</m:t>
        </m:r>
      </m:oMath>
      <w:r>
        <w:t xml:space="preserve">,</w:t>
      </w:r>
      <w:r>
        <w:t xml:space="preserve"> </w:t>
      </w:r>
      <m:oMath>
        <m:r>
          <m:t>P</m:t>
        </m:r>
        <m:r>
          <m:t>R</m:t>
        </m:r>
        <m:r>
          <m:rPr>
            <m:sty m:val="p"/>
          </m:rPr>
          <m:t>=</m:t>
        </m:r>
        <m:r>
          <m:t>0</m:t>
        </m:r>
        <m:r>
          <m:rPr>
            <m:sty m:val="p"/>
          </m:rPr>
          <m:t>,</m:t>
        </m:r>
        <m:r>
          <m:t>2410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8989</m:t>
        </m:r>
      </m:oMath>
      <w:r>
        <w:t xml:space="preserve"> </w:t>
      </w:r>
      <w:r>
        <w:t xml:space="preserve">y PR =</w:t>
      </w:r>
      <w:r>
        <w:t xml:space="preserve"> </w:t>
      </w:r>
      <m:oMath>
        <m:r>
          <m:t>0</m:t>
        </m:r>
        <m:r>
          <m:rPr>
            <m:sty m:val="p"/>
          </m:rPr>
          <m:t>,</m:t>
        </m:r>
        <m:r>
          <m:t>6831</m:t>
        </m:r>
      </m:oMath>
      <w:r>
        <w:t xml:space="preserve">; su precisión case-control es</w:t>
      </w:r>
      <w:r>
        <w:t xml:space="preserve"> </w:t>
      </w:r>
      <m:oMath>
        <m:r>
          <m:t>84</m:t>
        </m:r>
        <m:r>
          <m:rPr>
            <m:sty m:val="p"/>
          </m:rPr>
          <m:t>,</m:t>
        </m:r>
        <m:r>
          <m:t>94</m:t>
        </m:r>
        <m:r>
          <m:rPr>
            <m:nor/>
            <m:sty m:val="p"/>
          </m:rPr>
          <m:t> %</m:t>
        </m:r>
      </m:oMath>
      <w:r>
        <w:t xml:space="preserve"> </w:t>
      </w:r>
      <w:r>
        <w:t xml:space="preserve">y la poblacional</w:t>
      </w:r>
      <w:r>
        <w:t xml:space="preserve"> </w:t>
      </w:r>
      <m:oMath>
        <m:r>
          <m:t>9</m:t>
        </m:r>
        <m:r>
          <m:rPr>
            <m:sty m:val="p"/>
          </m:rPr>
          <m:t>,</m:t>
        </m:r>
        <m:r>
          <m:t>96</m:t>
        </m:r>
        <m:r>
          <m:rPr>
            <m:nor/>
            <m:sty m:val="p"/>
          </m:rPr>
          <m:t> %</m:t>
        </m:r>
      </m:oMath>
      <w:r>
        <w:t xml:space="preserve">. En la Región Oriental, la precisión case-control es</w:t>
      </w:r>
      <w:r>
        <w:t xml:space="preserve"> </w:t>
      </w:r>
      <m:oMath>
        <m:r>
          <m:t>62</m:t>
        </m:r>
        <m:r>
          <m:rPr>
            <m:sty m:val="p"/>
          </m:rPr>
          <m:t>,</m:t>
        </m:r>
        <m:r>
          <m:t>42</m:t>
        </m:r>
        <m:r>
          <m:rPr>
            <m:nor/>
            <m:sty m:val="p"/>
          </m:rPr>
          <m:t> %</m:t>
        </m:r>
      </m:oMath>
      <w:r>
        <w:t xml:space="preserve"> </w:t>
      </w:r>
      <w:r>
        <w:t xml:space="preserve">y la poblacional</w:t>
      </w:r>
      <w:r>
        <w:t xml:space="preserve"> </w:t>
      </w:r>
      <m:oMath>
        <m:r>
          <m:t>4</m:t>
        </m:r>
        <m:r>
          <m:rPr>
            <m:sty m:val="p"/>
          </m:rPr>
          <m:t>,</m:t>
        </m:r>
        <m:r>
          <m:t>49</m:t>
        </m:r>
        <m:r>
          <m:rPr>
            <m:nor/>
            <m:sty m:val="p"/>
          </m:rPr>
          <m:t> %</m:t>
        </m:r>
      </m:oMath>
      <w:r>
        <w:t xml:space="preserve">. Las cifras case-control no son operativas.</w:t>
      </w:r>
    </w:p>
    <w:bookmarkEnd w:id="94"/>
    <w:bookmarkStart w:id="95"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95"/>
    <w:bookmarkStart w:id="96" w:name="X10db54261b5a433718bc6e9ce153d677b5a2921"/>
    <w:p>
      <w:pPr>
        <w:pStyle w:val="Heading2"/>
      </w:pPr>
      <w:r>
        <w:t xml:space="preserve">6.6 6.6 Eficiencia Computacional y Transferibilidad Institucional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569</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96"/>
    <w:bookmarkStart w:id="97"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INPE Risco de Fogo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0,6243/0,5754 en bloques no vistos, mientras que M1 obtiene 0,6338/0,6176. La ventaja de M3 es temporal y específica de celdas con historia de fuego; no debe presentarse como un modelo de extrapolación espacial. La alerta usa M1 como fallback en celdas sin historia, pero M1 también tiene límites de generalización.</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(0,062 %/0,206 % para ignición; 9,96 %/4,49 %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agrupando por fecha sobre la muestra case-control (</w:t>
      </w:r>
      <m:oMath>
        <m:r>
          <m:t>p</m:t>
        </m:r>
        <m:r>
          <m:rPr>
            <m:sty m:val="p"/>
          </m:rPr>
          <m:t>≤</m:t>
        </m:r>
        <m:r>
          <m:t>0</m:t>
        </m:r>
        <m:r>
          <m:rPr>
            <m:sty m:val="p"/>
          </m:rPr>
          <m:t>,</m:t>
        </m:r>
        <m:r>
          <m:t>001</m:t>
        </m:r>
      </m:oMath>
      <w:r>
        <w:t xml:space="preserve">); reduce la dependencia temporal, pero no corrige el sesgo de prevalencia ni la dependencia espacial residual, por lo que no debe leerse como validación operativa.</w:t>
      </w:r>
    </w:p>
    <w:p>
      <w:r>
        <w:pict>
          <v:rect style="width:0;height:1.5pt" o:hralign="center" o:hrstd="t" o:hr="t"/>
        </w:pict>
      </w:r>
    </w:p>
    <w:bookmarkEnd w:id="97"/>
    <w:bookmarkEnd w:id="98"/>
    <w:bookmarkStart w:id="106"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nacional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0,7851/0,7485 y la propagación 0,8989/0,7799 (Chaco/Oriental), frente a 0,5185/0,5569 del FWI completo y 0,5386/0,4994 del INPE Risco de Fogo. En la muestra case-control, la precisión</w:t>
      </w:r>
      <w:r>
        <w:t xml:space="preserve"> </w:t>
      </w:r>
      <m:oMath>
        <m:sSub>
          <m:e>
            <m:r>
              <m:t>F</m:t>
            </m:r>
          </m:e>
          <m:sub>
            <m:r>
              <m:t>0.5</m:t>
            </m:r>
          </m:sub>
        </m:sSub>
      </m:oMath>
      <w:r>
        <w:t xml:space="preserve"> </w:t>
      </w:r>
      <w:r>
        <w:t xml:space="preserve">es 27,54 %/29,67 % y 84,94 %/62,42 %; en población real cae a 0,062 %/0,206 % y 9,96 %/4,49 %.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~1,569 s y ~2,182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0,6243/0,5754 y M1 obtiene 0,6338/0,6176. La ventaja híbrida es temporal y específica de celdas con historia de fuego; para celdas nuevas debe preferirse M1 o un reentrenamiento con validación espacial.</w:t>
      </w:r>
    </w:p>
    <w:bookmarkStart w:id="105" w:name="X440eed359d402fc402eb300a6b25588dee57b4d"/>
    <w:p>
      <w:pPr>
        <w:pStyle w:val="Heading2"/>
      </w:pPr>
      <w:r>
        <w:t xml:space="preserve">7.1 7.1 Trabajo Futuro y Hoja de Ruta Tecnológica</w:t>
      </w:r>
    </w:p>
    <w:bookmarkStart w:id="99"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Costo computacional y transferibilidad institucional:</w:t>
      </w:r>
      <w:r>
        <w:t xml:space="preserve"> </w:t>
      </w:r>
      <w:r>
        <w:t xml:space="preserve">El objetivo primario de este trabajo fue demostrar que un país en desarrollo puede desplegar un sistema nacional de alerta temprana con un tiempo de inferencia de</w:t>
      </w:r>
      <w:r>
        <w:t xml:space="preserve"> </w:t>
      </w:r>
      <m:oMath>
        <m:r>
          <m:t>1</m:t>
        </m:r>
        <m:r>
          <m:rPr>
            <m:sty m:val="p"/>
          </m:rPr>
          <m:t>,</m:t>
        </m:r>
        <m:r>
          <m:t>569</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9"/>
    <w:bookmarkStart w:id="104"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trimodal"/>
          <w:p>
            <w:pPr>
              <w:pStyle w:val="Compact"/>
              <w:jc w:val="center"/>
            </w:pPr>
            <w:r>
              <w:drawing>
                <wp:inline>
                  <wp:extent cx="5334000" cy="1980517"/>
                  <wp:effectExtent b="0" l="0" r="0" t="0"/>
                  <wp:docPr descr="" title="" id="101" name="Picture"/>
                  <a:graphic>
                    <a:graphicData uri="http://schemas.openxmlformats.org/drawingml/2006/picture">
                      <pic:pic>
                        <pic:nvPicPr>
                          <pic:cNvPr descr="figuras/fig06_comparativa_satelital_tres_modos.png" id="102" name="Picture"/>
                          <pic:cNvPicPr>
                            <a:picLocks noChangeArrowheads="1" noChangeAspect="1"/>
                          </pic:cNvPicPr>
                        </pic:nvPicPr>
                        <pic:blipFill>
                          <a:blip r:embed="rId100"/>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Esquema conceptual y operativo de la verificación satelital tri-modal multiespectral: Modo 1 (Alerta Regional a 1 km²), Modo 2 (Detección térmica focal VIIRS a 375 m) y Modo 3 (Confirmación espectral SWIR de alta resolución en frentes de fuego activos).</w:t>
            </w:r>
          </w:p>
          <w:bookmarkEnd w:id="103"/>
        </w:tc>
      </w:tr>
    </w:tbl>
    <w:p>
      <w:r>
        <w:pict>
          <v:rect style="width:0;height:1.5pt" o:hralign="center" o:hrstd="t" o:hr="t"/>
        </w:pict>
      </w:r>
    </w:p>
    <w:bookmarkEnd w:id="104"/>
    <w:bookmarkEnd w:id="105"/>
    <w:bookmarkEnd w:id="106"/>
    <w:bookmarkStart w:id="11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11</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110" w:name="tbl-code"/>
          <w:p>
            <w:pPr>
              <w:jc w:val="center"/>
            </w:pPr>
            <w:pPr>
              <w:jc w:val="left"/>
              <w:spacing w:before="200"/>
              <w:pStyle w:val="ImageCaption"/>
            </w:pPr>
            <w:r>
              <w:t xml:space="preserve">Tabla 11: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Martín Sánchez Insfrán (</w:t>
                  </w:r>
                  <w:r>
                    <w:rPr>
                      <w:rStyle w:val="VerbatimChar"/>
                    </w:rPr>
                    <w:t xml:space="preserve">sanchez.martin093@gmail.com</w:t>
                  </w:r>
                  <w:r>
                    <w:t xml:space="preserve">)</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3.12</m:t>
                    </m:r>
                  </m:oMath>
                  <w:r>
                    <w:t xml:space="preserve">; operaciones vectorizadas con Polars, DuckDB, NumPy y el backend C++ de LightGBM.</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107">
                    <w:r>
                      <w:rPr>
                        <w:rStyle w:val="Hyperlink"/>
                      </w:rPr>
                      <w:t xml:space="preserve">https://github.com/sanchezmartin093-code/Incendios_PY</w:t>
                    </w:r>
                  </w:hyperlink>
                </w:p>
              </w:tc>
            </w:tr>
            <w:tr>
              <w:tc>
                <w:tcPr/>
                <w:p>
                  <w:pPr>
                    <w:pStyle w:val="Compact"/>
                    <w:jc w:val="left"/>
                    <w:jc w:val="center"/>
                  </w:pPr>
                  <w:r>
                    <w:rPr>
                      <w:b/>
                      <w:bCs/>
                    </w:rPr>
                    <w:t xml:space="preserve">DOI del Código:</w:t>
                  </w:r>
                </w:p>
              </w:tc>
              <w:tc>
                <w:tcPr/>
                <w:p>
                  <w:pPr>
                    <w:pStyle w:val="Compact"/>
                    <w:jc w:val="left"/>
                    <w:jc w:val="center"/>
                  </w:pPr>
                  <w:hyperlink r:id="rId108">
                    <w:r>
                      <w:rPr>
                        <w:rStyle w:val="Hyperlink"/>
                      </w:rPr>
                      <w:t xml:space="preserve">10.5281/zenodo.23675105</w:t>
                    </w:r>
                  </w:hyperlink>
                </w:p>
              </w:tc>
            </w:tr>
            <w:tr>
              <w:tc>
                <w:tcPr/>
                <w:p>
                  <w:pPr>
                    <w:pStyle w:val="Compact"/>
                    <w:jc w:val="left"/>
                    <w:jc w:val="center"/>
                  </w:pPr>
                  <w:r>
                    <w:rPr>
                      <w:b/>
                      <w:bCs/>
                    </w:rPr>
                    <w:t xml:space="preserve">DOI de los Datos:</w:t>
                  </w:r>
                </w:p>
              </w:tc>
              <w:tc>
                <w:tcPr/>
                <w:p>
                  <w:pPr>
                    <w:pStyle w:val="Compact"/>
                    <w:jc w:val="left"/>
                    <w:jc w:val="center"/>
                  </w:pPr>
                  <w:hyperlink r:id="rId109">
                    <w:r>
                      <w:rPr>
                        <w:rStyle w:val="Hyperlink"/>
                      </w:rPr>
                      <w:t xml:space="preserve">10.5281/zenodo.23675279</w:t>
                    </w:r>
                  </w:hyperlink>
                </w:p>
              </w:tc>
            </w:tr>
          </w:tbl>
          <w:bookmarkEnd w:id="110"/>
          <w:p/>
        </w:tc>
      </w:tr>
    </w:tbl>
    <w:p>
      <w:r>
        <w:pict>
          <v:rect style="width:0;height:1.5pt" o:hralign="center" o:hrstd="t" o:hr="t"/>
        </w:pict>
      </w:r>
    </w:p>
    <w:bookmarkEnd w:id="111"/>
    <w:bookmarkStart w:id="112" w:name="Xf0a30ec9a8ea695e028ffcc069694d680cc4aad"/>
    <w:p>
      <w:pPr>
        <w:pStyle w:val="Heading1"/>
      </w:pPr>
      <w:r>
        <w:t xml:space="preserve">9. 9. Disponibilidad de Datos (Data Availability)</w:t>
      </w:r>
    </w:p>
    <w:p>
      <w:pPr>
        <w:pStyle w:val="FirstParagraph"/>
      </w:pPr>
      <w:r>
        <w:t xml:space="preserve">Los datos procesados, las predicciones de test, los modelos entrenados y las tablas derivadas están archivados en Zenodo bajo licencia CC BY 4.0:</w:t>
      </w:r>
      <w:r>
        <w:t xml:space="preserve"> </w:t>
      </w:r>
      <w:hyperlink r:id="rId109">
        <w:r>
          <w:rPr>
            <w:rStyle w:val="Hyperlink"/>
          </w:rPr>
          <w:t xml:space="preserve">10.5281/zenodo.23675279</w:t>
        </w:r>
      </w:hyperlink>
      <w:r>
        <w:t xml:space="preserve">. Los datos crudos de NASA FIRMS, ERA5-Land/CDS, MapBiomas y geoBoundaries se obtienen de sus proveedores originales bajo sus propios términos y se documentan con hashes en</w:t>
      </w:r>
      <w:r>
        <w:t xml:space="preserve"> </w:t>
      </w:r>
      <w:r>
        <w:rPr>
          <w:rStyle w:val="VerbatimChar"/>
        </w:rPr>
        <w:t xml:space="preserve">fuentes/MANIFIESTO_DATOS_v2.csv</w:t>
      </w:r>
      <w:r>
        <w:t xml:space="preserve">.</w:t>
      </w:r>
    </w:p>
    <w:p>
      <w:r>
        <w:pict>
          <v:rect style="width:0;height:1.5pt" o:hralign="center" o:hrstd="t" o:hr="t"/>
        </w:pict>
      </w:r>
    </w:p>
    <w:bookmarkEnd w:id="112"/>
    <w:bookmarkStart w:id="198" w:name="referencias"/>
    <w:p>
      <w:pPr>
        <w:pStyle w:val="Heading1"/>
      </w:pPr>
      <w:r>
        <w:t xml:space="preserve">Referencias</w:t>
      </w:r>
    </w:p>
    <w:bookmarkStart w:id="197" w:name="refs"/>
    <w:bookmarkStart w:id="113"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13"/>
    <w:bookmarkStart w:id="115"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14">
        <w:r>
          <w:rPr>
            <w:rStyle w:val="Hyperlink"/>
          </w:rPr>
          <w:t xml:space="preserve">https://doi.org/10.3390/rs10091438</w:t>
        </w:r>
      </w:hyperlink>
    </w:p>
    <w:bookmarkEnd w:id="115"/>
    <w:bookmarkStart w:id="117"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16">
        <w:r>
          <w:rPr>
            <w:rStyle w:val="Hyperlink"/>
          </w:rPr>
          <w:t xml:space="preserve">https://doi.org/10.1071/WF12167</w:t>
        </w:r>
      </w:hyperlink>
    </w:p>
    <w:bookmarkEnd w:id="117"/>
    <w:bookmarkStart w:id="119"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18">
        <w:r>
          <w:rPr>
            <w:rStyle w:val="Hyperlink"/>
          </w:rPr>
          <w:t xml:space="preserve">https://doi.org/10.1038/s41597-019-0312-2</w:t>
        </w:r>
      </w:hyperlink>
    </w:p>
    <w:bookmarkEnd w:id="119"/>
    <w:bookmarkStart w:id="121"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20">
        <w:r>
          <w:rPr>
            <w:rStyle w:val="Hyperlink"/>
          </w:rPr>
          <w:t xml:space="preserve">https://doi.org/10.3390/s20226442</w:t>
        </w:r>
      </w:hyperlink>
    </w:p>
    <w:bookmarkEnd w:id="121"/>
    <w:bookmarkStart w:id="12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22">
        <w:r>
          <w:rPr>
            <w:rStyle w:val="Hyperlink"/>
          </w:rPr>
          <w:t xml:space="preserve">https://doi.org/10.1111/gcb.13521</w:t>
        </w:r>
      </w:hyperlink>
    </w:p>
    <w:bookmarkEnd w:id="123"/>
    <w:bookmarkStart w:id="12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24">
        <w:r>
          <w:rPr>
            <w:rStyle w:val="Hyperlink"/>
          </w:rPr>
          <w:t xml:space="preserve">https://doi.org/10.1145/2939672.2939785</w:t>
        </w:r>
      </w:hyperlink>
    </w:p>
    <w:bookmarkEnd w:id="125"/>
    <w:bookmarkStart w:id="127"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26">
        <w:r>
          <w:rPr>
            <w:rStyle w:val="Hyperlink"/>
          </w:rPr>
          <w:t xml:space="preserve">https://doi.org/10.1016/j.rse.2019.02.013</w:t>
        </w:r>
      </w:hyperlink>
    </w:p>
    <w:bookmarkEnd w:id="127"/>
    <w:bookmarkStart w:id="129"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28">
        <w:r>
          <w:rPr>
            <w:rStyle w:val="Hyperlink"/>
          </w:rPr>
          <w:t xml:space="preserve">https://doi.org/10.1088/1748-9326/ab020e</w:t>
        </w:r>
      </w:hyperlink>
    </w:p>
    <w:bookmarkEnd w:id="129"/>
    <w:bookmarkStart w:id="131"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30">
        <w:r>
          <w:rPr>
            <w:rStyle w:val="Hyperlink"/>
          </w:rPr>
          <w:t xml:space="preserve">https://doi.org/10.1111/j.2007.0906-7590.05171.x</w:t>
        </w:r>
      </w:hyperlink>
    </w:p>
    <w:bookmarkEnd w:id="131"/>
    <w:bookmarkStart w:id="132"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32"/>
    <w:bookmarkStart w:id="13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33">
        <w:r>
          <w:rPr>
            <w:rStyle w:val="Hyperlink"/>
          </w:rPr>
          <w:t xml:space="preserve">https://doi.org/10.1071/WF08187</w:t>
        </w:r>
      </w:hyperlink>
    </w:p>
    <w:bookmarkEnd w:id="134"/>
    <w:bookmarkStart w:id="13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35">
        <w:r>
          <w:rPr>
            <w:rStyle w:val="Hyperlink"/>
          </w:rPr>
          <w:t xml:space="preserve">https://doi.org/10.1007/s10584-015-1521-0</w:t>
        </w:r>
      </w:hyperlink>
    </w:p>
    <w:bookmarkEnd w:id="136"/>
    <w:bookmarkStart w:id="138"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37">
        <w:r>
          <w:rPr>
            <w:rStyle w:val="Hyperlink"/>
          </w:rPr>
          <w:t xml:space="preserve">https://doi.org/10.1016/j.rse.2016.02.054</w:t>
        </w:r>
      </w:hyperlink>
    </w:p>
    <w:bookmarkEnd w:id="138"/>
    <w:bookmarkStart w:id="140"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39">
        <w:r>
          <w:rPr>
            <w:rStyle w:val="Hyperlink"/>
          </w:rPr>
          <w:t xml:space="preserve">https://doi.org/10.1016/j.rse.2017.06.031</w:t>
        </w:r>
      </w:hyperlink>
    </w:p>
    <w:bookmarkEnd w:id="140"/>
    <w:bookmarkStart w:id="142"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41">
        <w:r>
          <w:rPr>
            <w:rStyle w:val="Hyperlink"/>
          </w:rPr>
          <w:t xml:space="preserve">https://doi.org/10.1139/er-2020-0019</w:t>
        </w:r>
      </w:hyperlink>
    </w:p>
    <w:bookmarkEnd w:id="142"/>
    <w:bookmarkStart w:id="144"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43">
        <w:r>
          <w:rPr>
            <w:rStyle w:val="Hyperlink"/>
          </w:rPr>
          <w:t xml:space="preserve">https://doi.org/10.1038/ncomms8537</w:t>
        </w:r>
      </w:hyperlink>
    </w:p>
    <w:bookmarkEnd w:id="144"/>
    <w:bookmarkStart w:id="146"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45">
        <w:r>
          <w:rPr>
            <w:rStyle w:val="Hyperlink"/>
          </w:rPr>
          <w:t xml:space="preserve">https://doi.org/10.1016/S0034-4257(02)00076-7</w:t>
        </w:r>
      </w:hyperlink>
    </w:p>
    <w:bookmarkEnd w:id="146"/>
    <w:bookmarkStart w:id="14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47"/>
    <w:bookmarkStart w:id="14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48">
        <w:r>
          <w:rPr>
            <w:rStyle w:val="Hyperlink"/>
          </w:rPr>
          <w:t xml:space="preserve">https://doi.org/10.2307/1939924</w:t>
        </w:r>
      </w:hyperlink>
    </w:p>
    <w:bookmarkEnd w:id="149"/>
    <w:bookmarkStart w:id="15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50">
        <w:r>
          <w:rPr>
            <w:rStyle w:val="Hyperlink"/>
          </w:rPr>
          <w:t xml:space="preserve">https://doi.org/10.1038/s42256-019-0138-9</w:t>
        </w:r>
      </w:hyperlink>
    </w:p>
    <w:bookmarkEnd w:id="151"/>
    <w:bookmarkStart w:id="15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52">
        <w:r>
          <w:rPr>
            <w:rStyle w:val="Hyperlink"/>
          </w:rPr>
          <w:t xml:space="preserve">https://chaco.mapbiomas.org/</w:t>
        </w:r>
      </w:hyperlink>
      <w:r>
        <w:t xml:space="preserve">.</w:t>
      </w:r>
    </w:p>
    <w:bookmarkEnd w:id="153"/>
    <w:bookmarkStart w:id="155"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54">
        <w:r>
          <w:rPr>
            <w:rStyle w:val="Hyperlink"/>
          </w:rPr>
          <w:t xml:space="preserve">https://doi.org/10.1111/2041-210X.13650</w:t>
        </w:r>
      </w:hyperlink>
    </w:p>
    <w:bookmarkEnd w:id="155"/>
    <w:bookmarkStart w:id="157"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56">
        <w:r>
          <w:rPr>
            <w:rStyle w:val="Hyperlink"/>
          </w:rPr>
          <w:t xml:space="preserve">https://doi.org/10.5194/essd-13-4349-2021</w:t>
        </w:r>
      </w:hyperlink>
    </w:p>
    <w:bookmarkEnd w:id="157"/>
    <w:bookmarkStart w:id="159"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58">
        <w:r>
          <w:rPr>
            <w:rStyle w:val="Hyperlink"/>
          </w:rPr>
          <w:t xml:space="preserve">https://doi.org/10.1145/1102351.1102430</w:t>
        </w:r>
      </w:hyperlink>
    </w:p>
    <w:bookmarkEnd w:id="159"/>
    <w:bookmarkStart w:id="160"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60"/>
    <w:bookmarkStart w:id="16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61">
        <w:r>
          <w:rPr>
            <w:rStyle w:val="Hyperlink"/>
          </w:rPr>
          <w:t xml:space="preserve">https://doi.org/10.1016/j.pecon.2021.06.005</w:t>
        </w:r>
      </w:hyperlink>
    </w:p>
    <w:bookmarkEnd w:id="162"/>
    <w:bookmarkStart w:id="16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63"/>
    <w:bookmarkStart w:id="16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64">
        <w:r>
          <w:rPr>
            <w:rStyle w:val="Hyperlink"/>
          </w:rPr>
          <w:t xml:space="preserve">https://doi.org/10.1038/s41467-020-18321-y</w:t>
        </w:r>
      </w:hyperlink>
    </w:p>
    <w:bookmarkEnd w:id="165"/>
    <w:bookmarkStart w:id="166"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66"/>
    <w:bookmarkStart w:id="168"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67">
        <w:r>
          <w:rPr>
            <w:rStyle w:val="Hyperlink"/>
          </w:rPr>
          <w:t xml:space="preserve">https://doi.org/10.1145/3299869.3320212</w:t>
        </w:r>
      </w:hyperlink>
    </w:p>
    <w:bookmarkEnd w:id="168"/>
    <w:bookmarkStart w:id="170"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69">
        <w:r>
          <w:rPr>
            <w:rStyle w:val="Hyperlink"/>
          </w:rPr>
          <w:t xml:space="preserve">https://doi.org/10.1038/s41586-019-0912-1</w:t>
        </w:r>
      </w:hyperlink>
    </w:p>
    <w:bookmarkEnd w:id="170"/>
    <w:bookmarkStart w:id="17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71">
        <w:r>
          <w:rPr>
            <w:rStyle w:val="Hyperlink"/>
          </w:rPr>
          <w:t xml:space="preserve">https://doi.org/10.1111/ecog.02881</w:t>
        </w:r>
      </w:hyperlink>
    </w:p>
    <w:bookmarkEnd w:id="172"/>
    <w:bookmarkStart w:id="174"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73">
        <w:r>
          <w:rPr>
            <w:rStyle w:val="Hyperlink"/>
          </w:rPr>
          <w:t xml:space="preserve">https://doi.org/10.1016/j.envsoft.2014.03.003</w:t>
        </w:r>
      </w:hyperlink>
    </w:p>
    <w:bookmarkEnd w:id="174"/>
    <w:bookmarkStart w:id="175"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75"/>
    <w:bookmarkStart w:id="177"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76">
        <w:r>
          <w:rPr>
            <w:rStyle w:val="Hyperlink"/>
          </w:rPr>
          <w:t xml:space="preserve">https://doi.org/10.1016/j.rse.2008.05.013</w:t>
        </w:r>
      </w:hyperlink>
    </w:p>
    <w:bookmarkEnd w:id="177"/>
    <w:bookmarkStart w:id="17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78">
        <w:r>
          <w:rPr>
            <w:rStyle w:val="Hyperlink"/>
          </w:rPr>
          <w:t xml:space="preserve">https://doi.org/10.5772/28441</w:t>
        </w:r>
      </w:hyperlink>
    </w:p>
    <w:bookmarkEnd w:id="179"/>
    <w:bookmarkStart w:id="181"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80">
        <w:r>
          <w:rPr>
            <w:rStyle w:val="Hyperlink"/>
          </w:rPr>
          <w:t xml:space="preserve">https://doi.org/10.1016/j.firesaf.2019.01.006</w:t>
        </w:r>
      </w:hyperlink>
    </w:p>
    <w:bookmarkEnd w:id="181"/>
    <w:bookmarkStart w:id="183"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82">
        <w:r>
          <w:rPr>
            <w:rStyle w:val="Hyperlink"/>
          </w:rPr>
          <w:t xml:space="preserve">https://doi.org/10.1016/j.rse.2013.12.008</w:t>
        </w:r>
      </w:hyperlink>
    </w:p>
    <w:bookmarkEnd w:id="183"/>
    <w:bookmarkStart w:id="185"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84">
        <w:r>
          <w:rPr>
            <w:rStyle w:val="Hyperlink"/>
          </w:rPr>
          <w:t xml:space="preserve">http://queimadas.dgi.inpe.br</w:t>
        </w:r>
      </w:hyperlink>
    </w:p>
    <w:bookmarkEnd w:id="185"/>
    <w:bookmarkStart w:id="187"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86">
        <w:r>
          <w:rPr>
            <w:rStyle w:val="Hyperlink"/>
          </w:rPr>
          <w:t xml:space="preserve">https://doi.org/10.5558/tfc65258-4</w:t>
        </w:r>
      </w:hyperlink>
    </w:p>
    <w:bookmarkEnd w:id="187"/>
    <w:bookmarkStart w:id="189"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88">
        <w:r>
          <w:rPr>
            <w:rStyle w:val="Hyperlink"/>
          </w:rPr>
          <w:t xml:space="preserve">https://doi.org/10.2307/143141</w:t>
        </w:r>
      </w:hyperlink>
    </w:p>
    <w:bookmarkEnd w:id="189"/>
    <w:bookmarkStart w:id="191"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90">
        <w:r>
          <w:rPr>
            <w:rStyle w:val="Hyperlink"/>
          </w:rPr>
          <w:t xml:space="preserve">https://doi.org/10.1016/j.jaridenv.2014.11.009</w:t>
        </w:r>
      </w:hyperlink>
    </w:p>
    <w:bookmarkEnd w:id="191"/>
    <w:bookmarkStart w:id="19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92"/>
    <w:bookmarkStart w:id="194"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93">
        <w:r>
          <w:rPr>
            <w:rStyle w:val="Hyperlink"/>
          </w:rPr>
          <w:t xml:space="preserve">https://doi.org/10.1145/3514228</w:t>
        </w:r>
      </w:hyperlink>
    </w:p>
    <w:bookmarkEnd w:id="194"/>
    <w:bookmarkStart w:id="196"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95">
        <w:r>
          <w:rPr>
            <w:rStyle w:val="Hyperlink"/>
          </w:rPr>
          <w:t xml:space="preserve">https://doi.org/10.1029/2005JD006318</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hyperlink" Id="rId184" Target="http://queimadas.dgi.inpe.br" TargetMode="External" /><Relationship Type="http://schemas.openxmlformats.org/officeDocument/2006/relationships/hyperlink" Id="rId152" Target="https://chaco.mapbiomas.org/" TargetMode="External" /><Relationship Type="http://schemas.openxmlformats.org/officeDocument/2006/relationships/hyperlink" Id="rId135" Target="https://doi.org/10.1007/s10584-015-1521-0" TargetMode="External" /><Relationship Type="http://schemas.openxmlformats.org/officeDocument/2006/relationships/hyperlink" Id="rId145" Target="https://doi.org/10.1016/S0034-4257(02)00076-7" TargetMode="External" /><Relationship Type="http://schemas.openxmlformats.org/officeDocument/2006/relationships/hyperlink" Id="rId173" Target="https://doi.org/10.1016/j.envsoft.2014.03.003" TargetMode="External" /><Relationship Type="http://schemas.openxmlformats.org/officeDocument/2006/relationships/hyperlink" Id="rId180" Target="https://doi.org/10.1016/j.firesaf.2019.01.006" TargetMode="External" /><Relationship Type="http://schemas.openxmlformats.org/officeDocument/2006/relationships/hyperlink" Id="rId190" Target="https://doi.org/10.1016/j.jaridenv.2014.11.009" TargetMode="External" /><Relationship Type="http://schemas.openxmlformats.org/officeDocument/2006/relationships/hyperlink" Id="rId161" Target="https://doi.org/10.1016/j.pecon.2021.06.005" TargetMode="External" /><Relationship Type="http://schemas.openxmlformats.org/officeDocument/2006/relationships/hyperlink" Id="rId176" Target="https://doi.org/10.1016/j.rse.2008.05.013" TargetMode="External" /><Relationship Type="http://schemas.openxmlformats.org/officeDocument/2006/relationships/hyperlink" Id="rId182" Target="https://doi.org/10.1016/j.rse.2013.12.008" TargetMode="External" /><Relationship Type="http://schemas.openxmlformats.org/officeDocument/2006/relationships/hyperlink" Id="rId137" Target="https://doi.org/10.1016/j.rse.2016.02.054" TargetMode="External" /><Relationship Type="http://schemas.openxmlformats.org/officeDocument/2006/relationships/hyperlink" Id="rId139" Target="https://doi.org/10.1016/j.rse.2017.06.031" TargetMode="External" /><Relationship Type="http://schemas.openxmlformats.org/officeDocument/2006/relationships/hyperlink" Id="rId126" Target="https://doi.org/10.1016/j.rse.2019.02.013" TargetMode="External" /><Relationship Type="http://schemas.openxmlformats.org/officeDocument/2006/relationships/hyperlink" Id="rId195" Target="https://doi.org/10.1029/2005JD006318" TargetMode="External" /><Relationship Type="http://schemas.openxmlformats.org/officeDocument/2006/relationships/hyperlink" Id="rId143" Target="https://doi.org/10.1038/ncomms8537" TargetMode="External" /><Relationship Type="http://schemas.openxmlformats.org/officeDocument/2006/relationships/hyperlink" Id="rId164" Target="https://doi.org/10.1038/s41467-020-18321-y" TargetMode="External" /><Relationship Type="http://schemas.openxmlformats.org/officeDocument/2006/relationships/hyperlink" Id="rId169" Target="https://doi.org/10.1038/s41586-019-0912-1" TargetMode="External" /><Relationship Type="http://schemas.openxmlformats.org/officeDocument/2006/relationships/hyperlink" Id="rId118" Target="https://doi.org/10.1038/s41597-019-0312-2" TargetMode="External" /><Relationship Type="http://schemas.openxmlformats.org/officeDocument/2006/relationships/hyperlink" Id="rId150" Target="https://doi.org/10.1038/s42256-019-0138-9" TargetMode="External" /><Relationship Type="http://schemas.openxmlformats.org/officeDocument/2006/relationships/hyperlink" Id="rId133" Target="https://doi.org/10.1071/WF08187" TargetMode="External" /><Relationship Type="http://schemas.openxmlformats.org/officeDocument/2006/relationships/hyperlink" Id="rId116" Target="https://doi.org/10.1071/WF12167" TargetMode="External" /><Relationship Type="http://schemas.openxmlformats.org/officeDocument/2006/relationships/hyperlink" Id="rId128" Target="https://doi.org/10.1088/1748-9326/ab020e" TargetMode="External" /><Relationship Type="http://schemas.openxmlformats.org/officeDocument/2006/relationships/hyperlink" Id="rId154" Target="https://doi.org/10.1111/2041-210X.13650" TargetMode="External" /><Relationship Type="http://schemas.openxmlformats.org/officeDocument/2006/relationships/hyperlink" Id="rId171" Target="https://doi.org/10.1111/ecog.02881" TargetMode="External" /><Relationship Type="http://schemas.openxmlformats.org/officeDocument/2006/relationships/hyperlink" Id="rId122" Target="https://doi.org/10.1111/gcb.13521" TargetMode="External" /><Relationship Type="http://schemas.openxmlformats.org/officeDocument/2006/relationships/hyperlink" Id="rId130" Target="https://doi.org/10.1111/j.2007.0906-7590.05171.x" TargetMode="External" /><Relationship Type="http://schemas.openxmlformats.org/officeDocument/2006/relationships/hyperlink" Id="rId141" Target="https://doi.org/10.1139/er-2020-0019" TargetMode="External" /><Relationship Type="http://schemas.openxmlformats.org/officeDocument/2006/relationships/hyperlink" Id="rId158" Target="https://doi.org/10.1145/1102351.1102430" TargetMode="External" /><Relationship Type="http://schemas.openxmlformats.org/officeDocument/2006/relationships/hyperlink" Id="rId124" Target="https://doi.org/10.1145/2939672.2939785" TargetMode="External" /><Relationship Type="http://schemas.openxmlformats.org/officeDocument/2006/relationships/hyperlink" Id="rId167" Target="https://doi.org/10.1145/3299869.3320212" TargetMode="External" /><Relationship Type="http://schemas.openxmlformats.org/officeDocument/2006/relationships/hyperlink" Id="rId193" Target="https://doi.org/10.1145/3514228" TargetMode="External" /><Relationship Type="http://schemas.openxmlformats.org/officeDocument/2006/relationships/hyperlink" Id="rId188" Target="https://doi.org/10.2307/143141" TargetMode="External" /><Relationship Type="http://schemas.openxmlformats.org/officeDocument/2006/relationships/hyperlink" Id="rId148" Target="https://doi.org/10.2307/1939924" TargetMode="External" /><Relationship Type="http://schemas.openxmlformats.org/officeDocument/2006/relationships/hyperlink" Id="rId114" Target="https://doi.org/10.3390/rs10091438" TargetMode="External" /><Relationship Type="http://schemas.openxmlformats.org/officeDocument/2006/relationships/hyperlink" Id="rId120" Target="https://doi.org/10.3390/s20226442" TargetMode="External" /><Relationship Type="http://schemas.openxmlformats.org/officeDocument/2006/relationships/hyperlink" Id="rId156" Target="https://doi.org/10.5194/essd-13-4349-2021" TargetMode="External" /><Relationship Type="http://schemas.openxmlformats.org/officeDocument/2006/relationships/hyperlink" Id="rId108" Target="https://doi.org/10.5281/zenodo.23675105" TargetMode="External" /><Relationship Type="http://schemas.openxmlformats.org/officeDocument/2006/relationships/hyperlink" Id="rId109" Target="https://doi.org/10.5281/zenodo.23675279" TargetMode="External" /><Relationship Type="http://schemas.openxmlformats.org/officeDocument/2006/relationships/hyperlink" Id="rId186" Target="https://doi.org/10.5558/tfc65258-4" TargetMode="External" /><Relationship Type="http://schemas.openxmlformats.org/officeDocument/2006/relationships/hyperlink" Id="rId178" Target="https://doi.org/10.5772/28441" TargetMode="External" /><Relationship Type="http://schemas.openxmlformats.org/officeDocument/2006/relationships/hyperlink" Id="rId107"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184" Target="http://queimadas.dgi.inpe.br" TargetMode="External" /><Relationship Type="http://schemas.openxmlformats.org/officeDocument/2006/relationships/hyperlink" Id="rId152" Target="https://chaco.mapbiomas.org/" TargetMode="External" /><Relationship Type="http://schemas.openxmlformats.org/officeDocument/2006/relationships/hyperlink" Id="rId135" Target="https://doi.org/10.1007/s10584-015-1521-0" TargetMode="External" /><Relationship Type="http://schemas.openxmlformats.org/officeDocument/2006/relationships/hyperlink" Id="rId145" Target="https://doi.org/10.1016/S0034-4257(02)00076-7" TargetMode="External" /><Relationship Type="http://schemas.openxmlformats.org/officeDocument/2006/relationships/hyperlink" Id="rId173" Target="https://doi.org/10.1016/j.envsoft.2014.03.003" TargetMode="External" /><Relationship Type="http://schemas.openxmlformats.org/officeDocument/2006/relationships/hyperlink" Id="rId180" Target="https://doi.org/10.1016/j.firesaf.2019.01.006" TargetMode="External" /><Relationship Type="http://schemas.openxmlformats.org/officeDocument/2006/relationships/hyperlink" Id="rId190" Target="https://doi.org/10.1016/j.jaridenv.2014.11.009" TargetMode="External" /><Relationship Type="http://schemas.openxmlformats.org/officeDocument/2006/relationships/hyperlink" Id="rId161" Target="https://doi.org/10.1016/j.pecon.2021.06.005" TargetMode="External" /><Relationship Type="http://schemas.openxmlformats.org/officeDocument/2006/relationships/hyperlink" Id="rId176" Target="https://doi.org/10.1016/j.rse.2008.05.013" TargetMode="External" /><Relationship Type="http://schemas.openxmlformats.org/officeDocument/2006/relationships/hyperlink" Id="rId182" Target="https://doi.org/10.1016/j.rse.2013.12.008" TargetMode="External" /><Relationship Type="http://schemas.openxmlformats.org/officeDocument/2006/relationships/hyperlink" Id="rId137" Target="https://doi.org/10.1016/j.rse.2016.02.054" TargetMode="External" /><Relationship Type="http://schemas.openxmlformats.org/officeDocument/2006/relationships/hyperlink" Id="rId139" Target="https://doi.org/10.1016/j.rse.2017.06.031" TargetMode="External" /><Relationship Type="http://schemas.openxmlformats.org/officeDocument/2006/relationships/hyperlink" Id="rId126" Target="https://doi.org/10.1016/j.rse.2019.02.013" TargetMode="External" /><Relationship Type="http://schemas.openxmlformats.org/officeDocument/2006/relationships/hyperlink" Id="rId195" Target="https://doi.org/10.1029/2005JD006318" TargetMode="External" /><Relationship Type="http://schemas.openxmlformats.org/officeDocument/2006/relationships/hyperlink" Id="rId143" Target="https://doi.org/10.1038/ncomms8537" TargetMode="External" /><Relationship Type="http://schemas.openxmlformats.org/officeDocument/2006/relationships/hyperlink" Id="rId164" Target="https://doi.org/10.1038/s41467-020-18321-y" TargetMode="External" /><Relationship Type="http://schemas.openxmlformats.org/officeDocument/2006/relationships/hyperlink" Id="rId169" Target="https://doi.org/10.1038/s41586-019-0912-1" TargetMode="External" /><Relationship Type="http://schemas.openxmlformats.org/officeDocument/2006/relationships/hyperlink" Id="rId118" Target="https://doi.org/10.1038/s41597-019-0312-2" TargetMode="External" /><Relationship Type="http://schemas.openxmlformats.org/officeDocument/2006/relationships/hyperlink" Id="rId150" Target="https://doi.org/10.1038/s42256-019-0138-9" TargetMode="External" /><Relationship Type="http://schemas.openxmlformats.org/officeDocument/2006/relationships/hyperlink" Id="rId133" Target="https://doi.org/10.1071/WF08187" TargetMode="External" /><Relationship Type="http://schemas.openxmlformats.org/officeDocument/2006/relationships/hyperlink" Id="rId116" Target="https://doi.org/10.1071/WF12167" TargetMode="External" /><Relationship Type="http://schemas.openxmlformats.org/officeDocument/2006/relationships/hyperlink" Id="rId128" Target="https://doi.org/10.1088/1748-9326/ab020e" TargetMode="External" /><Relationship Type="http://schemas.openxmlformats.org/officeDocument/2006/relationships/hyperlink" Id="rId154" Target="https://doi.org/10.1111/2041-210X.13650" TargetMode="External" /><Relationship Type="http://schemas.openxmlformats.org/officeDocument/2006/relationships/hyperlink" Id="rId171" Target="https://doi.org/10.1111/ecog.02881" TargetMode="External" /><Relationship Type="http://schemas.openxmlformats.org/officeDocument/2006/relationships/hyperlink" Id="rId122" Target="https://doi.org/10.1111/gcb.13521" TargetMode="External" /><Relationship Type="http://schemas.openxmlformats.org/officeDocument/2006/relationships/hyperlink" Id="rId130" Target="https://doi.org/10.1111/j.2007.0906-7590.05171.x" TargetMode="External" /><Relationship Type="http://schemas.openxmlformats.org/officeDocument/2006/relationships/hyperlink" Id="rId141" Target="https://doi.org/10.1139/er-2020-0019" TargetMode="External" /><Relationship Type="http://schemas.openxmlformats.org/officeDocument/2006/relationships/hyperlink" Id="rId158" Target="https://doi.org/10.1145/1102351.1102430" TargetMode="External" /><Relationship Type="http://schemas.openxmlformats.org/officeDocument/2006/relationships/hyperlink" Id="rId124" Target="https://doi.org/10.1145/2939672.2939785" TargetMode="External" /><Relationship Type="http://schemas.openxmlformats.org/officeDocument/2006/relationships/hyperlink" Id="rId167" Target="https://doi.org/10.1145/3299869.3320212" TargetMode="External" /><Relationship Type="http://schemas.openxmlformats.org/officeDocument/2006/relationships/hyperlink" Id="rId193" Target="https://doi.org/10.1145/3514228" TargetMode="External" /><Relationship Type="http://schemas.openxmlformats.org/officeDocument/2006/relationships/hyperlink" Id="rId188" Target="https://doi.org/10.2307/143141" TargetMode="External" /><Relationship Type="http://schemas.openxmlformats.org/officeDocument/2006/relationships/hyperlink" Id="rId148" Target="https://doi.org/10.2307/1939924" TargetMode="External" /><Relationship Type="http://schemas.openxmlformats.org/officeDocument/2006/relationships/hyperlink" Id="rId114" Target="https://doi.org/10.3390/rs10091438" TargetMode="External" /><Relationship Type="http://schemas.openxmlformats.org/officeDocument/2006/relationships/hyperlink" Id="rId120" Target="https://doi.org/10.3390/s20226442" TargetMode="External" /><Relationship Type="http://schemas.openxmlformats.org/officeDocument/2006/relationships/hyperlink" Id="rId156" Target="https://doi.org/10.5194/essd-13-4349-2021" TargetMode="External" /><Relationship Type="http://schemas.openxmlformats.org/officeDocument/2006/relationships/hyperlink" Id="rId108" Target="https://doi.org/10.5281/zenodo.23675105" TargetMode="External" /><Relationship Type="http://schemas.openxmlformats.org/officeDocument/2006/relationships/hyperlink" Id="rId109" Target="https://doi.org/10.5281/zenodo.23675279" TargetMode="External" /><Relationship Type="http://schemas.openxmlformats.org/officeDocument/2006/relationships/hyperlink" Id="rId186" Target="https://doi.org/10.5558/tfc65258-4" TargetMode="External" /><Relationship Type="http://schemas.openxmlformats.org/officeDocument/2006/relationships/hyperlink" Id="rId178" Target="https://doi.org/10.5772/28441" TargetMode="External" /><Relationship Type="http://schemas.openxmlformats.org/officeDocument/2006/relationships/hyperlink" Id="rId107"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desacoplamiento y benchmarking de ignición y propagación de incendios en el Gran Chaco (2018–2025)</dc:title>
  <dc:creator/>
  <dc:language>es</dc:language>
  <cp:keywords/>
  <dcterms:created xsi:type="dcterms:W3CDTF">2026-10-26T20:53:53Z</dcterms:created>
  <dcterms:modified xsi:type="dcterms:W3CDTF">2026-10-26T20:53:53Z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Targets D2, inferencia con gating y fallback M1/M3, y benchmark abierto frente a Canadian FWI e INPE Risco de Fogo</vt:lpwstr>
  </property>
  <property fmtid="{D5CDD505-2E9C-101B-9397-08002B2CF9AE}" pid="14" name="tbl-cap-location">
    <vt:lpwstr>top</vt:lpwstr>
  </property>
  <property fmtid="{D5CDD505-2E9C-101B-9397-08002B2CF9AE}" pid="15" name="toc-title">
    <vt:lpwstr>Contenido del Manuscrito</vt:lpwstr>
  </property>
</Properties>
</file>