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 Page / Portada de Identificación</w:t>
      </w:r>
    </w:p>
    <w:p>
      <w:pPr>
        <w:pStyle w:val="Subtitle"/>
      </w:pPr>
      <w:r>
        <w:t xml:space="preserve">Un marco computacional reproducible para el desacoplamiento y benchmarking de ignición y propagación de incendios en el Gran Chaco (2018–2025)</w:t>
      </w:r>
    </w:p>
    <w:p>
      <w:pPr>
        <w:pStyle w:val="Date"/>
      </w:pPr>
      <w:r>
        <w:t xml:space="preserve">2026-10-24</w:t>
      </w:r>
    </w:p>
    <w:bookmarkStart w:id="9" w:name="X91b8e933fbe09d3a75c28ccb4dc2bb04727a969"/>
    <w:p>
      <w:pPr>
        <w:pStyle w:val="Heading1"/>
      </w:pPr>
      <w:r>
        <w:t xml:space="preserve">1. Información del Manuscrito / Article Details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Principal (Español):</w:t>
      </w:r>
      <w:r>
        <w:br/>
      </w:r>
      <w:r>
        <w:rPr>
          <w:i/>
          <w:iCs/>
        </w:rPr>
        <w:t xml:space="preserve">Un marco computacional reproducible para el desacoplamiento y benchmarking de ignición y propagación de incendios en el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Subtítulo (Español):</w:t>
      </w:r>
      <w:r>
        <w:br/>
      </w:r>
      <w:r>
        <w:rPr>
          <w:i/>
          <w:iCs/>
        </w:rPr>
        <w:t xml:space="preserve">Targets D2, inferencia con gating y fallback M1/M3, y benchmark abierto frente a Canadian FWI e INPE Risco de Fogo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Title (English):</w:t>
      </w:r>
      <w:r>
        <w:br/>
      </w:r>
      <w:r>
        <w:rPr>
          <w:i/>
          <w:iCs/>
        </w:rPr>
        <w:t xml:space="preserve">A Reproducible Computational Framework for Decoupled Wildfire Ignition and Propagation Benchmarking in the Gran Chaco (2018–2025)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Subtitle (English):</w:t>
      </w:r>
      <w:r>
        <w:br/>
      </w:r>
      <w:r>
        <w:rPr>
          <w:i/>
          <w:iCs/>
        </w:rPr>
        <w:t xml:space="preserve">D2 Targets, Gated M3/M1 Inference and an Open Benchmark Against Canadian FWI and INPE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Título Corto / Running Head:</w:t>
      </w:r>
      <w:r>
        <w:br/>
      </w:r>
      <w:r>
        <w:rPr>
          <w:i/>
          <w:iCs/>
        </w:rPr>
        <w:t xml:space="preserve">Reproducible Decoupled Wildfire Benchmarking in the Gran Chaco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Revista Objetivo / Target Journal:</w:t>
      </w:r>
      <w:r>
        <w:br/>
      </w:r>
      <w:r>
        <w:rPr>
          <w:i/>
          <w:iCs/>
        </w:rPr>
        <w:t xml:space="preserve">Computers &amp; Geosciences</w:t>
      </w:r>
      <w:r>
        <w:t xml:space="preserve"> </w:t>
      </w:r>
      <w:r>
        <w:t xml:space="preserve">(Elsevier, ISSN: 0098-3004)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Áreas Temáticas de la Revista:</w:t>
      </w:r>
      <w:r>
        <w:br/>
      </w:r>
      <w:r>
        <w:rPr>
          <w:i/>
          <w:iCs/>
        </w:rPr>
        <w:t xml:space="preserve">Computer Science Applications</w:t>
      </w:r>
      <w:r>
        <w:t xml:space="preserve"> </w:t>
      </w:r>
      <w:r>
        <w:t xml:space="preserve">&amp;</w:t>
      </w:r>
      <w:r>
        <w:t xml:space="preserve"> </w:t>
      </w:r>
      <w:r>
        <w:rPr>
          <w:i/>
          <w:iCs/>
        </w:rPr>
        <w:t xml:space="preserve">Earth and Planetary Sciences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Modalidad de Revisión / Peer Review Track:</w:t>
      </w:r>
      <w:r>
        <w:br/>
      </w:r>
      <w:r>
        <w:t xml:space="preserve">Revisión de un solo anonimizado (</w:t>
      </w:r>
      <w:r>
        <w:rPr>
          <w:i/>
          <w:iCs/>
        </w:rPr>
        <w:t xml:space="preserve">Single-Anonymized Peer Review</w:t>
      </w:r>
      <w:r>
        <w:t xml:space="preserve">, política de C&amp;G)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 de Artículo / Article Type:</w:t>
      </w:r>
      <w:r>
        <w:br/>
      </w:r>
      <w:r>
        <w:rPr>
          <w:i/>
          <w:iCs/>
        </w:rPr>
        <w:t xml:space="preserve">Research Paper</w:t>
      </w:r>
      <w:r>
        <w:t xml:space="preserve"> </w:t>
      </w:r>
      <w:r>
        <w:t xml:space="preserve">(Metodología Computacional y Algorítmica en Geociencias)</w:t>
      </w:r>
    </w:p>
    <w:p>
      <w:r>
        <w:pict>
          <v:rect style="width:0;height:1.5pt" o:hralign="center" o:hrstd="t" o:hr="t"/>
        </w:pict>
      </w:r>
    </w:p>
    <w:bookmarkEnd w:id="9"/>
    <w:bookmarkStart w:id="11" w:name="Xfb8a93190f39b9b145f294f58bd1a7ddd9c53de"/>
    <w:p>
      <w:pPr>
        <w:pStyle w:val="Heading1"/>
      </w:pPr>
      <w:r>
        <w:t xml:space="preserve">2. Autores y Afiliaciones / Authors and Affiliations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Autor:</w:t>
      </w:r>
      <w:r>
        <w:br/>
      </w:r>
      <w:r>
        <w:rPr>
          <w:b/>
          <w:bCs/>
        </w:rPr>
        <w:t xml:space="preserve">Martín Sánchez Insfrán, MD</w:t>
      </w:r>
      <w:r>
        <w:br/>
      </w:r>
      <w:r>
        <w:rPr>
          <w:i/>
          <w:iCs/>
        </w:rPr>
        <w:t xml:space="preserve">Investigador Independiente / Médico Cirujano</w:t>
      </w:r>
      <w:r>
        <w:br/>
      </w:r>
      <w:r>
        <w:t xml:space="preserve">Asunción, Paraguay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ORCID:</w:t>
      </w:r>
      <w:r>
        <w:t xml:space="preserve"> </w:t>
      </w:r>
      <w:hyperlink r:id="rId10">
        <w:r>
          <w:rPr>
            <w:rStyle w:val="Hyperlink"/>
          </w:rPr>
          <w:t xml:space="preserve">0000-0003-4138-9668</w:t>
        </w:r>
      </w:hyperlink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Rol:</w:t>
      </w:r>
      <w:r>
        <w:t xml:space="preserve"> </w:t>
      </w:r>
      <w:r>
        <w:t xml:space="preserve">Conceptualización, diseño de arquitectura de software, ingeniería de datos espaciales, modelado predictivo, benchmarking, redacción y validación.</w:t>
      </w:r>
    </w:p>
    <w:p>
      <w:r>
        <w:pict>
          <v:rect style="width:0;height:1.5pt" o:hralign="center" o:hrstd="t" o:hr="t"/>
        </w:pict>
      </w:r>
    </w:p>
    <w:bookmarkEnd w:id="11"/>
    <w:bookmarkStart w:id="12" w:name="X8ab1327f2b895b77afb78b769bce3bafbc6d551"/>
    <w:p>
      <w:pPr>
        <w:pStyle w:val="Heading1"/>
      </w:pPr>
      <w:r>
        <w:t xml:space="preserve">3. Aspectos Destacados / Highlights (Obligatorio en Elsevier)</w:t>
      </w:r>
    </w:p>
    <w:p>
      <w:pPr>
        <w:pStyle w:val="BlockText"/>
      </w:pPr>
      <w:r>
        <w:rPr>
          <w:i/>
          <w:iCs/>
        </w:rPr>
        <w:t xml:space="preserve">Lineamientos de Computers &amp; Geosciences: 3 a 5 puntos concisos, máximo 85 caracteres cada uno (incluidos espacios).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Biophysical gating removes 21.7% of cell-days and retains 97.17% of detections.</w:t>
      </w:r>
      <w:r>
        <w:t xml:space="preserve"> </w:t>
      </w:r>
      <w:r>
        <w:t xml:space="preserve">(79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Decoupled models isolate physical ignition risk from tactical t-1 fire spread.</w:t>
      </w:r>
      <w:r>
        <w:t xml:space="preserve"> </w:t>
      </w:r>
      <w:r>
        <w:t xml:space="preserve">(78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Monotonic Platt-calibrated LightGBM beats full Canadian FWI and INPE Risco de Fogo.</w:t>
      </w:r>
      <w:r>
        <w:t xml:space="preserve"> </w:t>
      </w:r>
      <w:r>
        <w:t xml:space="preserve">(83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50-km spatial block holdout completed; M1 fallback for cells without fire history.</w:t>
      </w:r>
      <w:r>
        <w:t xml:space="preserve"> </w:t>
      </w:r>
      <w:r>
        <w:t xml:space="preserve">(82 chars)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DuckDB and Polars score 400,006 cells in 1.57 s and 2.18 GB peak RAM.</w:t>
      </w:r>
      <w:r>
        <w:t xml:space="preserve"> </w:t>
      </w:r>
      <w:r>
        <w:t xml:space="preserve">(69 chars)</w:t>
      </w:r>
    </w:p>
    <w:p>
      <w:r>
        <w:pict>
          <v:rect style="width:0;height:1.5pt" o:hralign="center" o:hrstd="t" o:hr="t"/>
        </w:pict>
      </w:r>
    </w:p>
    <w:bookmarkEnd w:id="12"/>
    <w:bookmarkStart w:id="13" w:name="resumen-gráfico-graphical-abstract"/>
    <w:p>
      <w:pPr>
        <w:pStyle w:val="Heading1"/>
      </w:pPr>
      <w:r>
        <w:t xml:space="preserve">4. Resumen Gráfico / Graphical Abstract</w:t>
      </w:r>
    </w:p>
    <w:p>
      <w:pPr>
        <w:pStyle w:val="BlockText"/>
      </w:pPr>
      <w:r>
        <w:t xml:space="preserve">Graphical abstract to be generated as a separate file after the final figure redesign. The previous draft still contained obsolete metrics and is not suitable for submission.</w:t>
      </w:r>
    </w:p>
    <w:p>
      <w:r>
        <w:pict>
          <v:rect style="width:0;height:1.5pt" o:hralign="center" o:hrstd="t" o:hr="t"/>
        </w:pict>
      </w:r>
    </w:p>
    <w:bookmarkEnd w:id="13"/>
    <w:bookmarkStart w:id="16" w:name="resumen-abstract-keywords"/>
    <w:p>
      <w:pPr>
        <w:pStyle w:val="Heading1"/>
      </w:pPr>
      <w:r>
        <w:t xml:space="preserve">5. Resumen / Abstract &amp; Keywords</w:t>
      </w:r>
    </w:p>
    <w:bookmarkStart w:id="14" w:name="resumen-español"/>
    <w:p>
      <w:pPr>
        <w:pStyle w:val="Heading3"/>
      </w:pPr>
      <w:r>
        <w:t xml:space="preserve">Resumen (Español)</w:t>
      </w:r>
    </w:p>
    <w:p>
      <w:pPr>
        <w:pStyle w:val="FirstParagraph"/>
      </w:pPr>
      <w:r>
        <w:t xml:space="preserve">La predicción operativa de incendios con aprendizaje automático sufre fugas espaciales y una limitada transferibilidad de los índices boreales a biomas subtropicales. Presentamos un marco computacional reproducible que separa ignición primaria y propagación táctica y hace explícitos la construcción de targets, la inferencia con gating y el protocolo de evaluación. La definición D2 exige que la ignición no tenga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en 25 km ni fuego en la misma celda en 10 días; la propagación se evalúa dentro de 25 km de un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gating biofísico elimina celdas no combustibles o húmedas; un modelo híbrido LightGBM 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 predice ignición sin variables de fuego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con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como fallback para celdas sin historia; la propagación usa un kernel causal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 Un pipeline</w:t>
      </w:r>
      <w:r>
        <w:t xml:space="preserve"> </w:t>
      </w:r>
      <w:r>
        <w:rPr>
          <w:i/>
          <w:iCs/>
        </w:rPr>
        <w:t xml:space="preserve">zero-copy</w:t>
      </w:r>
      <w:r>
        <w:t xml:space="preserve"> </w:t>
      </w:r>
      <w:r>
        <w:t xml:space="preserve">en Polars/DuckDB evalúa 400.006 celdas de 1 km², y un harness reproducible combina bootstrap agrupado por fecha, bloques espaciales de 50 km, lead-time y cost-loss. En test ciego 2024–2025 (1.813.966 celdas-día-tarea),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alcanza ROC-AUC 0,7851/0,7485 (Chaco/Oriental), frente a 0,5185/0,5569 del FWI completo y 0,5386/0,4994 del INPE; la propagación alcanza 0,8989/0,7799. La precisión poblacional de ignición es solo 0,062 %/0,206 %, por lo que el sistema es un nowcast y herramienta de priorización, no una alerta autónoma.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pierde transferibilidad espacial (0,6243/0,5754), mientras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es más robusto (0,6338/0,6176), lo que motiva el fallback. Código y datos están archivados con DOI. La contribución es un protocolo computacional y un benchmark reproducible, no un nuevo algoritmo de</w:t>
      </w:r>
      <w:r>
        <w:t xml:space="preserve"> </w:t>
      </w:r>
      <w:r>
        <w:rPr>
          <w:i/>
          <w:iCs/>
        </w:rPr>
        <w:t xml:space="preserve">boosting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Incendios forestales; GeoAI; reproducibilidad; validación espacial; LightGBM; Gran Chaco.</w:t>
      </w:r>
    </w:p>
    <w:p>
      <w:r>
        <w:pict>
          <v:rect style="width:0;height:1.5pt" o:hralign="center" o:hrstd="t" o:hr="t"/>
        </w:pict>
      </w:r>
    </w:p>
    <w:bookmarkEnd w:id="14"/>
    <w:bookmarkStart w:id="15" w:name="abstract-english"/>
    <w:p>
      <w:pPr>
        <w:pStyle w:val="Heading3"/>
      </w:pPr>
      <w:r>
        <w:t xml:space="preserve">Abstract (English)</w:t>
      </w:r>
    </w:p>
    <w:p>
      <w:pPr>
        <w:pStyle w:val="FirstParagraph"/>
      </w:pPr>
      <w:r>
        <w:t xml:space="preserve">Wildfire machine learning often suffers from spatial leakage and from the limited transferability of boreal fire-weather indices to subtropical biomes. We present a reproducible computational framework that separates primary ignition from tactical propagation and makes target construction, gated inference and evaluation explicit. D2 defines ignition as fire at day t with no t-1 fire within 25 km and no same-cell fire in the previous 10 days; propagation is evaluated within 25 km of a t-1 fire. A biophysical gate removes non-combustible and wet cell-days. A hybrid LightGBM model (M3) predicts ignition without t-1 fire inputs, with M1 as a fallback for cells without fire history; propagation uses a causal t-1 kernel. A zero-copy Polars/DuckDB pipeline scores 400,006 1-km² cells, and a reproducible harness combines grouped-by-date bootstrap, 50-km spatial blocks, lead-time and cost-loss analyses. In the 2024–2025 held-out test (1,813,966 task cell-days), M3 reaches ROC-AUC 0.7851/0.7485 (Chaco/Oriental), versus 0.5185/0.5569 for full Canadian FWI and 0.5386/0.4994 for INPE; propagation reaches 0.8989/0.7799. Population-level ignition precision is only 0.062 %/0.206 %, so the system is a nowcast and prioritisation tool, not a stand-alone warning system. M3 loses spatial transferability (0.6243/0.5754), whereas M1 is more robust (0.6338/0.6176), motivating the fallback. Code and data are archived with DOIs. The contribution is a reproducible computational protocol and benchmark, not a new boosting algorithm.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Wildfire nowcasting; GeoAI; reproducibility; spatial cross-validation; LightGBM; Gran Chaco.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Xc3df9541fd9aa2ebc242b360f3fcbbede422e9d"/>
    <w:p>
      <w:pPr>
        <w:pStyle w:val="Heading1"/>
      </w:pPr>
      <w:r>
        <w:t xml:space="preserve">6. Declaraciones Obligatorias de Elsevier / Declarations</w:t>
      </w:r>
    </w:p>
    <w:bookmarkStart w:id="20" w:name="X70f8decb7765084b7f9d2e73c83f15df9b20afc"/>
    <w:p>
      <w:pPr>
        <w:pStyle w:val="Heading3"/>
      </w:pPr>
      <w:r>
        <w:t xml:space="preserve">A. Disponibilidad del Código Computacional / Computer Code Availability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Nombre del Software:</w:t>
      </w:r>
      <w:r>
        <w:t xml:space="preserve"> </w:t>
      </w:r>
      <w:r>
        <w:rPr>
          <w:rStyle w:val="VerbatimChar"/>
        </w:rPr>
        <w:t xml:space="preserve">Incendios_PY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Desarrollador / Contacto:</w:t>
      </w:r>
      <w:r>
        <w:t xml:space="preserve"> </w:t>
      </w:r>
      <w:r>
        <w:t xml:space="preserve">Martín Sánchez Insfrán (</w:t>
      </w:r>
      <w:r>
        <w:rPr>
          <w:rStyle w:val="VerbatimChar"/>
        </w:rPr>
        <w:t xml:space="preserve">sanchez.martin093@gmail.com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Año de Primera Disponibilidad:</w:t>
      </w:r>
      <w:r>
        <w:t xml:space="preserve"> </w:t>
      </w:r>
      <w:r>
        <w:t xml:space="preserve">2026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Requerido:</w:t>
      </w:r>
      <w:r>
        <w:t xml:space="preserve"> </w:t>
      </w:r>
      <w:r>
        <w:t xml:space="preserve">Procesador multinúcleo x86_64 o ARM64 (Apple Silicon M-Series o procesador estándar Intel/AMD); mínimo 8 GB de RAM.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Software Requerido:</w:t>
      </w:r>
      <w:r>
        <w:t xml:space="preserve"> </w:t>
      </w:r>
      <w:r>
        <w:t xml:space="preserve">Python 3.12+, DuckDB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Polars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t xml:space="preserve">, LightGBM</w:t>
      </w:r>
      <w:r>
        <w:t xml:space="preserve"> </w:t>
      </w:r>
      <m:oMath>
        <m:r>
          <m:rPr>
            <m:sty m:val="p"/>
          </m:rPr>
          <m:t>≥</m:t>
        </m:r>
        <m:r>
          <m:t>4.0</m:t>
        </m:r>
      </m:oMath>
      <w:r>
        <w:t xml:space="preserve">, Quarto</w:t>
      </w:r>
      <w:r>
        <w:t xml:space="preserve"> </w:t>
      </w:r>
      <m:oMath>
        <m:r>
          <m:rPr>
            <m:sty m:val="p"/>
          </m:rPr>
          <m:t>≥</m:t>
        </m:r>
        <m:r>
          <m:t>1.5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Lenguaje de Programación:</w:t>
      </w:r>
      <w:r>
        <w:t xml:space="preserve"> </w:t>
      </w:r>
      <w:r>
        <w:t xml:space="preserve">Python (con extensiones vectorizadas en C++ y Rust).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Disponibilidad y Licencia:</w:t>
      </w:r>
      <w:r>
        <w:t xml:space="preserve"> </w:t>
      </w:r>
      <w:r>
        <w:t xml:space="preserve">Código abierto bajo Licencia 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Repositorio Oficial:</w:t>
      </w:r>
      <w:r>
        <w:t xml:space="preserve"> </w:t>
      </w:r>
      <w:hyperlink r:id="rId17">
        <w:r>
          <w:rPr>
            <w:rStyle w:val="Hyperlink"/>
          </w:rPr>
          <w:t xml:space="preserve">https://github.com/sanchezmartin093-code/Incendios_PY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del Código:</w:t>
      </w:r>
      <w:r>
        <w:t xml:space="preserve"> </w:t>
      </w:r>
      <w:hyperlink r:id="rId18">
        <w:r>
          <w:rPr>
            <w:rStyle w:val="Hyperlink"/>
          </w:rPr>
          <w:t xml:space="preserve">10.5281/zenodo.23675105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DOI de los Datos:</w:t>
      </w:r>
      <w:r>
        <w:t xml:space="preserve"> </w:t>
      </w:r>
      <w:hyperlink r:id="rId19">
        <w:r>
          <w:rPr>
            <w:rStyle w:val="Hyperlink"/>
          </w:rPr>
          <w:t xml:space="preserve">10.5281/zenodo.23675279</w:t>
        </w:r>
      </w:hyperlink>
    </w:p>
    <w:bookmarkEnd w:id="20"/>
    <w:bookmarkStart w:id="24" w:name="X2e6a9152266b96449fe18b3a1b6306101b90c46"/>
    <w:p>
      <w:pPr>
        <w:pStyle w:val="Heading3"/>
      </w:pPr>
      <w:r>
        <w:t xml:space="preserve">B. Disponibilidad de Datos / Data Availability Statement</w:t>
      </w:r>
    </w:p>
    <w:p>
      <w:pPr>
        <w:pStyle w:val="FirstParagraph"/>
      </w:pPr>
      <w:r>
        <w:t xml:space="preserve">Todos los conjuntos de datos primarios utilizados son de acceso público internacional y gratuito: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Detecciones térmicas activas:</w:t>
      </w:r>
      <w:r>
        <w:t xml:space="preserve"> </w:t>
      </w:r>
      <w:r>
        <w:t xml:space="preserve">NASA FIRMS (sensores VIIRS Suomi-NPP, NOAA-20 y NOAA-21) disponibles en</w:t>
      </w:r>
      <w:r>
        <w:t xml:space="preserve"> </w:t>
      </w:r>
      <w:hyperlink r:id="rId21">
        <w:r>
          <w:rPr>
            <w:rStyle w:val="Hyperlink"/>
          </w:rPr>
          <w:t xml:space="preserve">firms.modaps.eosdis.nasa.gov</w:t>
        </w:r>
      </w:hyperlink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Reanálisis meteorológico:</w:t>
      </w:r>
      <w:r>
        <w:t xml:space="preserve"> </w:t>
      </w:r>
      <w:r>
        <w:t xml:space="preserve">Copernicus Climate Data Store (CDS) ERA5-Land reanalysis (</w:t>
      </w:r>
      <w:hyperlink r:id="rId22">
        <w:r>
          <w:rPr>
            <w:rStyle w:val="Hyperlink"/>
          </w:rPr>
          <w:t xml:space="preserve">cds.climate.copernicus.eu</w:t>
        </w:r>
      </w:hyperlink>
      <w:r>
        <w:t xml:space="preserve">) procesado mediante pipeline nativo ECMWF CDS API (</w:t>
      </w:r>
      <w:r>
        <w:rPr>
          <w:rStyle w:val="VerbatimChar"/>
        </w:rPr>
        <w:t xml:space="preserve">src/clima_cds.py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Cobertura vegetal y biomas:</w:t>
      </w:r>
      <w:r>
        <w:t xml:space="preserve"> </w:t>
      </w:r>
      <w:r>
        <w:t xml:space="preserve">objetivo MapBiomas Chaco y Bosque Atlántico; se usa MapBiomas real (</w:t>
      </w:r>
      <w:r>
        <w:rPr>
          <w:rStyle w:val="VerbatimChar"/>
        </w:rPr>
        <w:t xml:space="preserve">collection2_2023</w:t>
      </w:r>
      <w:r>
        <w:t xml:space="preserve">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Límites cartográficos nacionales:</w:t>
      </w:r>
      <w:r>
        <w:t xml:space="preserve"> </w:t>
      </w:r>
      <w:r>
        <w:t xml:space="preserve">Marco geoBoundaries ADM0 y ADM1 (</w:t>
      </w:r>
      <w:hyperlink r:id="rId23">
        <w:r>
          <w:rPr>
            <w:rStyle w:val="Hyperlink"/>
          </w:rPr>
          <w:t xml:space="preserve">geoboundaries.org</w:t>
        </w:r>
      </w:hyperlink>
      <w:r>
        <w:t xml:space="preserve">).</w:t>
      </w:r>
      <w:r>
        <w:br/>
      </w:r>
      <w:r>
        <w:t xml:space="preserve">Los datasets consolidados y procesados no se versionan en git; se documentan con hashes en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y están archivados en Zenodo bajo licencia CC BY 4.0:</w:t>
      </w:r>
      <w:r>
        <w:t xml:space="preserve"> </w:t>
      </w:r>
      <w:hyperlink r:id="rId19">
        <w:r>
          <w:rPr>
            <w:rStyle w:val="Hyperlink"/>
          </w:rPr>
          <w:t xml:space="preserve">10.5281/zenodo.23675279</w:t>
        </w:r>
      </w:hyperlink>
      <w:r>
        <w:t xml:space="preserve">.</w:t>
      </w:r>
    </w:p>
    <w:bookmarkEnd w:id="24"/>
    <w:bookmarkStart w:id="25" w:name="c.-financiamiento-funding"/>
    <w:p>
      <w:pPr>
        <w:pStyle w:val="Heading3"/>
      </w:pPr>
      <w:r>
        <w:t xml:space="preserve">C. Financiamiento / Funding</w:t>
      </w:r>
    </w:p>
    <w:p>
      <w:pPr>
        <w:pStyle w:val="FirstParagraph"/>
      </w:pPr>
      <w:r>
        <w:t xml:space="preserve">Esta investigación fue realizada como un desarrollo de investigación independiente y de acceso abierto autofinanciado por el autor. No se recibieron subvenciones específicas de organismos del sector público, comercial o sin fines de lucro.</w:t>
      </w:r>
    </w:p>
    <w:bookmarkEnd w:id="25"/>
    <w:bookmarkStart w:id="26" w:name="Xae657ab1a92bd8f09f57de06fc35a8d594aaeca"/>
    <w:p>
      <w:pPr>
        <w:pStyle w:val="Heading3"/>
      </w:pPr>
      <w:r>
        <w:t xml:space="preserve">D. Conflicto de Intereses / Competing Interests</w:t>
      </w:r>
    </w:p>
    <w:p>
      <w:pPr>
        <w:pStyle w:val="FirstParagraph"/>
      </w:pPr>
      <w:r>
        <w:t xml:space="preserve">El autor declara que no existen conflictos de interés financieros, institucionales ni personales que hayan podido influir en el diseño, análisis, interpretación o presentación de los resultados expuestos en este manuscrito.</w:t>
      </w:r>
    </w:p>
    <w:bookmarkEnd w:id="26"/>
    <w:bookmarkStart w:id="27" w:name="X165867c682dba5cbdd9d30e774da206830c2fdb"/>
    <w:p>
      <w:pPr>
        <w:pStyle w:val="Heading3"/>
      </w:pPr>
      <w:r>
        <w:t xml:space="preserve">E. Contribución de Autores / Author Contributions (CRediT)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Martín Sánchez Insfrán:</w:t>
      </w:r>
      <w:r>
        <w:t xml:space="preserve"> </w:t>
      </w:r>
      <w:r>
        <w:t xml:space="preserve">Conceptualización, Metodología, Software, Validación, Análisis Formal, Investigación, Recursos, Curación de Datos, Redacción - Borrador Original, Redacción - Revisión y Edición, Visualización, Supervisión y Administración del Proyecto.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cds.climate.copernicus.eu/" TargetMode="External" /><Relationship Type="http://schemas.openxmlformats.org/officeDocument/2006/relationships/hyperlink" Id="rId18" Target="https://doi.org/10.5281/zenodo.23675105" TargetMode="External" /><Relationship Type="http://schemas.openxmlformats.org/officeDocument/2006/relationships/hyperlink" Id="rId19" Target="https://doi.org/10.5281/zenodo.23675279" TargetMode="External" /><Relationship Type="http://schemas.openxmlformats.org/officeDocument/2006/relationships/hyperlink" Id="rId21" Target="https://firms.modaps.eosdis.nasa.gov/" TargetMode="External" /><Relationship Type="http://schemas.openxmlformats.org/officeDocument/2006/relationships/hyperlink" Id="rId17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3" Target="https://www.geoboundar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ds.climate.copernicus.eu/" TargetMode="External" /><Relationship Type="http://schemas.openxmlformats.org/officeDocument/2006/relationships/hyperlink" Id="rId18" Target="https://doi.org/10.5281/zenodo.23675105" TargetMode="External" /><Relationship Type="http://schemas.openxmlformats.org/officeDocument/2006/relationships/hyperlink" Id="rId19" Target="https://doi.org/10.5281/zenodo.23675279" TargetMode="External" /><Relationship Type="http://schemas.openxmlformats.org/officeDocument/2006/relationships/hyperlink" Id="rId21" Target="https://firms.modaps.eosdis.nasa.gov/" TargetMode="External" /><Relationship Type="http://schemas.openxmlformats.org/officeDocument/2006/relationships/hyperlink" Id="rId17" Target="https://github.com/sanchezmartin093-code/Incendios_PY" TargetMode="External" /><Relationship Type="http://schemas.openxmlformats.org/officeDocument/2006/relationships/hyperlink" Id="rId10" Target="https://orcid.org/0000-0003-4138-9668" TargetMode="External" /><Relationship Type="http://schemas.openxmlformats.org/officeDocument/2006/relationships/hyperlink" Id="rId23" Target="https://www.geoboundar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 / Portada de Identificación</dc:title>
  <dc:creator/>
  <dc:language>es</dc:language>
  <cp:keywords/>
  <dcterms:created xsi:type="dcterms:W3CDTF">2026-10-26T20:53:49Z</dcterms:created>
  <dcterms:modified xsi:type="dcterms:W3CDTF">2026-10-26T20:53:49Z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2026-10-24</vt:lpwstr>
  </property>
  <property fmtid="{D5CDD505-2E9C-101B-9397-08002B2CF9AE}" pid="4" name="date-modified">
    <vt:lpwstr>2026-10-26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Un marco computacional reproducible para el desacoplamiento y benchmarking de ignición y propagación de incendios en el Gran Chaco (2018–2025)</vt:lpwstr>
  </property>
  <property fmtid="{D5CDD505-2E9C-101B-9397-08002B2CF9AE}" pid="10" name="toc-title">
    <vt:lpwstr>Tabla de contenidos</vt:lpwstr>
  </property>
</Properties>
</file>