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p>
      <w:pPr>
        <w:pStyle w:val="FirstParagraph"/>
      </w:pPr>
      <w:r>
        <w:t>The framework operates over the national 1-km² grid of Paraguay, divided into the Dry Chaco and Oriental Region (Figure 1). All target construction, inference and evaluation steps below use this domain.</w:t>
      </w:r>
    </w:p>
    <w:tbl>
      <w:tblPr>
        <w:tblStyle w:val="Table"/>
        <w:tblW w:type="pct" w:w="5000"/>
        <w:tblLayout w:type="fixed"/>
        <w:tblLook w:firstRow="0" w:lastRow="0" w:firstColumn="0" w:lastColumn="0" w:noHBand="0" w:noVBand="0" w:val="0000"/>
      </w:tblPr>
      <w:tblGrid>
        <w:gridCol w:w="7920"/>
      </w:tblGrid>
      <w:tr>
        <w:tc>
          <w:tcPr/>
          <w:bookmarkStart w:id="13" w:name="fig-area"/>
          <w:p>
            <w:pPr>
              <w:pStyle w:val="Compact"/>
              <w:jc w:val="center"/>
            </w:pPr>
            <w:r>
              <w:drawing>
                <wp:inline>
                  <wp:extent cx="4267200" cy="4742348"/>
                  <wp:effectExtent b="0" l="0" r="0" t="0"/>
                  <wp:docPr descr="" title="" id="11" name="Picture"/>
                  <a:graphic>
                    <a:graphicData uri="http://schemas.openxmlformats.org/drawingml/2006/picture">
                      <pic:pic>
                        <pic:nvPicPr>
                          <pic:cNvPr descr="../../entregables/figuras/fig01_macro_regiones_cobertura.png" id="12" name="Picture"/>
                          <pic:cNvPicPr>
                            <a:picLocks noChangeArrowheads="1" noChangeAspect="1"/>
                          </pic:cNvPicPr>
                        </pic:nvPicPr>
                        <pic:blipFill>
                          <a:blip r:embed="rId10"/>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bookmarkEnd w:id="13"/>
        </w:tc>
      </w:tr>
    </w:tbl>
    <w:bookmarkStart w:id="14"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2</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Daily 1-km² inputs (VIIRS 375 m, ERA5-Land 3-hourly, MapBiomas C2, Hansen GFC and causal historical priors) pass through a biophysical gate (</w:t>
            </w:r>
            <w:r>
              <w:rPr>
                <w:rStyle w:val="VerbatimChar"/>
                <w:rFonts w:ascii="Times New Roman" w:hAnsi="Times New Roman" w:cs="Times New Roman" w:eastAsia="Times New Roman"/>
                <w:i w:val="0"/>
                <w:color w:val="000000"/>
                <w:sz w:val="20"/>
              </w:rPr>
              <w:t>R48h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&lt; 10 mm is 48-h rainfall; fuel = 1, VPD ≥ 0.8 kPa); the gate removes 21.7 % of cell-days but retains 97.17 % of thermal detections and is not a label filter. (b) D2 uses</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N25(i,t−1)</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the set of cells within 25 km with fire at t−1 and</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H10(i,t)</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any same-cell detection in the previous 10 d; the domains are disjoint. Same-cell 2–10 d recurrences without a t−1 neighbour remain candidate negatives. (c) The 1:10 case-control sample is used for ignition and population denominators are retained. M3 is used where</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&gt; 0</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1 000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9360"/>
      </w:tblGrid>
      <w:tr>
        <w:tc>
          <w:tcPr>
            <w:tcW w:w="9360" w:type="dxa"/>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9360"/>
      </w:tblGrid>
      <w:tr>
        <w:tc>
          <w:tcPr>
            <w:tcW w:w="9360" w:type="dxa"/>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9360"/>
      </w:tblGrid>
      <w:tr>
        <w:tc>
          <w:tcPr>
            <w:tcW w:w="9360" w:type="dxa"/>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CellMar>
                <w:top w:w="0" w:type="dxa"/>
                <w:left w:w="36" w:type="dxa"/>
                <w:bottom w:w="0" w:type="dxa"/>
                <w:right w:w="36" w:type="dxa"/>
              </w:tblCellMar>
              <w:tblLook w:firstRow="1" w:lastRow="0" w:firstColumn="0" w:lastColumn="0" w:noHBand="0" w:noVBand="0" w:val="0020"/>
            </w:tblPr>
            <w:tblGrid>
              <w:gridCol w:w="700"/>
              <w:gridCol w:w="1950"/>
              <w:gridCol w:w="950"/>
              <w:gridCol w:w="800"/>
              <w:gridCol w:w="1050"/>
              <w:gridCol w:w="800"/>
              <w:gridCol w:w="900"/>
              <w:gridCol w:w="750"/>
              <w:gridCol w:w="750"/>
              <w:gridCol w:w="710"/>
            </w:tblGrid>
            <w:tr>
              <w:trPr>
                <w:cantSplit/>
                <w:tblHeader w:val="on"/>
              </w:trPr>
              <w:tc>
                <w:tcPr>
                  <w:tcW w:w="70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Region</w:t>
                  </w:r>
                </w:p>
              </w:tc>
              <w:tc>
                <w:tcPr>
                  <w:tcW w:w="195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Model</w:t>
                  </w:r>
                </w:p>
              </w:tc>
              <w:tc>
                <w:tcPr>
                  <w:tcW w:w="9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ROC-AUC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PR-AUC</w:t>
                  </w:r>
                </w:p>
              </w:tc>
              <w:tc>
                <w:tcPr>
                  <w:tcW w:w="10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ΔROC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 (raw)</w:t>
                  </w:r>
                </w:p>
              </w:tc>
              <w:tc>
                <w:tcPr>
                  <w:tcW w:w="9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Cutoff</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Prec. (%)</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Rec. (%)</w:t>
                  </w:r>
                </w:p>
              </w:tc>
              <w:tc>
                <w:tcPr>
                  <w:tcW w:w="71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F0.5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0.8021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0.2842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0.2218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32.82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30.30</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0.3228</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0.5059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0.0897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+0.2963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3.1285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95.73</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0.1130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0.5266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0.0964</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+0.2756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0.0364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92.47</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0.1126</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0.5512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0.1071</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+0.2509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11.43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19.32</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0.1245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0.7534</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0.2340</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0.2186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30.13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18.59</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0.2680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0.5611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+0.1922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20.4720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12.22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21.85</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0.1340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0.4973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+0.2561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0.0596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82.56</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0.1123</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0.5645</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+0.1889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0.0975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11.08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42.44</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0.1300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r>
            <w:tr>
              <w:trPr>
                <w:cantSplit/>
              </w:trPr>
              <w:tc>
                <w:tcPr>
                  <w:tcW w:w="70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+0.2534</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9360"/>
      </w:tblGrid>
      <w:tr>
        <w:tc>
          <w:tcPr>
            <w:tcW w:w="9360" w:type="dxa"/>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archived in the v2.0.1 data release (</w:t>
      </w:r>
      <w:r>
        <w:rPr>
          <w:rStyle w:val="VerbatimChar"/>
        </w:rPr>
        <w:t>Incendios_PY_data_v2.0.1.zip</w:t>
      </w:r>
      <w:r>
        <w:t>, 1.18 GB) at</w:t>
      </w:r>
      <w:r>
        <w:t xml:space="preserve"> </w:t>
      </w:r>
      <w:hyperlink r:id="rId52">
        <w:r>
          <w:rPr>
            <w:rStyle w:val="Hyperlink"/>
          </w:rPr>
          <w:t xml:space="preserve">github.com/sanchezmartin093-code/Incendios_PY/releases/tag/v2.0.1</w:t>
        </w:r>
      </w:hyperlink>
      <w:r>
        <w:t xml:space="preserve"> </w:t>
      </w:r>
      <w:r>
        <w:t>under CC BY 4.0 and are indexed by the data concept DOI</w:t>
      </w:r>
      <w:r>
        <w:t xml:space="preserve"> </w:t>
      </w:r>
      <w:hyperlink r:id="rId53">
        <w:r>
          <w:rPr>
            <w:rStyle w:val="Hyperlink"/>
          </w:rPr>
          <w:t xml:space="preserve">10.5281/zenodo.23675278</w:t>
        </w:r>
      </w:hyperlink>
      <w:r>
        <w:t>. The v2.1.0 code and tabular artifacts are in the v2.1.0 GitHub release and in</w:t>
      </w:r>
      <w:r>
        <w:t xml:space="preserve"> </w:t>
      </w:r>
      <w:r>
        <w:rPr>
          <w:rStyle w:val="VerbatimChar"/>
        </w:rPr>
        <w:t>tablas_maestro.xlsx</w:t>
      </w:r>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public data asset is 1.18 GB compressed; the full working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6">
        <w:r>
          <w:rPr>
            <w:rStyle w:val="Hyperlink"/>
          </w:rPr>
          <w:t xml:space="preserve">github.com/sanchezmartin093-code/Incendios_PY</w:t>
        </w:r>
      </w:hyperlink>
      <w:r>
        <w:t>. Code concept DOI:</w:t>
      </w:r>
      <w:r>
        <w:t xml:space="preserve"> </w:t>
      </w:r>
      <w:hyperlink r:id="rId57">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Funding</w:t>
      </w:r>
    </w:p>
    <w:p>
      <w:pPr>
        <w:pStyle w:val="FirstParagraph"/>
      </w:pPr>
      <w:r>
        <w:t>This research received no specific grant from public, commercial or not-for-profit funding agencies.</w:t>
      </w:r>
    </w:p>
    <w:bookmarkEnd w:id="59"/>
    <w:bookmarkStart w:id="60" w:name="competing-interests"/>
    <w:p>
      <w:pPr>
        <w:pStyle w:val="Heading1"/>
      </w:pPr>
      <w:r>
        <w:t>Competing interests</w:t>
      </w:r>
    </w:p>
    <w:p>
      <w:pPr>
        <w:pStyle w:val="FirstParagraph"/>
      </w:pPr>
      <w:r>
        <w:t>The author declares no competing financial or non-financial interests.</w:t>
      </w:r>
    </w:p>
    <w:bookmarkEnd w:id="60"/>
    <w:bookmarkStart w:id="61"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References</w:t>
      </w:r>
    </w:p>
    <w:bookmarkStart w:id="113" w:name="refs"/>
    <w:bookmarkStart w:id="63"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5">
        <w:r>
          <w:rPr>
            <w:rStyle w:val="Hyperlink"/>
          </w:rPr>
          <w:t xml:space="preserve">https://chaco.mapbiomas.org/</w:t>
        </w:r>
      </w:hyperlink>
      <w:r>
        <w:t xml:space="preserve"> </w:t>
      </w:r>
      <w:r>
        <w:t>(accessed 10.28.2026).</w:t>
      </w:r>
    </w:p>
    <w:bookmarkEnd w:id="86"/>
    <w:bookmarkStart w:id="88"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4">
        <w:r>
          <w:rPr>
            <w:rStyle w:val="Hyperlink"/>
          </w:rPr>
          <w:t xml:space="preserve">http://queimadas.dgi.inpe.br</w:t>
        </w:r>
      </w:hyperlink>
      <w:r>
        <w:t xml:space="preserve"> </w:t>
      </w:r>
      <w:r>
        <w:t>(accessed 10.28.2026).</w:t>
      </w:r>
    </w:p>
    <w:bookmarkEnd w:id="105"/>
    <w:bookmarkStart w:id="107"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2"/>
    <w:bookmarkEnd w:id="113"/>
    <w:bookmarkEnd w:id="114"/>
    <w:bookmarkStart w:id="115"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5"/>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0" Type="http://schemas.openxmlformats.org/officeDocument/2006/relationships/image" Target="media/rId10.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2026-10-29T14:50:49Z</dcterms:created>
  <dcterms:modified xsi:type="dcterms:W3CDTF">2026-10-29T14:50:49Z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