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2026-10-28</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manuscrito.docx</w:t>
      </w:r>
      <w:r>
        <w:t xml:space="preserve">,</w:t>
      </w:r>
      <w:r>
        <w:t xml:space="preserve"> </w:t>
      </w:r>
      <w:r>
        <w:rPr>
          <w:rStyle w:val="VerbatimChar"/>
        </w:rPr>
        <w:t xml:space="preserve">manuscrito.html</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w:t>
      </w:r>
    </w:p>
    <w:bookmarkStart w:id="9" w:name="resumen"/>
    <w:p>
      <w:pPr>
        <w:pStyle w:val="Heading1"/>
      </w:pPr>
      <w:r>
        <w:t xml:space="preserve">Resumen</w:t>
      </w:r>
    </w:p>
    <w:p>
      <w:pPr>
        <w:pStyle w:val="FirstParagraph"/>
      </w:pPr>
      <w:r>
        <w:t xml:space="preserve">La predicción de incendios con aprendizaje automático suele sufrir fugas espaciales y una transferibilidad limitada de los índices boreales a biomas subtropicales. Para la grilla de 1 km² del Chaco y la Región Oriental del Paraguay (2018–2025),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w:t>
      </w:r>
      <w:r>
        <w:t xml:space="preserve"> </w:t>
      </w:r>
      <w:r>
        <w:rPr>
          <w:i/>
          <w:iCs/>
        </w:rPr>
        <w:t xml:space="preserve">t</w:t>
      </w:r>
      <w:r>
        <w:t xml:space="preserve"> </w:t>
      </w:r>
      <w:r>
        <w:t xml:space="preserve">sin fuego a menos de 25 km en</w:t>
      </w:r>
      <w:r>
        <w:t xml:space="preserve"> </w:t>
      </w:r>
      <w:r>
        <w:rPr>
          <w:i/>
          <w:iCs/>
        </w:rPr>
        <w:t xml:space="preserve">t</w:t>
      </w:r>
      <w:r>
        <w:t xml:space="preserve">−1 ni en la misma celda durante los 10 días previos; la propagación se evalúa a menos de 25 km de un fuego en</w:t>
      </w:r>
      <w:r>
        <w:t xml:space="preserve"> </w:t>
      </w:r>
      <w:r>
        <w:rPr>
          <w:i/>
          <w:iCs/>
        </w:rPr>
        <w:t xml:space="preserve">t</w:t>
      </w:r>
      <w:r>
        <w:t xml:space="preserve">−1. Un filtro biofísico descarta celdas-día no combustibles o húmedas. Un modelo híbrido LightGBM (M3) predice la ignición sin variables de fuego en</w:t>
      </w:r>
      <w:r>
        <w:t xml:space="preserve"> </w:t>
      </w:r>
      <w:r>
        <w:rPr>
          <w:i/>
          <w:iCs/>
        </w:rPr>
        <w:t xml:space="preserve">t</w:t>
      </w:r>
      <w:r>
        <w:t xml:space="preserve">−1, empleando M2 como respaldo para celdas sin historia y M1 como línea base biofísica. En la validación de 2023, M3 alcanza ROC-AUC 0.7844/0.7628 (Chaco/Oriental) frente a 0.7817/0.7496 de M2. En bloques espaciales de 2023, M2 es el más robusto (0.6773/0.7470) y M1 no supera a M2 en celdas sin historia. Un holdout independiente de confirmación retuvo también a M2 (0.6871/0.6621). En el test retrospectivo 2024–2025, M3 alcanza 0.8021/0.7534 frente a 0.5059/0.5611 del Canadian Forest Fire Weather Index (FWI) y 0.5266/0.4973 del INPE Risco de Fogo; la propagación alcanza 0.9039/0.7859. La precisión poblacional de ignición es 0.082 %/0.198 % (IC 95 % 0.075–0.088/0.178–0.222), y el valor de decisión se concentra en la propagación, lo que confirma un papel de cribado y priorización y no un sistema de alerta autónomo. La contribución es el operador D2, la inferencia con gating y el arnés de evaluación abiertos, publicados como software reproducible.</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w:t>
      </w:r>
      <w:r>
        <w:t xml:space="preserve"> </w:t>
      </w:r>
      <w:r>
        <w:rPr>
          <w:i/>
          <w:iCs/>
        </w:rPr>
        <w:t xml:space="preserve">t</w:t>
      </w:r>
      <w:r>
        <w:t xml:space="preserve">−1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 Las dos tareas también son físicamente distintas: la ignición primaria está controlada por el curado de combustibles finos, la demanda atmosférica de agua y el manejo humano del territorio, mientras que la propagación táctica está regida por la radiación térmica y la proximidad de perímetros activos. Mezclar ambos procesos en una sola etiqueta binaria no solo introduce un atajo estadístico, sino que mezcla dos regímenes físicos que responden a predictores diferentes.</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estas restricciones metodológicas y operativas sobre el registro continuo VIIRS 2018–2025 (Suomi-NPP, NOAA-20 y NOAA-21) en una grilla nacional de 1 km² de Paraguay (400 006 celdas)</w:t>
      </w:r>
      <w:r>
        <w:t xml:space="preserve"> </w:t>
      </w:r>
      <w:r>
        <w:t xml:space="preserve">(Schroeder et al., 2014)</w:t>
      </w:r>
      <w:r>
        <w:t xml:space="preserve">. Manteniendo al aprendiz subyacente intencionalmente reemplazable, formalizamos cuatro contribuciones computacionales reutilizables:</w:t>
      </w:r>
    </w:p>
    <w:p>
      <w:pPr>
        <w:pStyle w:val="Compact"/>
        <w:numPr>
          <w:ilvl w:val="0"/>
          <w:numId w:val="1001"/>
        </w:numPr>
      </w:pPr>
      <w:r>
        <w:rPr>
          <w:b/>
          <w:bCs/>
        </w:rPr>
        <w:t xml:space="preserve">Operador de objetivos D2.</w:t>
      </w:r>
      <w:r>
        <w:t xml:space="preserve"> </w:t>
      </w:r>
      <w:r>
        <w:t xml:space="preserve">Un contrato formal que separa la ignición primaria de la propagación táctica, evita mezclar persistencia con ignición y hace explícitos los controles de fuga.</w:t>
      </w:r>
    </w:p>
    <w:p>
      <w:pPr>
        <w:pStyle w:val="Compact"/>
        <w:numPr>
          <w:ilvl w:val="0"/>
          <w:numId w:val="1001"/>
        </w:numPr>
      </w:pPr>
      <w:r>
        <w:rPr>
          <w:b/>
          <w:bCs/>
        </w:rPr>
        <w:t xml:space="preserve">Inferencia M3/M2 con gating.</w:t>
      </w:r>
      <w:r>
        <w:t xml:space="preserve"> </w:t>
      </w:r>
      <w:r>
        <w:t xml:space="preserve">Una política de dos etapas que combina cribado biofísico con un modelo híbrido consciente de la recurrencia (M3) donde existe historia de fuego y un respaldo base (M2) donde no existe.</w:t>
      </w:r>
    </w:p>
    <w:p>
      <w:pPr>
        <w:pStyle w:val="Compact"/>
        <w:numPr>
          <w:ilvl w:val="0"/>
          <w:numId w:val="1001"/>
        </w:numPr>
      </w:pPr>
      <w:r>
        <w:rPr>
          <w:b/>
          <w:bCs/>
        </w:rPr>
        <w:t xml:space="preserve">Arnés de evaluación reproducible.</w:t>
      </w:r>
      <w:r>
        <w:t xml:space="preserve"> </w:t>
      </w:r>
      <w:r>
        <w:t xml:space="preserve">Un protocolo unificado que integra holdout temporal, bloques espaciales, bootstrap agrupado por fecha, análisis de lead time, cobertura conformal y evaluación cost-loss.</w:t>
      </w:r>
    </w:p>
    <w:p>
      <w:pPr>
        <w:pStyle w:val="Compact"/>
        <w:numPr>
          <w:ilvl w:val="0"/>
          <w:numId w:val="1001"/>
        </w:numPr>
      </w:pPr>
      <w:r>
        <w:rPr>
          <w:b/>
          <w:bCs/>
        </w:rPr>
        <w:t xml:space="preserve">Software y datos abiertos.</w:t>
      </w:r>
      <w:r>
        <w:t xml:space="preserve"> </w:t>
      </w:r>
      <w:r>
        <w:t xml:space="preserve">Un pipeline vectorizado zero-copy en Polars/DuckDB con código público, DOI archivados y pruebas automatizadas.</w:t>
      </w:r>
    </w:p>
    <w:p>
      <w:pPr>
        <w:pStyle w:val="FirstParagraph"/>
      </w:pPr>
      <w:r>
        <w:t xml:space="preserve">La novedad es computacional e infraestructural más que algorítmica: D2 formaliza el contrato del objetivo, la inferencia con gating define la política operativa y el software expone ese contrato a otros aprendices. La contribución geocientífica es un benchmark transferible y controlado contra fugas: el FWI completo y el INPE se prueban bajo el mismo protocolo D2 en el Gran Chaco, y se reportan explícitamente los límites temporales y espaciales del modelo híbrido. El caso nacional es un banco de pruebas para regiones subtropicales con escasez de datos; no afirmamos validez universal.</w:t>
      </w:r>
    </w:p>
    <w:p>
      <w:pPr>
        <w:pStyle w:val="BodyText"/>
      </w:pPr>
      <w:r>
        <w:t xml:space="preserve">El resto del artículo se organiza como sigue. La Sección 2 define el operador D2, el gate biofísico, la arquitectura de inferencia desacoplada y el arnés de evaluación. La Sección 3 reporta la selección en validación 2023, el test retrospectivo 2024–2025, el benchmark frente a FWI e INPE, los análisis de generalización espacial y temporal y el valor operativo. La Sección 4 discute por qué fallan los índices canónicos, qué aporta el desacoplamiento y dónde falla, y las limitaciones del estudio. La Sección 5 concluye.</w:t>
      </w:r>
    </w:p>
    <w:bookmarkEnd w:id="10"/>
    <w:bookmarkStart w:id="23" w:name="marco-computacional"/>
    <w:p>
      <w:pPr>
        <w:pStyle w:val="Heading1"/>
      </w:pPr>
      <w:r>
        <w:t xml:space="preserve">2. Marco computacional</w:t>
      </w:r>
    </w:p>
    <w:p>
      <w:pPr>
        <w:pStyle w:val="FirstParagraph"/>
      </w:pPr>
      <w:r>
        <w:t xml:space="preserve">El marco opera sobre la grilla nacional de 1 km² de Paraguay, dividida en el Chaco Seco y la Región Oriental (Figura 1). Todos los pasos de construcción de objetivos, inferencia y evaluación usan este dominio.</w:t>
      </w:r>
    </w:p>
    <w:tbl>
      <w:tblPr>
        <w:tblStyle w:val="Table"/>
        <w:tblW w:type="pct" w:w="5000"/>
        <w:tblLayout w:type="fixed"/>
        <w:tblLook w:firstRow="0" w:lastRow="0" w:firstColumn="0" w:lastColumn="0" w:noHBand="0" w:noVBand="0" w:val="0000"/>
      </w:tblPr>
      <w:tblGrid>
        <w:gridCol w:w="7920"/>
      </w:tblGrid>
      <w:tr>
        <w:tc>
          <w:tcPr/>
          <w:bookmarkStart w:id="14" w:name="fig-area"/>
          <w:p>
            <w:pPr>
              <w:pStyle w:val="Compact"/>
              <w:jc w:val="center"/>
            </w:pPr>
            <w:r>
              <w:drawing>
                <wp:inline>
                  <wp:extent cx="4267200" cy="4742348"/>
                  <wp:effectExtent b="0" l="0" r="0" t="0"/>
                  <wp:docPr descr="" title="" id="12" name="Picture"/>
                  <a:graphic>
                    <a:graphicData uri="http://schemas.openxmlformats.org/drawingml/2006/picture">
                      <pic:pic>
                        <pic:nvPicPr>
                          <pic:cNvPr descr="../../entregables/figuras/fig01_macro_regiones_cobertura.png" id="13" name="Picture"/>
                          <pic:cNvPicPr>
                            <a:picLocks noChangeArrowheads="1" noChangeAspect="1"/>
                          </pic:cNvPicPr>
                        </pic:nvPicPr>
                        <pic:blipFill>
                          <a:blip r:embed="rId11"/>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1: Dominio de estudio y división regional: Chaco Seco (oeste) y Región Oriental (este) sobre la grilla nacional de 1 km² (EPSG:32721).</w:t>
            </w:r>
          </w:p>
          <w:bookmarkEnd w:id="14"/>
        </w:tc>
      </w:tr>
    </w:tbl>
    <w:bookmarkStart w:id="15"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Las detecciones recurrentes en la misma celda dentro de 2–10 días sin un vecino activo a menos de 25 km el día</w:t>
      </w:r>
      <w:r>
        <w:t xml:space="preserve"> </w:t>
      </w:r>
      <m:oMath>
        <m:r>
          <m:t>t</m:t>
        </m:r>
        <m:r>
          <m:rPr>
            <m:sty m:val="p"/>
          </m:rPr>
          <m:t>−</m:t>
        </m:r>
        <m:r>
          <m:t>1</m:t>
        </m:r>
      </m:oMath>
      <w:r>
        <w:t xml:space="preserve"> </w:t>
      </w:r>
      <w:r>
        <w:t xml:space="preserve">—típicamente brasas latentes multidiarias u omisiones satelitales por nubosidad— no se asignan a ninguno de los conjuntos positivos; permanecen como negativas candidatas. Esto evita que la persistencia de brasas contamine el objetivo de ignición. El umbral de 25 km es una restricción de dominio, no un buffer de muestreo negativo; no se aplica un buffer de 20 km a la muestra de test. El buffer se usa solo en el holdout de bloques espaciales descrito más abajo.</w:t>
      </w:r>
    </w:p>
    <w:bookmarkEnd w:id="15"/>
    <w:bookmarkStart w:id="20"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Estos umbrales son operativos más que un modelo formal de extinción: las celdas-día con VPD &lt; 0.8 kPa o ≥ 10 mm de lluvia en 48 h se excluyen por húmedas o persistentemente húmedas, mientras que se retienen combustibles finos suficientemente curados. El gate no se usa como filtro de etiquetas: solo elimina candidatos físicamente implausibles. Un gate más estricto y una muestra independiente sin gate se evalúan en la Nota S5.6 y la Tabla S31; ninguno cambia el ranking de los modelos.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2</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9" w:name="fig-framework"/>
          <w:p>
            <w:pPr>
              <w:pStyle w:val="Compact"/>
              <w:jc w:val="center"/>
            </w:pPr>
            <w:r>
              <w:drawing>
                <wp:inline>
                  <wp:extent cx="5334000" cy="3934472"/>
                  <wp:effectExtent b="0" l="0" r="0" t="0"/>
                  <wp:docPr descr="" title="" id="17" name="Picture"/>
                  <a:graphic>
                    <a:graphicData uri="http://schemas.openxmlformats.org/drawingml/2006/picture">
                      <pic:pic>
                        <pic:nvPicPr>
                          <pic:cNvPr descr="../../entregables/figuras/fig01_framework_conceptual.png" id="18" name="Picture"/>
                          <pic:cNvPicPr>
                            <a:picLocks noChangeArrowheads="1" noChangeAspect="1"/>
                          </pic:cNvPicPr>
                        </pic:nvPicPr>
                        <pic:blipFill>
                          <a:blip r:embed="rId16"/>
                          <a:stretch>
                            <a:fillRect/>
                          </a:stretch>
                        </pic:blipFill>
                        <pic:spPr bwMode="auto">
                          <a:xfrm>
                            <a:off x="0" y="0"/>
                            <a:ext cx="5334000" cy="3934472"/>
                          </a:xfrm>
                          <a:prstGeom prst="rect">
                            <a:avLst/>
                          </a:prstGeom>
                          <a:noFill/>
                          <a:ln w="9525">
                            <a:noFill/>
                            <a:headEnd/>
                            <a:tailEnd/>
                          </a:ln>
                        </pic:spPr>
                      </pic:pic>
                    </a:graphicData>
                  </a:graphic>
                </wp:inline>
              </w:drawing>
            </w:r>
          </w:p>
          <w:p>
            <w:pPr>
              <w:jc w:val="center"/>
            </w:pPr>
            <w:pPr>
              <w:jc w:val="left"/>
              <w:spacing w:before="200"/>
              <w:pStyle w:val="ImageCaption"/>
            </w:pPr>
            <w:r>
              <w:t xml:space="preserve">Figura 2: Marco computacional. (a) Los insumos diarios de 1 km² (VIIRS 375 m, ERA5-Land 3-hourly, MapBiomas C2, Hansen GFC y priors históricos causales) pasan por una compuerta biofísica (</w:t>
            </w:r>
            <w:r>
              <w:rPr>
                <w:rStyle w:val="VerbatimChar"/>
              </w:rPr>
              <w:t xml:space="preserve">R48h</w:t>
            </w:r>
            <w:r>
              <w:t xml:space="preserve"> </w:t>
            </w:r>
            <w:r>
              <w:t xml:space="preserve">&lt; 10 mm es la lluvia de 48 h; fuel = 1, VPD ≥ 0.8 kPa); la compuerta elimina 21.7 % de los cell-days pero retiene 97.17 % de las detecciones térmicas y no filtra etiquetas. (b) D2 usa</w:t>
            </w:r>
            <w:r>
              <w:t xml:space="preserve"> </w:t>
            </w:r>
            <w:r>
              <w:rPr>
                <w:rStyle w:val="VerbatimChar"/>
              </w:rPr>
              <w:t xml:space="preserve">N25(i,t−1)</w:t>
            </w:r>
            <w:r>
              <w:t xml:space="preserve"> </w:t>
            </w:r>
            <w:r>
              <w:t xml:space="preserve">para el conjunto de celdas a ≤25 km con fuego en t−1 y</w:t>
            </w:r>
            <w:r>
              <w:t xml:space="preserve"> </w:t>
            </w:r>
            <w:r>
              <w:rPr>
                <w:rStyle w:val="VerbatimChar"/>
              </w:rPr>
              <w:t xml:space="preserve">H10(i,t)</w:t>
            </w:r>
            <w:r>
              <w:t xml:space="preserve"> </w:t>
            </w:r>
            <w:r>
              <w:t xml:space="preserve">para cualquier detección en la misma celda en los 10 d previos; los dominios son disjuntos. Las recurrencias en la misma celda de 2–10 d sin un vecino en t−1 permanecen como negativos candidatos. (c) La muestra caso-control 1:10 se usa para ignición y se conservan los denominadores poblacionales. M3 se usa donde</w:t>
            </w:r>
            <w:r>
              <w:t xml:space="preserve"> </w:t>
            </w:r>
            <w:r>
              <w:rPr>
                <w:rStyle w:val="VerbatimChar"/>
              </w:rPr>
              <w:t xml:space="preserve">freq_hist_1km &gt; 0</w:t>
            </w:r>
            <w:r>
              <w:t xml:space="preserve"> </w:t>
            </w:r>
            <w:r>
              <w:t xml:space="preserve">y M2 donde es 0; la propagación usa un kernel causal en t−1. Las probabilidades se calibran con una transformación de Platt monótona por tarea, ajustada en 2023 y congelada; el corte F0.5 se aplica tras la corrección de prevalencia. M1 (24 variables) es una línea base diagnóstica y no se muestra. (d) La evaluación usa un split temporal congelado (2018–2022/2023/2024–2025), bloques de 50 km con un buffer de 20 km, bootstrap agrupado por fecha (500 IC de AUC; 1 000 pareadas), cost-loss y código/datos abiertos. El radio de 25 km es el target D2; el buffer de 20 km se aplica solo al holdout espacial. Los endpoints son ROC-AUC, PR-AUC, Brier, ECE, cobertura conformal, precisión/recall poblacional y lift; el código/datos, el DOI y los hashes están archivados.</w:t>
            </w:r>
          </w:p>
          <w:bookmarkEnd w:id="19"/>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y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20"/>
    <w:bookmarkStart w:id="21"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Definimos una familia preespecificada de seis comparaciones confirmatorias (cuatro frente a FWI e INPE y dos M3 − M2) y reportamos valores p ajustados por Holm–Bonferroni y Benjamini–Hochberg; todas siguen siendo significativas con α = 0.05 (Holm p = 0.006, BH p = 0.001). La resolución del bootstrap es 0.001, por lo que los valores p crudos en el piso son cotas superiores. El protocolo se aplica sin modificar el test. El operador de objetivos, la lista de celdas-día de test y los scripts de evaluación están archivados con la release del código. El protocolo completo se reporta en la Nota complementaria S3 y las Tablas S7–S14; el protocolo de robustez está en la Nota S5.</w:t>
      </w:r>
    </w:p>
    <w:bookmarkEnd w:id="21"/>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w:t>
      </w:r>
      <w:r>
        <w:t xml:space="preserve"> </w:t>
      </w:r>
      <w:r>
        <w:t xml:space="preserve">(Schroeder et al., 2014)</w:t>
      </w:r>
      <w:r>
        <w:t xml:space="preserve">; meteorología ERA5-Land de 3 horas agregada a valores diarios</w:t>
      </w:r>
      <w:r>
        <w:t xml:space="preserve"> </w:t>
      </w:r>
      <w:r>
        <w:t xml:space="preserve">(Muñoz-Sabater et al., 2021)</w:t>
      </w:r>
      <w:r>
        <w:t xml:space="preserve">; mapas anuales de MapBiomas Colección 2 (2017–2023), unidos a cada fila con el mapa del año previo</w:t>
      </w:r>
      <w:r>
        <w:t xml:space="preserve"> </w:t>
      </w:r>
      <w:r>
        <w:t xml:space="preserve">(MapBiomas Chaco, 2023)</w:t>
      </w:r>
      <w:r>
        <w:t xml:space="preserve">;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w:t>
      </w:r>
      <w:r>
        <w:t xml:space="preserve"> </w:t>
      </w:r>
      <w:r>
        <w:t xml:space="preserve">(Raasveldt y Mühleisen, 2019)</w:t>
      </w:r>
      <w:r>
        <w:t xml:space="preserve">. Un spatial join de 50 000 puntos se muestra solo como referencia (Tabla S4 del suplemento); la búsqueda operativa evita el point-in-polygon en inferencia. El pipeline completo de inferencia procesa 400 006 celdas en 3.474 s con 2 212.9 MB de RAM pico en ARM64; x86_64 no se midió.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bookmarkEnd w:id="22"/>
    <w:bookmarkEnd w:id="23"/>
    <w:bookmarkStart w:id="46"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El margen preespecificado δ = 0.01 se cumplió en Oriental para ROC-AUC y PR-AUC, pero no en el Chaco: las ganancias del Chaco fueron +0.0028 y +0.0089, por debajo de δ, aunque ambos intervalos excluyen cero. Por tanto, no se afirma que M3 sea superior a M2 en el Chaco. La arquitectura compartida usa M3 donde existe historia de fuego porque el componente de propagación es el objetivo operativo; la ganancia de ignición en el Chaco es incremental.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(IC bootstrap 95 % 0.075–0.088) en el Chaco y 0.198 % (0.178–0.222) en la Región Oriental; el recall es 27.3 % (26.2–28.6) y 20.7 % (19.3–22.3). La precisión de propagación es 9.67 % (9.09–10.32) y 4.78 % (4.13–5.49). Estos valores son los relevantes para la operación y son mucho más bajos que los valores caso-control. Respecto a la prevalencia, la precisión de ignición es aproximadamente 5.3× y 4.8× superior al azar, mientras que la de propagación es aproximadamente 62× y 23× superior. Con ponderación poblacional, M2 supera ligeramente a M3 en ROC-AUC poblacional del Chaco (0.8078 vs. 0.8059) y en precisión (0.090 % vs. 0.082 %), mientras que M3 lidera en la Región Oriental (0.7627 vs. 0.7549). La precisión absoluta sigue siendo baja; el modelo es, por tanto, una capa de priorización y nowcast, no un sistema de alerta autónomo. La Figura S8 muestra el compromiso precisión–presupuesto: con 100 alertas/día, la precisión de ignición de M3 es 0.21 %/0.66 % y la de propagación 22.1 %/10.0 %; con 1 000 alertas/día baja a 0.15 %/0.28 % y 5.1 %/3.3 %.</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+0.2963 en el Chaco y +0.1922 en la Región Oriental, y al INPE por +0.2756 y +0.2561. Todas las comparaciones pareadas tienen p crudo ≤ 0.001 con B = 1 000; el p ajustado por Holm es 0.006 y el de BH 0.001, por lo que las seis siguen siendo significativas con α = 0.05. Para que la comparación sea simétrica, los puntos operativos de FWI e INPE se seleccionaron en la misma partición de validación de 2023 con la regla F0.5 idéntica a la de los modelos y luego se congelaron para el test retrospectivo (</w:t>
      </w:r>
      <w:hyperlink w:anchor="tbl-benchmark">
        <w:r>
          <w:rPr>
            <w:rStyle w:val="Hyperlink"/>
          </w:rPr>
          <w:t xml:space="preserve">Tabla 3</w:t>
        </w:r>
      </w:hyperlink>
      <w:r>
        <w:t xml:space="preserve">); los cortes resultantes son 3.1285 y 0.0364 en el Chaco y 20.4720 y 0.0596 en Oriental para FWI e INPE, respectivamente. La implementación completa, incluidos los códigos de combustible, la inicialización y la meteorología del mismo día, se documenta en la Nota S4 del suplemento.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Los cortes de todas las filas, incluidos FWI e INPE, se seleccionaron en la validación de 2023 maximizando F0.5 y se congelaron para 2024–2025; la precisión y el recall son caso-control en ese corte. El FWI está en la escala del índice canadiense y el INPE en una escala de riesgo 0–1, por lo que los cortes no son comparables entre índices. El GBT solo meteorología es un LightGBM entrenado con la misma capacidad y calibración pero restringido al conjunto de información del FWI. Los guiones (—) indican modelos de referencia o comparaciones no evaluadas por construcción. La columna p reporta valores crudos; el p ajustado por Holm es 0.006 para la familia de seis comparaciones confirmatorias (Tabla S7 del suplemento). La tabla completa está en la Tabla S11 del suplemento.</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w:t>
                  </w:r>
                </w:p>
              </w:tc>
              <w:tc>
                <w:tcPr/>
                <w:p>
                  <w:pPr>
                    <w:pStyle w:val="Compact"/>
                    <w:jc w:val="right"/>
                    <w:jc w:val="center"/>
                  </w:pPr>
                  <w:r>
                    <w:t xml:space="preserve">p (crudo)</w:t>
                  </w:r>
                </w:p>
              </w:tc>
              <w:tc>
                <w:tcPr/>
                <w:p>
                  <w:pPr>
                    <w:pStyle w:val="Compact"/>
                    <w:jc w:val="right"/>
                    <w:jc w:val="center"/>
                  </w:pPr>
                  <w:r>
                    <w:t xml:space="preserve">Corte</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0.5059</w:t>
                  </w:r>
                </w:p>
              </w:tc>
              <w:tc>
                <w:tcPr/>
                <w:p>
                  <w:pPr>
                    <w:pStyle w:val="Compact"/>
                    <w:jc w:val="right"/>
                    <w:jc w:val="center"/>
                  </w:pPr>
                  <w:r>
                    <w:t xml:space="preserve">0.0897</w:t>
                  </w:r>
                </w:p>
              </w:tc>
              <w:tc>
                <w:tcPr/>
                <w:p>
                  <w:pPr>
                    <w:pStyle w:val="Compact"/>
                    <w:jc w:val="right"/>
                    <w:jc w:val="center"/>
                  </w:pPr>
                  <w:r>
                    <w:t xml:space="preserve">+0.2963</w:t>
                  </w:r>
                </w:p>
              </w:tc>
              <w:tc>
                <w:tcPr/>
                <w:p>
                  <w:pPr>
                    <w:pStyle w:val="Compact"/>
                    <w:jc w:val="right"/>
                    <w:jc w:val="center"/>
                  </w:pPr>
                  <w:r>
                    <w:t xml:space="preserve">≤0.001</w:t>
                  </w:r>
                </w:p>
              </w:tc>
              <w:tc>
                <w:tcPr/>
                <w:p>
                  <w:pPr>
                    <w:pStyle w:val="Compact"/>
                    <w:jc w:val="right"/>
                    <w:jc w:val="center"/>
                  </w:pPr>
                  <w:r>
                    <w:t xml:space="preserve">3.1285</w:t>
                  </w:r>
                </w:p>
              </w:tc>
              <w:tc>
                <w:tcPr/>
                <w:p>
                  <w:pPr>
                    <w:pStyle w:val="Compact"/>
                    <w:jc w:val="right"/>
                    <w:jc w:val="center"/>
                  </w:pPr>
                  <w:r>
                    <w:t xml:space="preserve">9.25</w:t>
                  </w:r>
                </w:p>
              </w:tc>
              <w:tc>
                <w:tcPr/>
                <w:p>
                  <w:pPr>
                    <w:pStyle w:val="Compact"/>
                    <w:jc w:val="right"/>
                    <w:jc w:val="center"/>
                  </w:pPr>
                  <w:r>
                    <w:t xml:space="preserve">95.73</w:t>
                  </w:r>
                </w:p>
              </w:tc>
              <w:tc>
                <w:tcPr/>
                <w:p>
                  <w:pPr>
                    <w:pStyle w:val="Compact"/>
                    <w:jc w:val="right"/>
                    <w:jc w:val="center"/>
                  </w:pPr>
                  <w:r>
                    <w:t xml:space="preserve">0.1130</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0.5266</w:t>
                  </w:r>
                </w:p>
              </w:tc>
              <w:tc>
                <w:tcPr/>
                <w:p>
                  <w:pPr>
                    <w:pStyle w:val="Compact"/>
                    <w:jc w:val="right"/>
                    <w:jc w:val="center"/>
                  </w:pPr>
                  <w:r>
                    <w:t xml:space="preserve">0.0964</w:t>
                  </w:r>
                </w:p>
              </w:tc>
              <w:tc>
                <w:tcPr/>
                <w:p>
                  <w:pPr>
                    <w:pStyle w:val="Compact"/>
                    <w:jc w:val="right"/>
                    <w:jc w:val="center"/>
                  </w:pPr>
                  <w:r>
                    <w:t xml:space="preserve">+0.2756</w:t>
                  </w:r>
                </w:p>
              </w:tc>
              <w:tc>
                <w:tcPr/>
                <w:p>
                  <w:pPr>
                    <w:pStyle w:val="Compact"/>
                    <w:jc w:val="right"/>
                    <w:jc w:val="center"/>
                  </w:pPr>
                  <w:r>
                    <w:t xml:space="preserve">≤0.001</w:t>
                  </w:r>
                </w:p>
              </w:tc>
              <w:tc>
                <w:tcPr/>
                <w:p>
                  <w:pPr>
                    <w:pStyle w:val="Compact"/>
                    <w:jc w:val="right"/>
                    <w:jc w:val="center"/>
                  </w:pPr>
                  <w:r>
                    <w:t xml:space="preserve">0.0364</w:t>
                  </w:r>
                </w:p>
              </w:tc>
              <w:tc>
                <w:tcPr/>
                <w:p>
                  <w:pPr>
                    <w:pStyle w:val="Compact"/>
                    <w:jc w:val="right"/>
                    <w:jc w:val="center"/>
                  </w:pPr>
                  <w:r>
                    <w:t xml:space="preserve">9.24</w:t>
                  </w:r>
                </w:p>
              </w:tc>
              <w:tc>
                <w:tcPr/>
                <w:p>
                  <w:pPr>
                    <w:pStyle w:val="Compact"/>
                    <w:jc w:val="right"/>
                    <w:jc w:val="center"/>
                  </w:pPr>
                  <w:r>
                    <w:t xml:space="preserve">92.47</w:t>
                  </w:r>
                </w:p>
              </w:tc>
              <w:tc>
                <w:tcPr/>
                <w:p>
                  <w:pPr>
                    <w:pStyle w:val="Compact"/>
                    <w:jc w:val="right"/>
                    <w:jc w:val="center"/>
                  </w:pPr>
                  <w:r>
                    <w:t xml:space="preserve">0.1126</w:t>
                  </w:r>
                </w:p>
              </w:tc>
            </w:tr>
            <w:tr>
              <w:tc>
                <w:tcPr/>
                <w:p>
                  <w:pPr>
                    <w:pStyle w:val="Compact"/>
                    <w:jc w:val="left"/>
                    <w:jc w:val="center"/>
                  </w:pPr>
                  <w:r>
                    <w:t xml:space="preserve">Chaco</w:t>
                  </w:r>
                </w:p>
              </w:tc>
              <w:tc>
                <w:tcPr/>
                <w:p>
                  <w:pPr>
                    <w:pStyle w:val="Compact"/>
                    <w:jc w:val="left"/>
                    <w:jc w:val="center"/>
                  </w:pPr>
                  <w:r>
                    <w:t xml:space="preserve">GBT solo meteorología</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0.5611</w:t>
                  </w:r>
                </w:p>
              </w:tc>
              <w:tc>
                <w:tcPr/>
                <w:p>
                  <w:pPr>
                    <w:pStyle w:val="Compact"/>
                    <w:jc w:val="right"/>
                    <w:jc w:val="center"/>
                  </w:pPr>
                  <w:r>
                    <w:t xml:space="preserve">0.1122</w:t>
                  </w:r>
                </w:p>
              </w:tc>
              <w:tc>
                <w:tcPr/>
                <w:p>
                  <w:pPr>
                    <w:pStyle w:val="Compact"/>
                    <w:jc w:val="right"/>
                    <w:jc w:val="center"/>
                  </w:pPr>
                  <w:r>
                    <w:t xml:space="preserve">+0.1922</w:t>
                  </w:r>
                </w:p>
              </w:tc>
              <w:tc>
                <w:tcPr/>
                <w:p>
                  <w:pPr>
                    <w:pStyle w:val="Compact"/>
                    <w:jc w:val="right"/>
                    <w:jc w:val="center"/>
                  </w:pPr>
                  <w:r>
                    <w:t xml:space="preserve">≤0.001</w:t>
                  </w:r>
                </w:p>
              </w:tc>
              <w:tc>
                <w:tcPr/>
                <w:p>
                  <w:pPr>
                    <w:pStyle w:val="Compact"/>
                    <w:jc w:val="right"/>
                    <w:jc w:val="center"/>
                  </w:pPr>
                  <w:r>
                    <w:t xml:space="preserve">20.4720</w:t>
                  </w:r>
                </w:p>
              </w:tc>
              <w:tc>
                <w:tcPr/>
                <w:p>
                  <w:pPr>
                    <w:pStyle w:val="Compact"/>
                    <w:jc w:val="right"/>
                    <w:jc w:val="center"/>
                  </w:pPr>
                  <w:r>
                    <w:t xml:space="preserve">12.22</w:t>
                  </w:r>
                </w:p>
              </w:tc>
              <w:tc>
                <w:tcPr/>
                <w:p>
                  <w:pPr>
                    <w:pStyle w:val="Compact"/>
                    <w:jc w:val="right"/>
                    <w:jc w:val="center"/>
                  </w:pPr>
                  <w:r>
                    <w:t xml:space="preserve">21.85</w:t>
                  </w:r>
                </w:p>
              </w:tc>
              <w:tc>
                <w:tcPr/>
                <w:p>
                  <w:pPr>
                    <w:pStyle w:val="Compact"/>
                    <w:jc w:val="right"/>
                    <w:jc w:val="center"/>
                  </w:pPr>
                  <w:r>
                    <w:t xml:space="preserve">0.1340</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0.4973</w:t>
                  </w:r>
                </w:p>
              </w:tc>
              <w:tc>
                <w:tcPr/>
                <w:p>
                  <w:pPr>
                    <w:pStyle w:val="Compact"/>
                    <w:jc w:val="right"/>
                    <w:jc w:val="center"/>
                  </w:pPr>
                  <w:r>
                    <w:t xml:space="preserve">0.0902</w:t>
                  </w:r>
                </w:p>
              </w:tc>
              <w:tc>
                <w:tcPr/>
                <w:p>
                  <w:pPr>
                    <w:pStyle w:val="Compact"/>
                    <w:jc w:val="right"/>
                    <w:jc w:val="center"/>
                  </w:pPr>
                  <w:r>
                    <w:t xml:space="preserve">+0.2561</w:t>
                  </w:r>
                </w:p>
              </w:tc>
              <w:tc>
                <w:tcPr/>
                <w:p>
                  <w:pPr>
                    <w:pStyle w:val="Compact"/>
                    <w:jc w:val="right"/>
                    <w:jc w:val="center"/>
                  </w:pPr>
                  <w:r>
                    <w:t xml:space="preserve">≤0.001</w:t>
                  </w:r>
                </w:p>
              </w:tc>
              <w:tc>
                <w:tcPr/>
                <w:p>
                  <w:pPr>
                    <w:pStyle w:val="Compact"/>
                    <w:jc w:val="right"/>
                    <w:jc w:val="center"/>
                  </w:pPr>
                  <w:r>
                    <w:t xml:space="preserve">0.0596</w:t>
                  </w:r>
                </w:p>
              </w:tc>
              <w:tc>
                <w:tcPr/>
                <w:p>
                  <w:pPr>
                    <w:pStyle w:val="Compact"/>
                    <w:jc w:val="right"/>
                    <w:jc w:val="center"/>
                  </w:pPr>
                  <w:r>
                    <w:t xml:space="preserve">9.24</w:t>
                  </w:r>
                </w:p>
              </w:tc>
              <w:tc>
                <w:tcPr/>
                <w:p>
                  <w:pPr>
                    <w:pStyle w:val="Compact"/>
                    <w:jc w:val="right"/>
                    <w:jc w:val="center"/>
                  </w:pPr>
                  <w:r>
                    <w:t xml:space="preserve">82.56</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GBT solo meteorología</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0.5059/0.5611 y el INPE de 0.5266/0.4973;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Como la implementación del INPE pondera A por fracciones de cobertura (la especificación primaria), repetimos el benchmark con A fija = 3.0 (el coeficiente INPE de sabana abierta, fijado a priori). La versión fija alcanza ROC-AUC 0.4976/0.5497 frente a 0.5266/0.4973 con A local (ΔROC = −0.0290/+0.0524; p = 0.001; Tabla S22). El signo de la diferencia depende de la región, pero ambas versiones quedan muy por debajo de M3 (0.8021/0.7534), por lo que el débil desempeño del INPE no es un artefacto de la ponderación local de A. Combinar los dos índices con el conjunto completo de variables de M3 no cierra la brecha: el GBT aumentado alcanza ROC-AUC 0.8018/0.7548 frente a 0.8021/0.7534 de M3 (Δ = −0.0003/+0.0015; p = 0.612/0.001; Tabla S11 continuación). Una vez que existen combustible, accesibilidad y contexto histórico, los índices no aportan información de ranking esencial; en Oriental la pequeña ganancia es estadísticamente detectable pero operativamente despreciable.</w:t>
      </w:r>
    </w:p>
    <w:p>
      <w:pPr>
        <w:pStyle w:val="BodyText"/>
      </w:pPr>
      <w:r>
        <w:t xml:space="preserve">El control solo meteorología aísla el origen de la brecha. Un LightGBM entrenado con la misma capacidad, calibración y regla de corte pero restringido al conjunto de información del FWI (temperatura, demanda atmosférica, viento, lluvia, FFMC e ISI) alcanza ROC-AUC 0.5512/0.5645 (Chaco/Oriental), solo +0.0453/+0.0034 por encima del FWI completo y muy por debajo de M3 (0.8021/0.7534; ΔROC = +0.2509/+0.1889, p ≤ 0.001). El fallo de los índices canónicos es, por tanto, una limitación de información y no un artefacto de su formulación o del aprendiz: sin combustible, accesibilidad ni priors antropogénicos, un aprendiz moderno de boosting recupera esencialmente el mismo techo que el índice. Los detalles completos están en la Tabla S21 del suplemento.</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32.82 % frente a 33.28 % de M2; en Oriental es 30.13 % frente a 26.09 %. La ventaja no es uniforme y no se presenta como una mejora de precisión en ambas regiones. La tabla completa de ablación está en la Tabla S12 del suplemento. TreeSHAP</w:t>
      </w:r>
      <w:r>
        <w:t xml:space="preserve"> </w:t>
      </w:r>
      <w:r>
        <w:t xml:space="preserve">(Lundberg et al., 2020)</w:t>
      </w:r>
      <w:r>
        <w:t xml:space="preserve"> </w:t>
      </w:r>
      <w:r>
        <w:t xml:space="preserve">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al INPE y al GBT solo meteorología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de desarrollo retiene 44 bloques y excluye un buffer de 20 km alrededor de las celdas holdout durante el entrenamiento; los priors se recalculan sin los incendios retenidos. Un holdout independiente de confirmación (31 bloques, 68 719 celdas de 1 km² únicas; 16 579/14 551 celdas-día de ignición muestreadas en Chaco/Oriental), con modelos reentrenados sin los bloques de confirmación y su buffer de 20 km, retuvo a M2 como el mejor modelo: M2 0.6871/0.6621, M3 0.6757/0.6344 y M1 0.6435/0.6388 en Chaco/Oriental. La política gated cayó en M2 en las celdas de confirmación. El resultado no sostiene que M3 sea un extrapolador espacial, y tampoco convierte a M1 en la mejor opción: M1 fue un baseline estable pero inferior y se rechazó como fallback operativo. Los resultados completos de desarrollo y confirmación están en las Tablas S8, S16 y S18 del suplemento; la arquitectura M3/M2 responde a esa evidencia.</w:t>
      </w:r>
    </w:p>
    <w:p>
      <w:pPr>
        <w:pStyle w:val="BodyText"/>
      </w:pPr>
      <w:r>
        <w:t xml:space="preserve">Como el test es temporal, el 90.65 % de sus celdas también aparece en entrenamiento. Al restringir a celdas nunca vistas en entrenamiento (n = 23 074/9 378; 2 115/882 positivos), el ROC-AUC de M3 baja de 0.8021/0.7534 a 0.7841/0.7148 y el de M2 de 0.7991/0.7406 a 0.7781/0.7089, pero el orden M3 &gt; M2 se mantiene en ROC-AUC (+0.0059/+0.0059; bootstrap pareado p = 0.004/0.174) y en PR-AUC (+0.0152/+0.0133; p = 0.012/0.018). Excluir las celdas con cualquier fuego en entrenamiento mantiene el diferencial de ROC positivo y resuelto (p = 0.008/≤0.001); en 2025 el diferencial es positivo pero solo se resuelve en Oriental (p = 0.120/≤0.001). En el dominio sin historia el signo se invierte por región: M2 va por delante en el Chaco (Δ = −0.0035, p = 0.002) y M3 en Oriental (Δ = +0.0101, p ≤ 0.001). La caída es modesta, pero el subconjunto de celdas no vistas es pequeño, espacialmente sesgado y no sustituye a un holdout espacial ciego (Tabla S27 del suplemento). El aumento de ROC-AUC en el subconjunto sin fuego en entrenamiento es consistente con la eliminación de celdas crónicamente quemadas que actúan como negativos difíciles; como la prevalencia cae a 7.66 % en el Chaco, PR-AUC y precisión no son directamente comparables entre subconjuntos.</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 Como comparador directo de fuga, un modelo acoplado entrenado sobre la muestra combinada de fuego con variables t-1 no superó materialmente a la arquitectura desacoplada: 0.8862 vs 0.8868 ROC-AUC en Chaco y 0.7871 vs 0.7806 en Oriental. Este comparador usa la misma muestra gated caso-control, por lo que no prueba la eliminación del gating; solo muestra que el atajo acoplado no ofrece una ventaja grande en esta muestra (Tabla S19 del suplemento). Una sensibilidad D2 completa de 3 × 3 (15/25/35 km × 7/10/14 d) regeneró el muestreo 1:10 y reentrenó M1, M2 y M3 para cada combinación. M3 superó a M2 en las nueve combinaciones tanto en validación como en test, con una diferencia M3 − M2 de ROC-AUC entre +0.004 y +0.016, y fue el mejor modelo en test en las nueve; su rango fue 0.771–0.782 en 2023 y 0.785–0.797 en Chaco para 2024–2025, y 0.759–0.768 y 0.750–0.755 en Oriental. La ventana de 7 días dio el mayor ROC-AUC en cada par región × radio, y el efecto del radio fue pequeño: 35 km fue ligeramente mejor en Chaco y 25 km en Oriental. La conclusión de D2 no depende de la elección de 25 km/10 d (Tabla S20 del suplemento). Un backtest rolling-origin de cuatro folds reentrenó M1/M2/M3 con entrenamiento hasta Y−2, validación en Y−1 y test en Y. La diferencia de ROC-AUC M3−M2 fue +0.0030/+0.0059 en 2022, +0.0029/+0.0120 en 2023, +0.0038/+0.0166 en 2024 y +0.0019/+0.0084 en 2025 (Chaco/Oriental); los p correspondientes fueron 0.032/0.006, 0.082/0.001, 0.004/0.001 y 0.148/0.001. El signo fue positivo en las ocho comparaciones región-fold, y M1 quedó por debajo de M2 en todos los folds (Tabla S26; Figura S5). El orden temporal no es, por tanto, un artefacto del único split 2024–2025. En 20 corridas (cinco semillas × dos capacidades × dos regiones), la diferencia M3−M2 se mantuvo positiva en todas, con diferencias medias de +0.0036/+0.0035 en el Chaco y +0.0128/+0.0128 en Oriental para las configuraciones actual/alta capacidad (Tabla S25). La validación adversarial separa las filas de entrenamiento (2018–2022) de las de test (2024–2025) con AUC 0.8832/0.9241 (Chaco/Oriental); el día del año, los armónicos estacionales, la densidad histórica a 25 km y el déficit hídrico de 60 días dominan el discriminador (Tabla S29). El cambio de distribución es real y no lo elimina el diseño temporal; por eso los resultados espaciales y de todas las celdas se reportan por separado. Tres sensibilidades adicionales acotan el resultado. Umbrales de gate más estrictos (VPD ≥ 1.0/1.2 kPa y lluvia 48 h &lt; 5/2 mm) retuvieron 92–73 % de los positivos de test y mantuvieron a M3 por encima de M2 y FWI; quitar el gate por completo (muestra 1:10 independiente) bajó M3 a 0.7924/0.7510 y M2 a 0.7833/0.7379, pero M3 siguió por encima de M2 (+0.0091/+0.0131) y de FWI (0.4988/0.5528; Tabla S31). Restringir las etiquetas a detecciones de confianza alta retuvo 12.2 %/6.5 % de los positivos y elevó el ROC-AUC a 0.8228/0.7793, pero la precisión–recall cayó (0.0719/0.0246) porque el subconjunto retenido tiene otra prevalencia; FRP ≥ 10 MW retuvo 31.9 %/19.0 % y dio 0.8136/0.7763 (Tabla S30). La variante de máscara de nubes no está disponible. El muestreo 1:5 cambió el ROC-AUC en menos de 0.001; la muestra 1:20 independiente bajó el ROC-AUC de M3 en el Chaco a 0.7926 y la precisión poblacional ~7 %, mientras Oriental quedó estable (0.7526), y M3 siguió por encima de M2 en ambas regiones (Tabla S28). Un control negativo con etiquetas permutadas alcanzó AUC 0.6297/0.5138; quitar las variables históricas no eliminó el exceso (0.6276/0.5168), lo que indica asociación residual de celda o fuga de variables en el Chaco (Tabla S32; Figura S7). El score de M3 debe leerse, por tanto, como una señal de nowcast/priorización, no como una atribución causal. La validación espacial externa en Boquerón, tras excluir el departamento y un buffer de 25 km y recalcular los priors, reprodujo la discriminación M2/M3 (ROC-AUC 0.8104/0.8120; PR-AUC 0.2440/0.2505) pero no una ganancia M3−M2 significativa (+0.0016; p = 0.254). El FWI quedó por debajo del azar (0.4708) y el INPE alcanzó 0.5817 (Tabla S33; Figura S9). La precisión poblacional fue 0.0891 %/0.0678 % para M2/M3, con recall 16.2 %/27.1 %; M3 cambia precisión por recall. La diferencia M3−M2 fue +0.0039 (p = 0.010) con buffer de 20 km, +0.0016 (p = 0.254) con 25 km y +0.0020 (p = 0.206) con 30 km (Tabla S33b), por lo que la ventaja híbrida no es robusta al buffer. El ranking se transporta espacialmente, pero la preferencia operativa por M3 frente a M2 no.</w:t>
      </w:r>
    </w:p>
    <w:bookmarkEnd w:id="38"/>
    <w:bookmarkStart w:id="43" w:name="valor-operativo"/>
    <w:p>
      <w:pPr>
        <w:pStyle w:val="Heading2"/>
      </w:pPr>
      <w:r>
        <w:t xml:space="preserve">3.4 Valor operativo</w:t>
      </w:r>
    </w:p>
    <w:p>
      <w:pPr>
        <w:pStyle w:val="FirstParagraph"/>
      </w:pPr>
      <w:r>
        <w:t xml:space="preserve">El análisis cost-loss es sobrio para la ignición: en el Chaco, M3 y M2 son indistinguibles en todos los α (los intervalos pareados de ΔV incluyen cero) y la estimación puntual de M2 es marginalmente superior en el óptimo (0.373 frente a 0.372). En Oriental, M3 supera a M2 para α = 0.0002–0.005. Frente al FWI, M3 tiene valor de decisión positivo para α = 0.0001–0.001 en el Chaco y 0.0001–0.005 en Oriental (los intervalos pareados excluyen cero; Tabla S24 del suplemento). La capa de propagación sí muestra valor cerca de</w:t>
      </w:r>
      <w:r>
        <w:t xml:space="preserve"> </w:t>
      </w:r>
      <w:r>
        <w:rPr>
          <w:i/>
          <w:iCs/>
        </w:rPr>
        <w:t xml:space="preserve">α</w:t>
      </w:r>
      <w:r>
        <w:t xml:space="preserve"> </w:t>
      </w:r>
      <w:r>
        <w:t xml:space="preserve">= 0.002: V = 0.628 [0.608–0.646] en el Chaco y 0.399 [0.371–0.419] en Oriental, con intervalos que excluyen cero. La tabla y las curvas completas, con bandas bootstrap del 95 % agrupadas por fecha (B = 1 000), están en la Tabla S14 y la Figura S3 del suplemento. El producto operativo prioriza, por tanto, la propagación y usa la ignición como capa de cribado: la ignición aporta valor de decisión frente al FWI en α bajo, pero no frente a M2 en el Chaco.</w:t>
      </w:r>
    </w:p>
    <w:p>
      <w:pPr>
        <w:pStyle w:val="BodyText"/>
      </w:pPr>
      <w:r>
        <w:t xml:space="preserve">El análisis de curvas de decisión sobre la muestra caso-control (Figura S4; Tabla S23) reproduce el orden: con</w:t>
      </w:r>
      <w:r>
        <w:t xml:space="preserve"> </w:t>
      </w:r>
      <m:oMath>
        <m:sSub>
          <m:e>
            <m:r>
              <m:t>p</m:t>
            </m:r>
          </m:e>
          <m:sub>
            <m:r>
              <m:t>t</m:t>
            </m:r>
          </m:sub>
        </m:sSub>
        <m:r>
          <m:rPr>
            <m:sty m:val="p"/>
          </m:rPr>
          <m:t>=</m:t>
        </m:r>
        <m:r>
          <m:t>0.10</m:t>
        </m:r>
      </m:oMath>
      <w:r>
        <w:t xml:space="preserve">, M3 rinde 37.6/29.4 detecciones netas por 1 000 celdas-día muestreadas, M2 37.7/27.3, M1 13.5/19.9 y FWI −0.01/4.1 (Chaco/Oriental); el modelo de propagación sigue siendo positivo hasta</w:t>
      </w:r>
      <w:r>
        <w:t xml:space="preserve"> </w:t>
      </w:r>
      <m:oMath>
        <m:sSub>
          <m:e>
            <m:r>
              <m:t>p</m:t>
            </m:r>
          </m:e>
          <m:sub>
            <m:r>
              <m:t>t</m:t>
            </m:r>
          </m:sub>
        </m:sSub>
        <m:r>
          <m:rPr>
            <m:sty m:val="p"/>
          </m:rPr>
          <m:t>≈</m:t>
        </m:r>
        <m:r>
          <m:t>0.7</m:t>
        </m:r>
      </m:oMath>
      <w:r>
        <w:t xml:space="preserve">. Como el beneficio neto se calcula sobre la muestra caso-control, complementa el valor de decisión ponderado por población de la Tabla S14.</w:t>
      </w:r>
    </w:p>
    <w:p>
      <w:pPr>
        <w:pStyle w:val="BodyText"/>
      </w:pPr>
      <w:r>
        <w:t xml:space="preserve">En términos operativos (Tabla S23), con el corte de ignición congelado M3 emite 8 238/3 073 alertas por día en Chaco/Oriental con una precisión poblacional de 0.082/0.198 % (1 227/504 alertas por acierto; lift 5.3×/4.8×). Un presupuesto de 100 alertas/día eleva la precisión de ignición solo a 0.21/0.66 % (recall 0.86/2.24 %), lo que confirma que la ignición es una capa de cribado. La propagación requiere 10.3/20.9 alertas por acierto (lift 62×/23×) con 452/525 alertas/día; con 100/día su precisión es 22.1/10.0 % y su recall 25.7/7.5 %. El α que maximiza V(α) es 0.0001–0.0005 para ignición y 0.002 para propagación. El corte F0.5 no es el único privilegiado. Seleccionar cortes por F1, F2 o Youden cambia el punto operativo pero no la conclusión (Tabla S14 continuación; Figura S6). Para la ignición M3 en el Chaco, precisión/recall pasan de 0.328/0.303 con F0.5 a 0.273/0.494 con F1 y 0.182/0.815 con F2; en Oriental pasan de 0.301/0.186 a 0.235/0.390 y 0.173/0.699. La propagación sigue siendo la capa más fuerte: en Chaco la precisión/recall es 0.837/0.524 con F0.5 y 0.515/0.702 con F2; en Oriental 0.650/0.199 y 0.215/0.632. El orden cribado/propagación es, por tanto, robusto al criterio de umbral.</w:t>
      </w:r>
    </w:p>
    <w:p>
      <w:pPr>
        <w:pStyle w:val="BodyText"/>
      </w:pPr>
      <w:r>
        <w:t xml:space="preserve">En sus puntos operativos F0.5 congelados, FWI tiene valor de decisión positivo solo con α = 0.0001 en el Chaco (V = 0.070) y α = 0.0005 en Oriental (V = 0.077); INPE no es positivo en ningún α (V ≤ 0). Incluso en esa ventana estrecha, FWI queda muy por debajo de M3 (0.372/0.313). Dar a los índices su mejor umbral de validación en cada α no cambia el orden (Tabla S24). La ventaja de AUC de M3 se traduce, por tanto, en valor de decisión frente a los índices, pero no de forma uniforme frente a M2.</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 El anillo conspicuo de alertas altas en el norte de Alto Paraguay es la huella de propagación de 25 km en t−1 alrededor del frente de Chovoreca, no una predicción independiente de ignición.</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alibración"/>
    <w:p>
      <w:pPr>
        <w:pStyle w:val="Heading2"/>
      </w:pPr>
      <w:r>
        <w:t xml:space="preserve">3.5 Calibración</w:t>
      </w:r>
    </w:p>
    <w:p>
      <w:pPr>
        <w:pStyle w:val="FirstParagraph"/>
      </w:pPr>
      <w:r>
        <w:t xml:space="preserve">El error de calibración esperado de M3 es 0.0082/0.0082 en Chaco/Oriental (Tabla S11), y 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La tabla completa de cobertura conformal empírica está en la Tabla S5 del suplemento, y los errores de calibración esperados de los modelos de referencia están en la Tabla S11.</w:t>
      </w:r>
    </w:p>
    <w:bookmarkEnd w:id="44"/>
    <w:bookmarkStart w:id="45" w:name="comprobaciones-de-reproducibilidad"/>
    <w:p>
      <w:pPr>
        <w:pStyle w:val="Heading2"/>
      </w:pPr>
      <w:r>
        <w:t xml:space="preserve">3.6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v2.1.0; los DOI conceptuales de código y datos se reportan en las secciones de disponibilidad.</w:t>
      </w:r>
    </w:p>
    <w:bookmarkEnd w:id="45"/>
    <w:bookmarkEnd w:id="46"/>
    <w:bookmarkStart w:id="51" w:name="discusión"/>
    <w:p>
      <w:pPr>
        <w:pStyle w:val="Heading1"/>
      </w:pPr>
      <w:r>
        <w:t xml:space="preserve">4. Discusión</w:t>
      </w:r>
    </w:p>
    <w:bookmarkStart w:id="47"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no puede representar esa interacción. El FWI canadiense fue originalmente diseñado para rodales boreales de coníferas, y dos de sus tres códigos de humedad de combustible (el Duff Moisture Code y el Drought Code) modelan explícitamente el secado lento y la recarga por lluvia de capas orgánicas poco y muy compactadas a lo largo de días o semanas</w:t>
      </w:r>
      <w:r>
        <w:t xml:space="preserve"> </w:t>
      </w:r>
      <w:r>
        <w:t xml:space="preserve">(Flannigan et al., 2016; Van Wagner, 1987)</w:t>
      </w:r>
      <w:r>
        <w:t xml:space="preserve">. En el Chaco semiárido, los combustibles portantes son pastos finos y arbustos que responden en horas a la demanda atmosférica, mientras que el patrón espacial de ignición está gobernado por fuentes ligadas al manejo del territorio y al acceso. El FWI es puramente meteorológico; la formulación del INPE usada aquí incorpora fracciones de cobertura, pero ninguno de los dos contiene la información antrópica y de accesibilidad a escala fina que domina la ignición en el Chaco, y su capacidad de ranking colapsa hacia el azar bajo una evaluación D2 desacoplada.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 Estos índices no solo rankean peor: dondequiera que alguno siga siendo positivo, también generan menos valor de decisión que M3 (Tabla S14).</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pirogeográficos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7"/>
    <w:bookmarkStart w:id="48"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w:t>
      </w:r>
      <w:r>
        <w:t xml:space="preserve"> </w:t>
      </w:r>
      <w:r>
        <w:rPr>
          <w:i/>
          <w:iCs/>
        </w:rPr>
        <w:t xml:space="preserve">t</w:t>
      </w:r>
      <w:r>
        <w:t xml:space="preserve">−1 y un holdout de bloques espaciales es la principal contribución metodológica. Un control negativo con etiquetas permutadas afina este punto. Reentrenar M3 con etiquetas de entrenamiento permutadas da AUC 0.6297/0.5138, y quitar las variables históricas no elimina el exceso (0.6276/0.5168). Un control sin fuga debería estar cerca de 0.5. El exceso en el Chaco indica, por tanto, información residual de celda o de variables: no prueba que el ranking principal sea erróneo, pero obliga a evitar una lectura causal y a auditar los priors históricos y los descriptores estáticos de celda. El control se reporta en la Tabla S32 y la Figura S7.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 Una cuarta visión, el valor de decisión, pregunta si el ranking sobrevive a una relación cost-loss; es la visión que determina el uso operativo.</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Los árboles de boosting de gradiente se conservaron no como una afirmación de superioridad arquitectónica, sino porque permiten imponer restricciones monótonas físicas explícitas y ejecutar la inferencia nacional completa en CPUs de uso común (Sección 2.4), que es la restricción operativa que este estudio aborda.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w:t>
      </w:r>
      <w:r>
        <w:t xml:space="preserve"> </w:t>
      </w:r>
      <w:r>
        <w:rPr>
          <w:i/>
          <w:iCs/>
        </w:rPr>
        <w:t xml:space="preserve">t</w:t>
      </w:r>
      <w:r>
        <w:t xml:space="preserve">−1,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8"/>
    <w:bookmarkStart w:id="49"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9"/>
    <w:bookmarkStart w:id="50" w:name="limitaciones"/>
    <w:p>
      <w:pPr>
        <w:pStyle w:val="Heading2"/>
      </w:pPr>
      <w:r>
        <w:t xml:space="preserve">4.4 Limitaciones</w:t>
      </w:r>
    </w:p>
    <w:p>
      <w:pPr>
        <w:pStyle w:val="FirstParagraph"/>
      </w:pPr>
      <w:r>
        <w:t xml:space="preserve">Varias limitaciones acotan la interpretación de este estudio:</w:t>
      </w:r>
    </w:p>
    <w:p>
      <w:pPr>
        <w:pStyle w:val="Compact"/>
        <w:numPr>
          <w:ilvl w:val="0"/>
          <w:numId w:val="1004"/>
        </w:numPr>
      </w:pPr>
      <w:r>
        <w:rPr>
          <w:b/>
          <w:bCs/>
        </w:rPr>
        <w:t xml:space="preserve">Restricciones de datos y observación.</w:t>
      </w:r>
      <w:r>
        <w:t xml:space="preserve"> </w:t>
      </w:r>
      <w:r>
        <w:t xml:space="preserve">El estudio cubre dos macro-regiones de Paraguay e incluye solo una prueba exploratoria entre países en Formosa; esa prueba no alcanzó el umbral pre-registrado de transporte y no es una validación multi-país completa. La caracterización del combustible se basa en la serie anual de MapBiomas Colección 2 (2017–2023) unida por año previo, de modo que 2024 usa el mapa de 2023 con un año de rezago y 2025 lo extrapola con dos años de rezago. Los objetivos de fuego activo dependen de detecciones VIIRS, que pueden omitir incendios subdosel o cubiertos por nubes al no existir un modelo de observación explícito, mientras que los insumos ERA5-Land (0.25°, 3 horas) pueden suavizar picos locales intradía de VPD y viento.</w:t>
      </w:r>
    </w:p>
    <w:p>
      <w:pPr>
        <w:pStyle w:val="Compact"/>
        <w:numPr>
          <w:ilvl w:val="0"/>
          <w:numId w:val="1004"/>
        </w:numPr>
      </w:pPr>
      <w:r>
        <w:rPr>
          <w:b/>
          <w:bCs/>
        </w:rPr>
        <w:t xml:space="preserve">Límites estadísticos y de generalización.</w:t>
      </w:r>
      <w:r>
        <w:t xml:space="preserve"> </w:t>
      </w:r>
      <w:r>
        <w:t xml:space="preserve">Aunque la sensibilidad D2 con radios de 15/25/35 km y ventanas de 7/10/14 días confirmó que el ranking de modelos es estable bajo reentrenamiento completo (Tabla S20 del suplemento), el test 2024–2025 es retrospectivo y no ciego, y comparte el 90.65 % de sus celdas activas con el período de entrenamiento por solapamiento temporal; restringir a celdas nunca vistas en entrenamiento reduce el ROC-AUC de M3 en 0.018/0.039 pero mantiene un diferencial positivo M3 &gt; M2 en ROC-AUC y PR-AUC, aunque el de ROC-AUC no se resuelve en Oriental (Tabla S27 del suplemento). La validación adversarial alcanza AUC 0.8832/0.9241, lo que confirma que el cambio temporal es sustancial y está impulsado principalmente por variables estacionales y de densidad histórica (Tabla S29). Un control negativo con etiquetas permutadas sigue por encima del azar en el Chaco (0.63), por lo que no se puede excluir una señal residual de celda o histórica; el score es una señal de nowcast, no una atribución causal. M3 pierde su ventaja predictiva en bloques espaciales no vistos, lo que exige a M2 como respaldo operativo mientras M1 sigue siendo una línea base insuficiente; El test de Boquerón es dentro de Paraguay y aporta métricas poblacionales derivadas; el piloto entre países en Formosa fue exploratorio, usó otra fuente climática (CDS/Hargreaves) y no alcanzó el umbral de transporte, por lo que la pequeña ganancia de M3 allí no es evidencia de superioridad entre países. la cobertura conformal (90.17 %/90.31 % para el nivel del 90 %) es empírica y no está formalmente garantizada bajo cambio temporal; y el comparador acoplado</w:t>
      </w:r>
      <w:r>
        <w:t xml:space="preserve"> </w:t>
      </w:r>
      <w:r>
        <w:rPr>
          <w:i/>
          <w:iCs/>
        </w:rPr>
        <w:t xml:space="preserve">t</w:t>
      </w:r>
      <w:r>
        <w:t xml:space="preserve">−1 (Tabla S19 del suplemento) se evaluó sobre la misma muestra caso-control con gating, por lo que no prueba la eliminación del filtro biofísico.</w:t>
      </w:r>
    </w:p>
    <w:p>
      <w:pPr>
        <w:pStyle w:val="Compact"/>
        <w:numPr>
          <w:ilvl w:val="0"/>
          <w:numId w:val="1004"/>
        </w:numPr>
      </w:pPr>
      <w:r>
        <w:rPr>
          <w:b/>
          <w:bCs/>
        </w:rPr>
        <w:t xml:space="preserve">Alcance operativo y de software.</w:t>
      </w:r>
      <w:r>
        <w:t xml:space="preserve"> </w:t>
      </w:r>
      <w:r>
        <w:t xml:space="preserve">Dado que el pipeline usa meteorología observada hasta el día</w:t>
      </w:r>
      <w:r>
        <w:t xml:space="preserve"> </w:t>
      </w:r>
      <w:r>
        <w:rPr>
          <w:i/>
          <w:iCs/>
        </w:rPr>
        <w:t xml:space="preserve">t</w:t>
      </w:r>
      <w:r>
        <w:t xml:space="preserve">, funciona como nowcast/hindcast y no como un pronóstico a un día respaldado por predicción numérica del tiempo. La precisión poblacional de ignición es muy baja (0.082 %/0.198 %; IC 95 % 0.075–0.088/0.178–0.222), cost-loss no muestra una ventaja clara de M3 sobre M2 para ignición y las capas de alerta aún no se han evaluado prospectivamente con una agencia operativa. Por último, transferir el pipeline a otro país requeriría reconstruir la grilla de 1 km², los priors históricos y los metadatos de prevalencia, y el lock de dependencias fijado registra versiones exactas de paquetes sin hashes de ruedas específicos de plataforma (documentado en el repositorio de código).</w:t>
      </w:r>
    </w:p>
    <w:bookmarkEnd w:id="50"/>
    <w:bookmarkEnd w:id="51"/>
    <w:bookmarkStart w:id="52" w:name="conclusiones"/>
    <w:p>
      <w:pPr>
        <w:pStyle w:val="Heading1"/>
      </w:pPr>
      <w:r>
        <w:t xml:space="preserve">5. Conclusiones</w:t>
      </w:r>
    </w:p>
    <w:p>
      <w:pPr>
        <w:pStyle w:val="FirstParagraph"/>
      </w:pPr>
      <w:r>
        <w:t xml:space="preserve">Presentamos un marco computacional reproducible para el benchmarking desacoplado de la ignición y la propagación de incendios en el Gran Chaco y la Región Oriental del Paraguay. El operador de objetivos D2 separa la ignición primaria de la persistencia multidiaria, la arquitectura M3/M2 con gating combina un nowcast temporal consciente de la recurrencia con un respaldo espacialmente robusto, y el arnés de evaluación hace auditable cada comparación. En la validación de 2023, M3 alcanzó un ROC-AUC de 0.7844/0.7628 (Chaco/Oriental), mientras que M2 fue el más robusto tanto en los bloques espaciales de desarrollo (0.6773/0.7470) como en los de confirmación independiente (0.6871/0.6621; Tabla S18 del suplemento), lo que justifica reemplazar al baseline biofísico M1 como respaldo operativo. En el test retrospectivo 2024–2025, M3 superó ampliamente al FWI canadiense completo (0.8021/0.7534 frente a 0.5059/0.5611) y al Risco de Fogo del INPE (0.5266/0.4973), y el desacoplamiento no sacrificó discriminación frente a un comparador acoplado</w:t>
      </w:r>
      <w:r>
        <w:t xml:space="preserve"> </w:t>
      </w:r>
      <w:r>
        <w:rPr>
          <w:i/>
          <w:iCs/>
        </w:rPr>
        <w:t xml:space="preserve">t</w:t>
      </w:r>
      <w:r>
        <w:t xml:space="preserve">−1 (Tabla S19 del suplemento). No obstante, la precisión poblacional de ignición sigue siendo baja (0.082 %/0.198 %; IC 95 % 0.075–0.088/0.178–0.222) y la ventaja híbrida es estrictamente temporal y no espacial. Los análisis de curvas de decisión y cost-loss ubican la ganancia operativa en la propagación (V = 0.63/0.40 con α = 0.002) y en la ignición solo como capa de cribado de α bajo, lo que sitúa al sistema como una herramienta operativa de cribado y priorización y no como un sistema de alerta autónomo. Un control negativo con etiquetas permutadas sigue por encima del azar en el Chaco (0.63), por lo que este ranking es una señal de nowcast y no una atribución causal. Un test externo leave-one-department-out en Boquerón reprodujo la discriminación M2/M3 (0.8104/0.8120) pero no una ganancia M3−M2 significativa (+0.0016, p = 0.254); el FWI quedó por debajo del azar (0.4708) y el INPE alcanzó 0.5817. En última instancia, el aporte principal de este trabajo no es un mapa único de susceptibilidad, sino un protocolo abierto y auditable —archivado con código y datos públicos— que muestra dónde es válido un modelo geocientífico, dónde falla y cómo extender el benchmark a otras regiones subtropicales y a pronósticos meteorológicos a un día.</w:t>
      </w:r>
    </w:p>
    <w:bookmarkEnd w:id="52"/>
    <w:bookmarkStart w:id="55" w:name="disponibilidad-de-datos"/>
    <w:p>
      <w:pPr>
        <w:pStyle w:val="Heading1"/>
      </w:pPr>
      <w:r>
        <w:t xml:space="preserve">6. Disponibilidad de datos</w:t>
      </w:r>
    </w:p>
    <w:p>
      <w:pPr>
        <w:pStyle w:val="FirstParagraph"/>
      </w:pPr>
      <w:r>
        <w:t xml:space="preserve">Los datos procesados, las predicciones de test, los modelos entrenados y las tablas derivadas están archivados en el asset de datos v2.0.1 (</w:t>
      </w:r>
      <w:r>
        <w:rPr>
          <w:rStyle w:val="VerbatimChar"/>
        </w:rPr>
        <w:t xml:space="preserve">Incendios_PY_data_v2.0.1.zip</w:t>
      </w:r>
      <w:r>
        <w:t xml:space="preserve">, 1.18 GB) del release</w:t>
      </w:r>
      <w:r>
        <w:t xml:space="preserve"> </w:t>
      </w:r>
      <w:hyperlink r:id="rId53">
        <w:r>
          <w:rPr>
            <w:rStyle w:val="Hyperlink"/>
          </w:rPr>
          <w:t xml:space="preserve">https://github.com/sanchezmartin093-code/Incendios_PY/releases/tag/v2.0.1</w:t>
        </w:r>
      </w:hyperlink>
      <w:r>
        <w:t xml:space="preserve"> </w:t>
      </w:r>
      <w:r>
        <w:t xml:space="preserve">bajo CC BY 4.0, y se documentan bajo el DOI conceptual de datos</w:t>
      </w:r>
      <w:r>
        <w:t xml:space="preserve"> </w:t>
      </w:r>
      <w:hyperlink r:id="rId54">
        <w:r>
          <w:rPr>
            <w:rStyle w:val="Hyperlink"/>
          </w:rPr>
          <w:t xml:space="preserve">10.5281/zenodo.23675278</w:t>
        </w:r>
      </w:hyperlink>
      <w:r>
        <w:t xml:space="preserve">. El código v2.1.0 y los artefactos tabulares están en el release v2.1.0 de GitHub y en</w:t>
      </w:r>
      <w:r>
        <w:t xml:space="preserve"> </w:t>
      </w:r>
      <w:r>
        <w:rPr>
          <w:rStyle w:val="VerbatimChar"/>
        </w:rPr>
        <w:t xml:space="preserve">tablas_maestro.xlsx</w:t>
      </w:r>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5"/>
    <w:bookmarkStart w:id="56"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6"/>
    <w:bookmarkStart w:id="57"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7"/>
    <w:bookmarkStart w:id="58"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8"/>
    <w:bookmarkStart w:id="59"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9"/>
    <w:bookmarkStart w:id="60"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60"/>
    <w:bookmarkStart w:id="63"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1">
        <w:r>
          <w:rPr>
            <w:rStyle w:val="Hyperlink"/>
          </w:rPr>
          <w:t xml:space="preserve">https://github.com/sanchezmartin093-code/Incendios_PY</w:t>
        </w:r>
      </w:hyperlink>
      <w:r>
        <w:br/>
      </w:r>
      <w:r>
        <w:rPr>
          <w:b/>
          <w:bCs/>
        </w:rPr>
        <w:t xml:space="preserve">DOI conceptual del código (última versión):</w:t>
      </w:r>
      <w:r>
        <w:t xml:space="preserve"> </w:t>
      </w:r>
      <w:hyperlink r:id="rId62">
        <w:r>
          <w:rPr>
            <w:rStyle w:val="Hyperlink"/>
          </w:rPr>
          <w:t xml:space="preserve">10.5281/zenodo.23675104</w:t>
        </w:r>
      </w:hyperlink>
      <w:r>
        <w:br/>
      </w:r>
      <w:r>
        <w:rPr>
          <w:b/>
          <w:bCs/>
        </w:rPr>
        <w:t xml:space="preserve">DOI conceptual de los datos (última versión):</w:t>
      </w:r>
      <w:r>
        <w:t xml:space="preserve"> </w:t>
      </w:r>
      <w:hyperlink r:id="rId54">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3"/>
    <w:bookmarkStart w:id="116" w:name="referencias"/>
    <w:p>
      <w:pPr>
        <w:pStyle w:val="Heading1"/>
      </w:pPr>
      <w:r>
        <w:t xml:space="preserve">Referencias</w:t>
      </w:r>
    </w:p>
    <w:bookmarkStart w:id="115" w:name="refs"/>
    <w:bookmarkStart w:id="65" w:name="ref-alvarado2018"/>
    <w:p>
      <w:pPr>
        <w:pStyle w:val="Bibliography"/>
      </w:pPr>
      <w:r>
        <w:t xml:space="preserve">Alvarado, S.T., Silva, C.A., Archibald, S., 2018. Drivers of fire occurrence in a savanna-forest mosaic in the southern</w:t>
      </w:r>
      <w:r>
        <w:t xml:space="preserve"> </w:t>
      </w:r>
      <w:r>
        <w:t xml:space="preserve">Amazon</w:t>
      </w:r>
      <w:r>
        <w:t xml:space="preserve">. Remote Sensing 10, 1438.</w:t>
      </w:r>
      <w:r>
        <w:t xml:space="preserve"> </w:t>
      </w:r>
      <w:hyperlink r:id="rId64">
        <w:r>
          <w:rPr>
            <w:rStyle w:val="Hyperlink"/>
          </w:rPr>
          <w:t xml:space="preserve">https://doi.org/10.3390/rs10091438</w:t>
        </w:r>
      </w:hyperlink>
    </w:p>
    <w:bookmarkEnd w:id="65"/>
    <w:bookmarkStart w:id="67" w:name="ref-barmpoutis2020"/>
    <w:p>
      <w:pPr>
        <w:pStyle w:val="Bibliography"/>
      </w:pPr>
      <w:r>
        <w:t xml:space="preserve">Barmpoutis, P., Papaioannou, P., Dimitropoulos, K., Grammalidis, N., 2020. A Review on Early Forest Fire Detection Systems Using Optical Remote Sensing. Sensors 20, 6442.</w:t>
      </w:r>
      <w:r>
        <w:t xml:space="preserve"> </w:t>
      </w:r>
      <w:hyperlink r:id="rId66">
        <w:r>
          <w:rPr>
            <w:rStyle w:val="Hyperlink"/>
          </w:rPr>
          <w:t xml:space="preserve">https://doi.org/10.3390/s20226442</w:t>
        </w:r>
      </w:hyperlink>
    </w:p>
    <w:bookmarkEnd w:id="67"/>
    <w:bookmarkStart w:id="69" w:name="ref-baumann2017"/>
    <w:p>
      <w:pPr>
        <w:pStyle w:val="Bibliography"/>
      </w:pPr>
      <w:r>
        <w:t xml:space="preserve">Baumann, M., Gasparri, I., Piquer-Rodríguez, M., Ponzoni, G., Volante, J., Kuemmerle, T., 2017. Carbon emissions from agricultural expansion and intensification in the</w:t>
      </w:r>
      <w:r>
        <w:t xml:space="preserve"> </w:t>
      </w:r>
      <w:r>
        <w:t xml:space="preserve">Chaco</w:t>
      </w:r>
      <w:r>
        <w:t xml:space="preserve">. Global Change Biology 23, 1902-1916.</w:t>
      </w:r>
      <w:r>
        <w:t xml:space="preserve"> </w:t>
      </w:r>
      <w:hyperlink r:id="rId68">
        <w:r>
          <w:rPr>
            <w:rStyle w:val="Hyperlink"/>
          </w:rPr>
          <w:t xml:space="preserve">https://doi.org/10.1111/gcb.13521</w:t>
        </w:r>
      </w:hyperlink>
    </w:p>
    <w:bookmarkEnd w:id="69"/>
    <w:bookmarkStart w:id="71" w:name="ref-dormann2007"/>
    <w:p>
      <w:pPr>
        <w:pStyle w:val="Bibliography"/>
      </w:pPr>
      <w:r>
        <w:t xml:space="preserve">Dormann, C.F., McPherson, J.M., Araújo, M.B., Bivand, R., Bolliger, J., Carl, G., Davies, R.G., Hirzel, A., Jetz, W., Kissling, W.D., Kühn, I., Ohlemüller, R., Peres-Neto, P.R., Reineking, B., Schröder, B., Schurr, F.M., Wilson, R., 2007. Methods to account for spatial autocorrelation in the analysis of species distributional data: a review. Ecography 30, 609-628.</w:t>
      </w:r>
      <w:r>
        <w:t xml:space="preserve"> </w:t>
      </w:r>
      <w:hyperlink r:id="rId70">
        <w:r>
          <w:rPr>
            <w:rStyle w:val="Hyperlink"/>
          </w:rPr>
          <w:t xml:space="preserve">https://doi.org/10.1111/j.2007.0906-7590.05171.x</w:t>
        </w:r>
      </w:hyperlink>
    </w:p>
    <w:bookmarkEnd w:id="71"/>
    <w:bookmarkStart w:id="73" w:name="ref-flannigan2009"/>
    <w:p>
      <w:pPr>
        <w:pStyle w:val="Bibliography"/>
      </w:pPr>
      <w:r>
        <w:t xml:space="preserve">Flannigan, M.D., Krawchuk, M.A., Groot, W.J. de, Wotton, B.M., Gowman, L.M., 2009. Implications of changing climate for global wildland fire. International Journal of Wildland Fire 18, 483-507.</w:t>
      </w:r>
      <w:r>
        <w:t xml:space="preserve"> </w:t>
      </w:r>
      <w:hyperlink r:id="rId72">
        <w:r>
          <w:rPr>
            <w:rStyle w:val="Hyperlink"/>
          </w:rPr>
          <w:t xml:space="preserve">https://doi.org/10.1071/WF08187</w:t>
        </w:r>
      </w:hyperlink>
    </w:p>
    <w:bookmarkEnd w:id="73"/>
    <w:bookmarkStart w:id="75" w:name="ref-flannigan2016"/>
    <w:p>
      <w:pPr>
        <w:pStyle w:val="Bibliography"/>
      </w:pPr>
      <w:r>
        <w:t xml:space="preserve">Flannigan, M.D., Wotton, B.M., Marshall, G.A., Groot, W.J. de, Johnston, J., Jurko, N., Cantin, A.S., 2016. Fuel moisture sensitivity to temperature and precipitation: climate change implications. Climatic Change 134, 59-71.</w:t>
      </w:r>
      <w:r>
        <w:t xml:space="preserve"> </w:t>
      </w:r>
      <w:hyperlink r:id="rId74">
        <w:r>
          <w:rPr>
            <w:rStyle w:val="Hyperlink"/>
          </w:rPr>
          <w:t xml:space="preserve">https://doi.org/10.1007/s10584-015-1521-0</w:t>
        </w:r>
      </w:hyperlink>
    </w:p>
    <w:bookmarkEnd w:id="75"/>
    <w:bookmarkStart w:id="77" w:name="ref-hansen2013"/>
    <w:p>
      <w:pPr>
        <w:pStyle w:val="Bibliography"/>
      </w:pPr>
      <w:r>
        <w:t xml:space="preserve">Hansen, M.C., Potapov, P.V., Moore, R., Hancher, M., Turubanova, S.A., Tyukavina, A., Thau, D., Stehman, S.V., Goetz, S.J., Loveland, T.R., Kommareddy, A., Egorov, A., Chini, L., Justice, C.O., Townshend, J.R.G., 2013. High-resolution global maps of 21st-century forest cover change. Science 342, 850-853.</w:t>
      </w:r>
      <w:r>
        <w:t xml:space="preserve"> </w:t>
      </w:r>
      <w:hyperlink r:id="rId76">
        <w:r>
          <w:rPr>
            <w:rStyle w:val="Hyperlink"/>
          </w:rPr>
          <w:t xml:space="preserve">https://doi.org/10.1126/science.1244693</w:t>
        </w:r>
      </w:hyperlink>
    </w:p>
    <w:bookmarkEnd w:id="77"/>
    <w:bookmarkStart w:id="79" w:name="ref-jain2020review"/>
    <w:p>
      <w:pPr>
        <w:pStyle w:val="Bibliography"/>
      </w:pPr>
      <w:r>
        <w:t xml:space="preserve">Jain, P., Coogan, S.C.P., Subramanian, S.G., Crowley, M., Taylor, S., Flannigan, M.D., 2020. A review of machine learning applications in wildland fire science and management. Environmental Reviews 28, 478-505.</w:t>
      </w:r>
      <w:r>
        <w:t xml:space="preserve"> </w:t>
      </w:r>
      <w:hyperlink r:id="rId78">
        <w:r>
          <w:rPr>
            <w:rStyle w:val="Hyperlink"/>
          </w:rPr>
          <w:t xml:space="preserve">https://doi.org/10.1139/er-2020-0019</w:t>
        </w:r>
      </w:hyperlink>
    </w:p>
    <w:bookmarkEnd w:id="79"/>
    <w:bookmarkStart w:id="81" w:name="ref-jolly2015"/>
    <w:p>
      <w:pPr>
        <w:pStyle w:val="Bibliography"/>
      </w:pPr>
      <w:r>
        <w:t xml:space="preserve">Jolly, W.M., Cochrane, M.A., Freeborn, P.H., Holden, Z.A., Brown, T.J., Williamson, G.J., Bowman, D.M.J.S., 2015. Climate-induced variations in global wildfire danger from 1979 to 2013. Nature Communications 6, 7537.</w:t>
      </w:r>
      <w:r>
        <w:t xml:space="preserve"> </w:t>
      </w:r>
      <w:hyperlink r:id="rId80">
        <w:r>
          <w:rPr>
            <w:rStyle w:val="Hyperlink"/>
          </w:rPr>
          <w:t xml:space="preserve">https://doi.org/10.1038/ncomms8537</w:t>
        </w:r>
      </w:hyperlink>
    </w:p>
    <w:bookmarkEnd w:id="81"/>
    <w:bookmarkStart w:id="82"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82"/>
    <w:bookmarkStart w:id="84" w:name="ref-legendre1993"/>
    <w:p>
      <w:pPr>
        <w:pStyle w:val="Bibliography"/>
      </w:pPr>
      <w:r>
        <w:t xml:space="preserve">Legendre, P., 1993. Spatial autocorrelation: trouble or new paradigm? Ecology 74, 1659-1673.</w:t>
      </w:r>
      <w:r>
        <w:t xml:space="preserve"> </w:t>
      </w:r>
      <w:hyperlink r:id="rId83">
        <w:r>
          <w:rPr>
            <w:rStyle w:val="Hyperlink"/>
          </w:rPr>
          <w:t xml:space="preserve">https://doi.org/10.2307/1939924</w:t>
        </w:r>
      </w:hyperlink>
    </w:p>
    <w:bookmarkEnd w:id="84"/>
    <w:bookmarkStart w:id="86" w:name="ref-lundberg2020treeshap"/>
    <w:p>
      <w:pPr>
        <w:pStyle w:val="Bibliography"/>
      </w:pPr>
      <w:r>
        <w:t xml:space="preserve">Lundberg, S.M., Erion, G., Chen, H., DeGrave, A., Prutkin, J.M., Nair, B., Katz, R., Himmelfarb, J., Bansal, N., Lee, S.-I., 2020. From local explanations to global understanding with explainable</w:t>
      </w:r>
      <w:r>
        <w:t xml:space="preserve"> </w:t>
      </w:r>
      <w:r>
        <w:t xml:space="preserve">AI</w:t>
      </w:r>
      <w:r>
        <w:t xml:space="preserve"> </w:t>
      </w:r>
      <w:r>
        <w:t xml:space="preserve">for trees. Nature Machine Intelligence 2, 56-67.</w:t>
      </w:r>
      <w:r>
        <w:t xml:space="preserve"> </w:t>
      </w:r>
      <w:hyperlink r:id="rId85">
        <w:r>
          <w:rPr>
            <w:rStyle w:val="Hyperlink"/>
          </w:rPr>
          <w:t xml:space="preserve">https://doi.org/10.1038/s42256-019-0138-9</w:t>
        </w:r>
      </w:hyperlink>
    </w:p>
    <w:bookmarkEnd w:id="86"/>
    <w:bookmarkStart w:id="88"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87">
        <w:r>
          <w:rPr>
            <w:rStyle w:val="Hyperlink"/>
          </w:rPr>
          <w:t xml:space="preserve">https://chaco.mapbiomas.org/</w:t>
        </w:r>
      </w:hyperlink>
      <w:r>
        <w:t xml:space="preserve"> </w:t>
      </w:r>
      <w:r>
        <w:t xml:space="preserve">(accedido 10.28.2026).</w:t>
      </w:r>
    </w:p>
    <w:bookmarkEnd w:id="88"/>
    <w:bookmarkStart w:id="90"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89">
        <w:r>
          <w:rPr>
            <w:rStyle w:val="Hyperlink"/>
          </w:rPr>
          <w:t xml:space="preserve">https://doi.org/10.5194/essd-13-4349-2021</w:t>
        </w:r>
      </w:hyperlink>
    </w:p>
    <w:bookmarkEnd w:id="90"/>
    <w:bookmarkStart w:id="92" w:name="ref-niculescu2005"/>
    <w:p>
      <w:pPr>
        <w:pStyle w:val="Bibliography"/>
      </w:pPr>
      <w:r>
        <w:t xml:space="preserve">Niculescu-Mizil, A., Caruana, R., 2005. Predicting good probabilities with supervised learning, en: Proceedings of the 22nd International Conference on Machine Learning (ICML). pp. 625-632.</w:t>
      </w:r>
      <w:r>
        <w:t xml:space="preserve"> </w:t>
      </w:r>
      <w:hyperlink r:id="rId91">
        <w:r>
          <w:rPr>
            <w:rStyle w:val="Hyperlink"/>
          </w:rPr>
          <w:t xml:space="preserve">https://doi.org/10.1145/1102351.1102430</w:t>
        </w:r>
      </w:hyperlink>
    </w:p>
    <w:bookmarkEnd w:id="92"/>
    <w:bookmarkStart w:id="94" w:name="ref-pivello2021"/>
    <w:p>
      <w:pPr>
        <w:pStyle w:val="Bibliography"/>
      </w:pPr>
      <w:r>
        <w:t xml:space="preserve">Pivello, V.R., Vieira, I., Christianini, A.V., Ribeiro, D.B., Silva Menezes, L. da, Berlinck, C.N., Melo, F.P.L., Marengo, J.A., Tornquist, C.G., Tomas, W.M., Overbeck, G.E., 2021. Understanding</w:t>
      </w:r>
      <w:r>
        <w:t xml:space="preserve"> </w:t>
      </w:r>
      <w:r>
        <w:t xml:space="preserve">Brazil</w:t>
      </w:r>
      <w:r>
        <w:t xml:space="preserve">’s catastrophic fires: Causes, consequences and policy needed. Perspectives in Ecology and Conservation 19, 233-255.</w:t>
      </w:r>
      <w:r>
        <w:t xml:space="preserve"> </w:t>
      </w:r>
      <w:hyperlink r:id="rId93">
        <w:r>
          <w:rPr>
            <w:rStyle w:val="Hyperlink"/>
          </w:rPr>
          <w:t xml:space="preserve">https://doi.org/10.1016/j.pecon.2021.06.005</w:t>
        </w:r>
      </w:hyperlink>
    </w:p>
    <w:bookmarkEnd w:id="94"/>
    <w:bookmarkStart w:id="95" w:name="ref-platt1999"/>
    <w:p>
      <w:pPr>
        <w:pStyle w:val="Bibliography"/>
      </w:pPr>
      <w:r>
        <w:t xml:space="preserve">Platt, J., 1999. Probabilistic outputs for support vector machines and comparisons to regularized likelihood methods, en: Advances in Large Margin Classifiers. MIT Press, pp. 61-74.</w:t>
      </w:r>
    </w:p>
    <w:bookmarkEnd w:id="95"/>
    <w:bookmarkStart w:id="97" w:name="ref-ploton2020"/>
    <w:p>
      <w:pPr>
        <w:pStyle w:val="Bibliography"/>
      </w:pPr>
      <w:r>
        <w:t xml:space="preserve">Ploton, P., Mortier, F., Réjou-Méchain, M., Barbier, N., Picard, N., Rossi, V., Dormann, C.F., Cornu, G., Viennois, G., Bayol, N., Pélissier, R., 2020. Spatial validation reveals poor predictive performance of large-scale ecological mapping models. Nature Communications 11, 4540.</w:t>
      </w:r>
      <w:r>
        <w:t xml:space="preserve"> </w:t>
      </w:r>
      <w:hyperlink r:id="rId96">
        <w:r>
          <w:rPr>
            <w:rStyle w:val="Hyperlink"/>
          </w:rPr>
          <w:t xml:space="preserve">https://doi.org/10.1038/s41467-020-18321-y</w:t>
        </w:r>
      </w:hyperlink>
    </w:p>
    <w:bookmarkEnd w:id="97"/>
    <w:bookmarkStart w:id="99" w:name="ref-raasveldt2019duckdb"/>
    <w:p>
      <w:pPr>
        <w:pStyle w:val="Bibliography"/>
      </w:pPr>
      <w:r>
        <w:t xml:space="preserve">Raasveldt, M., Mühleisen, H., 2019. DuckDB: an Embeddable Analytical Database, en: Proceedings of the 2019 International Conference on Management of Data (SIGMOD). pp. 1981-1984.</w:t>
      </w:r>
      <w:r>
        <w:t xml:space="preserve"> </w:t>
      </w:r>
      <w:hyperlink r:id="rId98">
        <w:r>
          <w:rPr>
            <w:rStyle w:val="Hyperlink"/>
          </w:rPr>
          <w:t xml:space="preserve">https://doi.org/10.1145/3299869.3320212</w:t>
        </w:r>
      </w:hyperlink>
    </w:p>
    <w:bookmarkEnd w:id="99"/>
    <w:bookmarkStart w:id="101"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spatial, temporal, or phylogenetic structure. Ecography 40, 913-929.</w:t>
      </w:r>
      <w:r>
        <w:t xml:space="preserve"> </w:t>
      </w:r>
      <w:hyperlink r:id="rId100">
        <w:r>
          <w:rPr>
            <w:rStyle w:val="Hyperlink"/>
          </w:rPr>
          <w:t xml:space="preserve">https://doi.org/10.1111/ecog.02881</w:t>
        </w:r>
      </w:hyperlink>
    </w:p>
    <w:bookmarkEnd w:id="101"/>
    <w:bookmarkStart w:id="103" w:name="ref-sanmiguel2012"/>
    <w:p>
      <w:pPr>
        <w:pStyle w:val="Bibliography"/>
      </w:pPr>
      <w:r>
        <w:t xml:space="preserve">San-Miguel-Ayanz, J., Schulte, E., Schmuck, G., Camia, A., Strobl, P., Liberta, G., Giovando, C., Boca, R., Sedano, F., Kempeneers, P., McInerney, D., Houston Durrant, T., 2012. Comprehensive Monitoring of Wildfires in</w:t>
      </w:r>
      <w:r>
        <w:t xml:space="preserve"> </w:t>
      </w:r>
      <w:r>
        <w:t xml:space="preserve">Europe</w:t>
      </w:r>
      <w:r>
        <w:t xml:space="preserve">: The</w:t>
      </w:r>
      <w:r>
        <w:t xml:space="preserve"> </w:t>
      </w:r>
      <w:r>
        <w:t xml:space="preserve">European Forest Fire Information System</w:t>
      </w:r>
      <w:r>
        <w:t xml:space="preserve"> </w:t>
      </w:r>
      <w:r>
        <w:t xml:space="preserve">(</w:t>
      </w:r>
      <w:r>
        <w:t xml:space="preserve">EFFIS</w:t>
      </w:r>
      <w:r>
        <w:t xml:space="preserve">). Approaches to Managing Disaster - Assessing Hazards, Emergencies and Disaster Impacts 87-108.</w:t>
      </w:r>
      <w:r>
        <w:t xml:space="preserve"> </w:t>
      </w:r>
      <w:hyperlink r:id="rId102">
        <w:r>
          <w:rPr>
            <w:rStyle w:val="Hyperlink"/>
          </w:rPr>
          <w:t xml:space="preserve">https://doi.org/10.5772/28441</w:t>
        </w:r>
      </w:hyperlink>
    </w:p>
    <w:bookmarkEnd w:id="103"/>
    <w:bookmarkStart w:id="105"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104">
        <w:r>
          <w:rPr>
            <w:rStyle w:val="Hyperlink"/>
          </w:rPr>
          <w:t xml:space="preserve">https://doi.org/10.1016/j.rse.2013.12.008</w:t>
        </w:r>
      </w:hyperlink>
    </w:p>
    <w:bookmarkEnd w:id="105"/>
    <w:bookmarkStart w:id="107"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106">
        <w:r>
          <w:rPr>
            <w:rStyle w:val="Hyperlink"/>
          </w:rPr>
          <w:t xml:space="preserve">http://queimadas.dgi.inpe.br</w:t>
        </w:r>
      </w:hyperlink>
      <w:r>
        <w:t xml:space="preserve"> </w:t>
      </w:r>
      <w:r>
        <w:t xml:space="preserve">(accedido 10.28.2026).</w:t>
      </w:r>
    </w:p>
    <w:bookmarkEnd w:id="107"/>
    <w:bookmarkStart w:id="109" w:name="ref-stocks1989"/>
    <w:p>
      <w:pPr>
        <w:pStyle w:val="Bibliography"/>
      </w:pPr>
      <w:r>
        <w:t xml:space="preserve">Stocks, B.J., Lawson, B.D., Alexander, M.E., Van Wagner, C.E., McAlpine, R.S., Lynham, T.J., Dubé, D.E., 1989. The</w:t>
      </w:r>
      <w:r>
        <w:t xml:space="preserve"> </w:t>
      </w:r>
      <w:r>
        <w:t xml:space="preserve">Canadian Forest Fire Danger Rating System</w:t>
      </w:r>
      <w:r>
        <w:t xml:space="preserve">: An overview. The Forestry Chronicle 65, 258-265.</w:t>
      </w:r>
      <w:r>
        <w:t xml:space="preserve"> </w:t>
      </w:r>
      <w:hyperlink r:id="rId108">
        <w:r>
          <w:rPr>
            <w:rStyle w:val="Hyperlink"/>
          </w:rPr>
          <w:t xml:space="preserve">https://doi.org/10.5558/tfc65258-4</w:t>
        </w:r>
      </w:hyperlink>
    </w:p>
    <w:bookmarkEnd w:id="109"/>
    <w:bookmarkStart w:id="111" w:name="ref-tobler1970"/>
    <w:p>
      <w:pPr>
        <w:pStyle w:val="Bibliography"/>
      </w:pPr>
      <w:r>
        <w:t xml:space="preserve">Tobler, W.R., 1970. A computer movie simulating urban growth in the</w:t>
      </w:r>
      <w:r>
        <w:t xml:space="preserve"> </w:t>
      </w:r>
      <w:r>
        <w:t xml:space="preserve">Detroit</w:t>
      </w:r>
      <w:r>
        <w:t xml:space="preserve"> </w:t>
      </w:r>
      <w:r>
        <w:t xml:space="preserve">region. Economic Geography 46, 234-240.</w:t>
      </w:r>
      <w:r>
        <w:t xml:space="preserve"> </w:t>
      </w:r>
      <w:hyperlink r:id="rId110">
        <w:r>
          <w:rPr>
            <w:rStyle w:val="Hyperlink"/>
          </w:rPr>
          <w:t xml:space="preserve">https://doi.org/10.2307/143141</w:t>
        </w:r>
      </w:hyperlink>
    </w:p>
    <w:bookmarkEnd w:id="111"/>
    <w:bookmarkStart w:id="113" w:name="ref-vallejos2015"/>
    <w:p>
      <w:pPr>
        <w:pStyle w:val="Bibliography"/>
      </w:pPr>
      <w:r>
        <w:t xml:space="preserve">Vallejos, M., Volante, J.N., Mosciaro, M.J., Vale, L.M., Bustamante, M.L., Paruelo, J.M., 2015. Transformation dynamics of the natural cover in the</w:t>
      </w:r>
      <w:r>
        <w:t xml:space="preserve"> </w:t>
      </w:r>
      <w:r>
        <w:t xml:space="preserve">Dry Chaco</w:t>
      </w:r>
      <w:r>
        <w:t xml:space="preserve"> </w:t>
      </w:r>
      <w:r>
        <w:t xml:space="preserve">ecoregion: A plot level geo-database from 1976 to 2012. Journal of Arid Environments 123, 3-11.</w:t>
      </w:r>
      <w:r>
        <w:t xml:space="preserve"> </w:t>
      </w:r>
      <w:hyperlink r:id="rId112">
        <w:r>
          <w:rPr>
            <w:rStyle w:val="Hyperlink"/>
          </w:rPr>
          <w:t xml:space="preserve">https://doi.org/10.1016/j.jaridenv.2014.11.009</w:t>
        </w:r>
      </w:hyperlink>
    </w:p>
    <w:bookmarkEnd w:id="113"/>
    <w:bookmarkStart w:id="114"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6" Target="http://queimadas.dgi.inpe.br" TargetMode="External" /><Relationship Type="http://schemas.openxmlformats.org/officeDocument/2006/relationships/hyperlink" Id="rId87" Target="https://chaco.mapbiomas.org/" TargetMode="External" /><Relationship Type="http://schemas.openxmlformats.org/officeDocument/2006/relationships/hyperlink" Id="rId74" Target="https://doi.org/10.1007/s10584-015-1521-0" TargetMode="External" /><Relationship Type="http://schemas.openxmlformats.org/officeDocument/2006/relationships/hyperlink" Id="rId112" Target="https://doi.org/10.1016/j.jaridenv.2014.11.009" TargetMode="External" /><Relationship Type="http://schemas.openxmlformats.org/officeDocument/2006/relationships/hyperlink" Id="rId93" Target="https://doi.org/10.1016/j.pecon.2021.06.005" TargetMode="External" /><Relationship Type="http://schemas.openxmlformats.org/officeDocument/2006/relationships/hyperlink" Id="rId104" Target="https://doi.org/10.1016/j.rse.2013.12.008" TargetMode="External" /><Relationship Type="http://schemas.openxmlformats.org/officeDocument/2006/relationships/hyperlink" Id="rId80" Target="https://doi.org/10.1038/ncomms8537" TargetMode="External" /><Relationship Type="http://schemas.openxmlformats.org/officeDocument/2006/relationships/hyperlink" Id="rId96" Target="https://doi.org/10.1038/s41467-020-18321-y" TargetMode="External" /><Relationship Type="http://schemas.openxmlformats.org/officeDocument/2006/relationships/hyperlink" Id="rId85" Target="https://doi.org/10.1038/s42256-019-0138-9" TargetMode="External" /><Relationship Type="http://schemas.openxmlformats.org/officeDocument/2006/relationships/hyperlink" Id="rId72" Target="https://doi.org/10.1071/WF08187" TargetMode="External" /><Relationship Type="http://schemas.openxmlformats.org/officeDocument/2006/relationships/hyperlink" Id="rId100" Target="https://doi.org/10.1111/ecog.02881" TargetMode="External" /><Relationship Type="http://schemas.openxmlformats.org/officeDocument/2006/relationships/hyperlink" Id="rId68" Target="https://doi.org/10.1111/gcb.13521" TargetMode="External" /><Relationship Type="http://schemas.openxmlformats.org/officeDocument/2006/relationships/hyperlink" Id="rId70" Target="https://doi.org/10.1111/j.2007.0906-7590.05171.x" TargetMode="External" /><Relationship Type="http://schemas.openxmlformats.org/officeDocument/2006/relationships/hyperlink" Id="rId76" Target="https://doi.org/10.1126/science.1244693" TargetMode="External" /><Relationship Type="http://schemas.openxmlformats.org/officeDocument/2006/relationships/hyperlink" Id="rId78" Target="https://doi.org/10.1139/er-2020-0019" TargetMode="External" /><Relationship Type="http://schemas.openxmlformats.org/officeDocument/2006/relationships/hyperlink" Id="rId91" Target="https://doi.org/10.1145/1102351.1102430" TargetMode="External" /><Relationship Type="http://schemas.openxmlformats.org/officeDocument/2006/relationships/hyperlink" Id="rId98" Target="https://doi.org/10.1145/3299869.3320212" TargetMode="External" /><Relationship Type="http://schemas.openxmlformats.org/officeDocument/2006/relationships/hyperlink" Id="rId110" Target="https://doi.org/10.2307/143141" TargetMode="External" /><Relationship Type="http://schemas.openxmlformats.org/officeDocument/2006/relationships/hyperlink" Id="rId83" Target="https://doi.org/10.2307/1939924" TargetMode="External" /><Relationship Type="http://schemas.openxmlformats.org/officeDocument/2006/relationships/hyperlink" Id="rId64" Target="https://doi.org/10.3390/rs10091438" TargetMode="External" /><Relationship Type="http://schemas.openxmlformats.org/officeDocument/2006/relationships/hyperlink" Id="rId66" Target="https://doi.org/10.3390/s20226442" TargetMode="External" /><Relationship Type="http://schemas.openxmlformats.org/officeDocument/2006/relationships/hyperlink" Id="rId89" Target="https://doi.org/10.5194/essd-13-4349-2021" TargetMode="External" /><Relationship Type="http://schemas.openxmlformats.org/officeDocument/2006/relationships/hyperlink" Id="rId62"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108" Target="https://doi.org/10.5558/tfc65258-4" TargetMode="External" /><Relationship Type="http://schemas.openxmlformats.org/officeDocument/2006/relationships/hyperlink" Id="rId102"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0.1" TargetMode="External" /></Relationships>
</file>

<file path=word/_rels/footnotes.xml.rels><?xml version="1.0" encoding="UTF-8"?><Relationships xmlns="http://schemas.openxmlformats.org/package/2006/relationships"><Relationship Type="http://schemas.openxmlformats.org/officeDocument/2006/relationships/hyperlink" Id="rId106" Target="http://queimadas.dgi.inpe.br" TargetMode="External" /><Relationship Type="http://schemas.openxmlformats.org/officeDocument/2006/relationships/hyperlink" Id="rId87" Target="https://chaco.mapbiomas.org/" TargetMode="External" /><Relationship Type="http://schemas.openxmlformats.org/officeDocument/2006/relationships/hyperlink" Id="rId74" Target="https://doi.org/10.1007/s10584-015-1521-0" TargetMode="External" /><Relationship Type="http://schemas.openxmlformats.org/officeDocument/2006/relationships/hyperlink" Id="rId112" Target="https://doi.org/10.1016/j.jaridenv.2014.11.009" TargetMode="External" /><Relationship Type="http://schemas.openxmlformats.org/officeDocument/2006/relationships/hyperlink" Id="rId93" Target="https://doi.org/10.1016/j.pecon.2021.06.005" TargetMode="External" /><Relationship Type="http://schemas.openxmlformats.org/officeDocument/2006/relationships/hyperlink" Id="rId104" Target="https://doi.org/10.1016/j.rse.2013.12.008" TargetMode="External" /><Relationship Type="http://schemas.openxmlformats.org/officeDocument/2006/relationships/hyperlink" Id="rId80" Target="https://doi.org/10.1038/ncomms8537" TargetMode="External" /><Relationship Type="http://schemas.openxmlformats.org/officeDocument/2006/relationships/hyperlink" Id="rId96" Target="https://doi.org/10.1038/s41467-020-18321-y" TargetMode="External" /><Relationship Type="http://schemas.openxmlformats.org/officeDocument/2006/relationships/hyperlink" Id="rId85" Target="https://doi.org/10.1038/s42256-019-0138-9" TargetMode="External" /><Relationship Type="http://schemas.openxmlformats.org/officeDocument/2006/relationships/hyperlink" Id="rId72" Target="https://doi.org/10.1071/WF08187" TargetMode="External" /><Relationship Type="http://schemas.openxmlformats.org/officeDocument/2006/relationships/hyperlink" Id="rId100" Target="https://doi.org/10.1111/ecog.02881" TargetMode="External" /><Relationship Type="http://schemas.openxmlformats.org/officeDocument/2006/relationships/hyperlink" Id="rId68" Target="https://doi.org/10.1111/gcb.13521" TargetMode="External" /><Relationship Type="http://schemas.openxmlformats.org/officeDocument/2006/relationships/hyperlink" Id="rId70" Target="https://doi.org/10.1111/j.2007.0906-7590.05171.x" TargetMode="External" /><Relationship Type="http://schemas.openxmlformats.org/officeDocument/2006/relationships/hyperlink" Id="rId76" Target="https://doi.org/10.1126/science.1244693" TargetMode="External" /><Relationship Type="http://schemas.openxmlformats.org/officeDocument/2006/relationships/hyperlink" Id="rId78" Target="https://doi.org/10.1139/er-2020-0019" TargetMode="External" /><Relationship Type="http://schemas.openxmlformats.org/officeDocument/2006/relationships/hyperlink" Id="rId91" Target="https://doi.org/10.1145/1102351.1102430" TargetMode="External" /><Relationship Type="http://schemas.openxmlformats.org/officeDocument/2006/relationships/hyperlink" Id="rId98" Target="https://doi.org/10.1145/3299869.3320212" TargetMode="External" /><Relationship Type="http://schemas.openxmlformats.org/officeDocument/2006/relationships/hyperlink" Id="rId110" Target="https://doi.org/10.2307/143141" TargetMode="External" /><Relationship Type="http://schemas.openxmlformats.org/officeDocument/2006/relationships/hyperlink" Id="rId83" Target="https://doi.org/10.2307/1939924" TargetMode="External" /><Relationship Type="http://schemas.openxmlformats.org/officeDocument/2006/relationships/hyperlink" Id="rId64" Target="https://doi.org/10.3390/rs10091438" TargetMode="External" /><Relationship Type="http://schemas.openxmlformats.org/officeDocument/2006/relationships/hyperlink" Id="rId66" Target="https://doi.org/10.3390/s20226442" TargetMode="External" /><Relationship Type="http://schemas.openxmlformats.org/officeDocument/2006/relationships/hyperlink" Id="rId89" Target="https://doi.org/10.5194/essd-13-4349-2021" TargetMode="External" /><Relationship Type="http://schemas.openxmlformats.org/officeDocument/2006/relationships/hyperlink" Id="rId62"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108" Target="https://doi.org/10.5558/tfc65258-4" TargetMode="External" /><Relationship Type="http://schemas.openxmlformats.org/officeDocument/2006/relationships/hyperlink" Id="rId102"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2026-10-29T14:50:58Z</dcterms:created>
  <dcterms:modified xsi:type="dcterms:W3CDTF">2026-10-29T14:50:58Z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../assets/elsevier-harvard.csl</vt:lpwstr>
  </property>
  <property fmtid="{D5CDD505-2E9C-101B-9397-08002B2CF9AE}" pid="6" name="date">
    <vt:lpwstr>2026-10-28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