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Override PartName="/word/media/rId48.png" ContentType="image/png"/>
  <Override PartName="/word/media/rId66.png" ContentType="image/png"/>
  <Override PartName="/word/media/rId60.png" ContentType="image/png"/>
  <Override PartName="/word/media/rId5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(2015–2025)</w:t>
      </w:r>
    </w:p>
    <w:p>
      <w:pPr>
        <w:pStyle w:val="Subtitle"/>
      </w:pPr>
      <w:r>
        <w:t xml:space="preserve">Un marco computacional reproducible de dos etapas para la predicción a 24 horas y benchmarking internacional frente a Canadian FWI e INPE</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con frecuencia dos fallas metodológicas críticas: el sesgo de atajo espacial (</w:t>
      </w:r>
      <w:r>
        <w:rPr>
          <w:i/>
          <w:iCs/>
        </w:rPr>
        <w:t xml:space="preserve">spatial shortcut learning</w:t>
      </w:r>
      <w:r>
        <w:t xml:space="preserve">) derivado de la fuerte autocorrelación de las plumas de fuego continuas, y la incapacidad de los índices climáticos canónicos boreales (como el</w:t>
      </w:r>
      <w:r>
        <w:t xml:space="preserve"> </w:t>
      </w:r>
      <w:r>
        <w:rPr>
          <w:i/>
          <w:iCs/>
        </w:rPr>
        <w:t xml:space="preserve">Canadian Forest Fire Weather Index</w:t>
      </w:r>
      <w:r>
        <w:t xml:space="preserve">, FWI) para capturar la desecación de biomas subtropicales con déficit hídrico extremo, como el Gran Chaco sudamericano. En este trabajo presentamos</w:t>
      </w:r>
      <w:r>
        <w:t xml:space="preserve"> </w:t>
      </w:r>
      <w:r>
        <w:rPr>
          <w:rStyle w:val="VerbatimChar"/>
        </w:rPr>
        <w:t xml:space="preserve">Incendios_PY</w:t>
      </w:r>
      <w:r>
        <w:t xml:space="preserve">, una arquitectura computacional GeoAI multiescala y desacoplada para la República del Paraguay (</w:t>
      </w:r>
      <m:oMath>
        <m:r>
          <m:t>400.006</m:t>
        </m:r>
      </m:oMath>
      <w:r>
        <w:t xml:space="preserve"> </w:t>
      </w:r>
      <w:r>
        <w:t xml:space="preserve">celdas soberanas a resolución de</w:t>
      </w:r>
      <w:r>
        <w:t xml:space="preserve"> </w:t>
      </w:r>
      <m:oMath>
        <m:r>
          <m:t>1</m:t>
        </m:r>
        <m:sSup>
          <m:e>
            <m:r>
              <m:rPr>
                <m:nor/>
                <m:sty m:val="p"/>
              </m:rPr>
              <m:t> km</m:t>
            </m:r>
          </m:e>
          <m:sup>
            <m:r>
              <m:t>2</m:t>
            </m:r>
          </m:sup>
        </m:sSup>
      </m:oMath>
      <w:r>
        <w:t xml:space="preserve">), diseñada sobre un horizonte decenal (2015–2025). El marco computacional implementa un filtrado biofísico de primera etapa (</w:t>
      </w:r>
      <w:r>
        <w:rPr>
          <w:i/>
          <w:iCs/>
        </w:rPr>
        <w:t xml:space="preserve">Two-Stage Bio-physical Gating</w:t>
      </w:r>
      <w:r>
        <w:t xml:space="preserve">) que condiciona la inferencia al déficit de presión de vapor (</w:t>
      </w:r>
      <m:oMath>
        <m:r>
          <m:t>V</m:t>
        </m:r>
        <m:r>
          <m:t>P</m:t>
        </m:r>
        <m:r>
          <m:t>D</m:t>
        </m:r>
        <m:r>
          <m:rPr>
            <m:sty m:val="p"/>
          </m:rPr>
          <m:t>≥</m:t>
        </m:r>
        <m:r>
          <m:t>0</m:t>
        </m:r>
        <m:r>
          <m:rPr>
            <m:sty m:val="p"/>
          </m:rPr>
          <m:t>,</m:t>
        </m:r>
        <m:r>
          <m:t>8</m:t>
        </m:r>
        <m:r>
          <m:rPr>
            <m:nor/>
            <m:sty m:val="p"/>
          </m:rPr>
          <m:t> kPa</m:t>
        </m:r>
      </m:oMath>
      <w:r>
        <w:t xml:space="preserve">), días secos consecutivos (</w:t>
      </w:r>
      <m:oMath>
        <m:r>
          <m:t>C</m:t>
        </m:r>
        <m:r>
          <m:t>D</m:t>
        </m:r>
        <m:r>
          <m:t>D</m:t>
        </m:r>
      </m:oMath>
      <w:r>
        <w:t xml:space="preserve">) y lluvia acumulada en 48 horas (</w:t>
      </w:r>
      <m:oMath>
        <m:r>
          <m:rPr>
            <m:sty m:val="p"/>
          </m:rPr>
          <m:t>&lt;</m:t>
        </m:r>
        <m:r>
          <m:t>10</m:t>
        </m:r>
        <m:r>
          <m:rPr>
            <m:nor/>
            <m:sty m:val="p"/>
          </m:rPr>
          <m:t> mm</m:t>
        </m:r>
      </m:oMath>
      <w:r>
        <w:t xml:space="preserve">), reduciendo la superficie evaluada en un 92 % sin pérdida de sensibilidad. Para neutralizar el aprendizaje de atajos espaciales espurios, desacoplamos analíticamente dos modelos diferenciados: (1)</w:t>
      </w:r>
      <w:r>
        <w:t xml:space="preserve"> </w:t>
      </w:r>
      <w:r>
        <w:rPr>
          <w:b/>
          <w:bCs/>
        </w:rPr>
        <w:t xml:space="preserve">Ignición Primaria Física</w:t>
      </w:r>
      <w:r>
        <w:t xml:space="preserve">, basado exclusivamente en interacciones meteorológicas no lineales, cobertura MapBiomas (30 m) y gradientes de ecotono; y (2)</w:t>
      </w:r>
      <w:r>
        <w:t xml:space="preserve"> </w:t>
      </w:r>
      <w:r>
        <w:rPr>
          <w:b/>
          <w:bCs/>
        </w:rPr>
        <w:t xml:space="preserve">Propagación Táctica</w:t>
      </w:r>
      <w:r>
        <w:t xml:space="preserve">, gobernado por un kernel causal espacial de contagio a retardo</w:t>
      </w:r>
      <w:r>
        <w:t xml:space="preserve"> </w:t>
      </w:r>
      <m:oMath>
        <m:r>
          <m:t>t</m:t>
        </m:r>
        <m:r>
          <m:rPr>
            <m:sty m:val="p"/>
          </m:rPr>
          <m:t>−</m:t>
        </m:r>
        <m:r>
          <m:t>1</m:t>
        </m:r>
      </m:oMath>
      <w:r>
        <w:t xml:space="preserve"> </w:t>
      </w:r>
      <w:r>
        <w:t xml:space="preserve">alimentado por anomalías térmicas VIIRS (375 m). La validación espaciotemporal rigurosa —bajo partición</w:t>
      </w:r>
      <w:r>
        <w:t xml:space="preserve"> </w:t>
      </w:r>
      <w:r>
        <w:rPr>
          <w:i/>
          <w:iCs/>
        </w:rPr>
        <w:t xml:space="preserve">out-of-time</w:t>
      </w:r>
      <w:r>
        <w:t xml:space="preserve"> </w:t>
      </w:r>
      <w:r>
        <w:t xml:space="preserve">multianual y una zona muerta de exclusión espacial (</w:t>
      </w:r>
      <w:r>
        <w:rPr>
          <w:i/>
          <w:iCs/>
        </w:rPr>
        <w:t xml:space="preserve">dead-zone buffer</w:t>
      </w:r>
      <w:r>
        <w:t xml:space="preserve">) de 20 km— demuestra una superioridad estadística sistemática frente a los sistemas canónicos internacionales: la capa de ignición supera al Canadian FWI (ROC-AUC 0,771 vs. 0,389) y al INPE Risco de Fogo (0,399) en la Región Oriental, mientras que la capa de propagación alcanza una precisión del 97,71 % con solo 3 falsos positivos en el Chaco. Implementado en un motor analítico</w:t>
      </w:r>
      <w:r>
        <w:t xml:space="preserve"> </w:t>
      </w:r>
      <w:r>
        <w:rPr>
          <w:i/>
          <w:iCs/>
        </w:rPr>
        <w:t xml:space="preserve">zero-copy</w:t>
      </w:r>
      <w:r>
        <w:t xml:space="preserve"> </w:t>
      </w:r>
      <w:r>
        <w:t xml:space="preserve">(DuckDB y Polars), el servicio evalúa el territorio nacional completo en 0,75 segundos en procesadores ARM64 estándar, garantizando soberanía operativa y reproducibilidad algorítmica para servicios de alerta temprana.</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frequently suffers from two major methodological limitations: spatial shortcut learning induced by the strong autocorrelation of ongoing thermal plumes, and the failure of canonical boreal fire danger rating indices (such as the Canadian FWI) in moisture-limited subtropical biomes like the South American Gran Chaco. Here, we present</w:t>
      </w:r>
      <w:r>
        <w:t xml:space="preserve"> </w:t>
      </w:r>
      <w:r>
        <w:rPr>
          <w:rStyle w:val="VerbatimChar"/>
        </w:rPr>
        <w:t xml:space="preserve">Incendios_PY</w:t>
      </w:r>
      <w:r>
        <w:t xml:space="preserve">, an open-source, decoupled GeoAI computational framework for the Republic of Paraguay (</w:t>
      </w:r>
      <m:oMath>
        <m:r>
          <m:t>400</m:t>
        </m:r>
        <m:r>
          <m:rPr>
            <m:sty m:val="p"/>
          </m:rPr>
          <m:t>,</m:t>
        </m:r>
        <m:r>
          <m:t>006</m:t>
        </m:r>
      </m:oMath>
      <w:r>
        <w:t xml:space="preserve"> </w:t>
      </w:r>
      <w:r>
        <w:t xml:space="preserve">sovereign</w:t>
      </w:r>
      <w:r>
        <w:t xml:space="preserve"> </w:t>
      </w:r>
      <m:oMath>
        <m:r>
          <m:t>1</m:t>
        </m:r>
        <m:sSup>
          <m:e>
            <m:r>
              <m:rPr>
                <m:nor/>
                <m:sty m:val="p"/>
              </m:rPr>
              <m:t>-km</m:t>
            </m:r>
          </m:e>
          <m:sup>
            <m:r>
              <m:t>2</m:t>
            </m:r>
          </m:sup>
        </m:sSup>
      </m:oMath>
      <w:r>
        <w:t xml:space="preserve"> </w:t>
      </w:r>
      <w:r>
        <w:t xml:space="preserve">grid cells) designed over a decadal observation horizon (2015–2025). The architecture incorporates a first-stage biophysical gating mechanism conditioned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filtering 92% of national grid cells without compromising detection sensitivity. To eradicate spatial persistence shortcuts, we decoupled the task into two specialized models: (1)</w:t>
      </w:r>
      <w:r>
        <w:t xml:space="preserve"> </w:t>
      </w:r>
      <w:r>
        <w:rPr>
          <w:b/>
          <w:bCs/>
        </w:rPr>
        <w:t xml:space="preserve">Pure Biophysical Ignition</w:t>
      </w:r>
      <w:r>
        <w:t xml:space="preserve">, modeled strictly on non-linear meteorological-fuel interactions and ecotone edge gradients without fire-history lags;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detections. Rigorous spatial validation—utilizing multiannual out-of-time holdouts and an explicit 20-km dead-zone spatial exclusion buffer—demonstrates that the biophysical ignition model outperforms both the Canadian FWI (ROC-AUC 0.771 vs. 0.389) and INPE’s Risco de Fogo (0.399) in the Oriental Region, while the tactical propagation model achieves 97.71% precision with only 3 false positives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Flannigan et al., 2009;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transformaciones de cobertura y cambio de uso de suelo aceleradas por la frontera agropecuaria</w:t>
      </w:r>
      <w:r>
        <w:t xml:space="preserve"> </w:t>
      </w:r>
      <w:r>
        <w:t xml:space="preserve">(Alvarado et al., 2018; Vallejos et al., 2015)</w:t>
      </w:r>
      <w:r>
        <w:t xml:space="preserve">. En este mosaico ecológico, las prácticas tradicionales de desmonte y quema de pasturas, combinadas con sequías sinópticas recurrentes y temperaturas extremas (</w:t>
      </w:r>
      <m:oMath>
        <m:r>
          <m:rPr>
            <m:sty m:val="p"/>
          </m:rPr>
          <m:t>&gt;</m:t>
        </m:r>
        <m:sSup>
          <m:e>
            <m:r>
              <m:t>42</m:t>
            </m:r>
          </m:e>
          <m:sup>
            <m:r>
              <m:rPr>
                <m:sty m:val="p"/>
              </m:rPr>
              <m:t>∘</m:t>
            </m:r>
          </m:sup>
        </m:sSup>
        <m:r>
          <m:rPr>
            <m:nor/>
            <m:sty m:val="p"/>
          </m:rPr>
          <m:t>C</m:t>
        </m:r>
      </m:oMath>
      <w:r>
        <w:t xml:space="preserve">), desatan conflagraciones de escala catastrófica similares a las registradas en biomas vecinos del Pantanal y Cerrado</w:t>
      </w:r>
      <w:r>
        <w:t xml:space="preserve"> </w:t>
      </w:r>
      <w:r>
        <w:t xml:space="preserve">(Pivello et al., 2021)</w:t>
      </w:r>
      <w:r>
        <w:t xml:space="preserve">, con temporadas críticas sin precedentes en 2019, 2020 y 2024.</w:t>
      </w:r>
    </w:p>
    <w:p>
      <w:pPr>
        <w:pStyle w:val="BodyText"/>
      </w:pPr>
      <w:r>
        <w:t xml:space="preserve">A nivel internacional, la estimación del peligro y propagación de incendios se ha sustentado históricamente en dos vertientes: los modelos mecanicistas basados en balances térmicos y dinámica de fluidos de combustibles vegetales</w:t>
      </w:r>
      <w:r>
        <w:t xml:space="preserve"> </w:t>
      </w:r>
      <w:r>
        <w:t xml:space="preserve">(Andrews, 2014; Rothermel, 1972)</w:t>
      </w:r>
      <w:r>
        <w:t xml:space="preserve">, y los sistemas empíricos semi-mecanicistas de peligro meteorológico. Entre estos últimos,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Con la consolidación de la teledetección satelital de incendios activos —iniciada por MODIS</w:t>
      </w:r>
      <w:r>
        <w:t xml:space="preserve"> </w:t>
      </w:r>
      <w:r>
        <w:t xml:space="preserve">(Giglio et al., 2016; Justice et al., 2002)</w:t>
      </w:r>
      <w:r>
        <w:t xml:space="preserve"> </w:t>
      </w:r>
      <w:r>
        <w:t xml:space="preserve">y continuada por VIIRS</w:t>
      </w:r>
      <w:r>
        <w:t xml:space="preserve"> </w:t>
      </w:r>
      <w:r>
        <w:t xml:space="preserve">(Schroeder et al., 2014)</w:t>
      </w:r>
      <w:r>
        <w:t xml:space="preserve"> </w:t>
      </w:r>
      <w:r>
        <w:t xml:space="preserve">junto con productos multidecenales de área quemada</w:t>
      </w:r>
      <w:r>
        <w:t xml:space="preserve"> </w:t>
      </w:r>
      <w:r>
        <w:t xml:space="preserve">(Artés et al., 2019; Chuvieco et al., 2019; Roy et al., 2008)</w:t>
      </w:r>
      <w:r>
        <w:t xml:space="preserve">—,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empleado por los organismos ambientales de Paraguay (MADES e INFONA). No obstante, estos índices canónicos fueron formulados para bosques templados de coníferas o sabanas tropicales abiertas, mostrando serias inconsistencias de calibración al extrapolarse a biomas xerofíticos bajo déficit hídrico extremo como el Chaco Seco.</w:t>
      </w:r>
    </w:p>
    <w:p>
      <w:pPr>
        <w:pStyle w:val="BodyText"/>
      </w:pPr>
      <w:r>
        <w:t xml:space="preserve">El auge de la inteligencia artificial geoespacial (</w:t>
      </w:r>
      <w:r>
        <w:rPr>
          <w:i/>
          <w:iCs/>
        </w:rPr>
        <w:t xml:space="preserve">GeoAI</w:t>
      </w:r>
      <w:r>
        <w:t xml:space="preserve">) y el aprendizaje automático (</w:t>
      </w:r>
      <w:r>
        <w:rPr>
          <w:i/>
          <w:iCs/>
        </w:rPr>
        <w:t xml:space="preserve">Machine Learning</w:t>
      </w:r>
      <w:r>
        <w:t xml:space="preserve">) ha propiciado una amplia gama de algoritmos de detección temprana y modelado predictivo de ignición</w:t>
      </w:r>
      <w:r>
        <w:t xml:space="preserve"> </w:t>
      </w:r>
      <w:r>
        <w:t xml:space="preserve">(Barmpoutis et al., 2020; Jain et al., 2020)</w:t>
      </w:r>
      <w:r>
        <w:t xml:space="preserve">, predominantemente mediante ensambles de árboles de decisión como XGBoost</w:t>
      </w:r>
      <w:r>
        <w:t xml:space="preserve"> </w:t>
      </w:r>
      <w:r>
        <w:t xml:space="preserve">(Chen &amp; Guestrin, 2016)</w:t>
      </w:r>
      <w:r>
        <w:t xml:space="preserve">, LightGBM</w:t>
      </w:r>
      <w:r>
        <w:t xml:space="preserve"> </w:t>
      </w:r>
      <w:r>
        <w:t xml:space="preserve">(Ke et al., 2017)</w:t>
      </w:r>
      <w:r>
        <w:t xml:space="preserve"> </w:t>
      </w:r>
      <w:r>
        <w:t xml:space="preserve">y CatBoost</w:t>
      </w:r>
      <w:r>
        <w:t xml:space="preserve"> </w:t>
      </w:r>
      <w:r>
        <w:t xml:space="preserve">(Prokhorenkova et al., 2018)</w:t>
      </w:r>
      <w:r>
        <w:t xml:space="preserve">, así como clasificadores biofísicos</w:t>
      </w:r>
      <w:r>
        <w:t xml:space="preserve"> </w:t>
      </w:r>
      <w:r>
        <w:t xml:space="preserve">(Coffield et al., 2019; Rodrigues &amp; Riva, 2014; Sayad et al., 2019)</w:t>
      </w:r>
      <w:r>
        <w:t xml:space="preserve">. Sin embargo, la integración acrítica de estos métodos en geociencias enfrenta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violación de independencia:</w:t>
      </w:r>
      <w:r>
        <w:br/>
      </w:r>
      <w:r>
        <w:t xml:space="preserve">Cuando un modelo de machine learning incluye covariables espaciales autorregresivas contiguas (distancia al fuego de la jornada anterior, densidad de focos térmicos adyacentes) sin aislar el mecanismo causante, el algoritmo sucumbe a un atajo espurio: aprende que</w:t>
      </w:r>
      <w:r>
        <w:t xml:space="preserve"> </w:t>
      </w:r>
      <w:r>
        <w:rPr>
          <w:i/>
          <w:iCs/>
        </w:rPr>
        <w:t xml:space="preserve">“si hay fuego al lado, hoy continuará el fuego”</w:t>
      </w:r>
      <w:r>
        <w:t xml:space="preserve">. Aunque esta correlación infla artificialmente las métricas de prueba estándar (ROC-AUC</w:t>
      </w:r>
      <w:r>
        <w:t xml:space="preserve"> </w:t>
      </w:r>
      <m:oMath>
        <m:r>
          <m:rPr>
            <m:sty m:val="p"/>
          </m:rPr>
          <m:t>&gt;</m:t>
        </m:r>
        <m:r>
          <m:t>0</m:t>
        </m:r>
        <m:r>
          <m:rPr>
            <m:sty m:val="p"/>
          </m:rPr>
          <m:t>,</m:t>
        </m:r>
        <m:r>
          <m:t>95</m:t>
        </m:r>
      </m:oMath>
      <w:r>
        <w:t xml:space="preserve">), el modelo se vuelve impotente para predecir</w:t>
      </w:r>
      <w:r>
        <w:t xml:space="preserve"> </w:t>
      </w:r>
      <w:r>
        <w:rPr>
          <w:b/>
          <w:bCs/>
        </w:rPr>
        <w:t xml:space="preserve">igniciones primarias espontáneas o antrópicas nuevas</w:t>
      </w:r>
      <w:r>
        <w:t xml:space="preserve"> </w:t>
      </w:r>
      <w:r>
        <w:t xml:space="preserve">en áreas bajo estrés hídrico extremo donde ayer no existía combustión</w:t>
      </w:r>
      <w:r>
        <w:t xml:space="preserve"> </w:t>
      </w:r>
      <w:r>
        <w:t xml:space="preserve">(Ploton et al., 2020; Roberts et al., 2017)</w:t>
      </w:r>
      <w:r>
        <w:t xml:space="preserve">. Esta patología ignora los principios de la primera ley de la geografía</w:t>
      </w:r>
      <w:r>
        <w:t xml:space="preserve"> </w:t>
      </w:r>
      <w:r>
        <w:t xml:space="preserve">(Tobler, 1970)</w:t>
      </w:r>
      <w:r>
        <w:t xml:space="preserve"> </w:t>
      </w:r>
      <w:r>
        <w:t xml:space="preserve">y los desafíos bien documentados de la autocorrelación espacial en modelado ecológico</w:t>
      </w:r>
      <w:r>
        <w:t xml:space="preserve"> </w:t>
      </w:r>
      <w:r>
        <w:t xml:space="preserve">(Dormann et al., 2007; Legendre, 1993; Meyer &amp; Pebesma, 2021)</w:t>
      </w:r>
      <w:r>
        <w:t xml:space="preserve">.</w:t>
      </w:r>
    </w:p>
    <w:p>
      <w:pPr>
        <w:pStyle w:val="Compact"/>
        <w:numPr>
          <w:ilvl w:val="0"/>
          <w:numId w:val="1001"/>
        </w:numPr>
      </w:pPr>
      <w:r>
        <w:rPr>
          <w:b/>
          <w:bCs/>
        </w:rPr>
        <w:t xml:space="preserve">La disociación entre conocimiento físico y modelos de caja negra:</w:t>
      </w:r>
      <w:r>
        <w:br/>
      </w:r>
      <w:r>
        <w:t xml:space="preserve">Frecuentemente los modelos predictivos puramente estadísticos omiten restricciones cinemáticas elementales (e.g., combustión imposible bajo lluvia torrencial o ausencia total de biomasa combustible), lo que ha motivado el paradigma emergente de aprendizaje automático informado por la física (</w:t>
      </w:r>
      <w:r>
        <w:rPr>
          <w:i/>
          <w:iCs/>
        </w:rPr>
        <w:t xml:space="preserve">Physics-Informed Machine Learning</w:t>
      </w:r>
      <w:r>
        <w:t xml:space="preserve">, PIML) en ciencias de la Tierra</w:t>
      </w:r>
      <w:r>
        <w:t xml:space="preserve"> </w:t>
      </w:r>
      <w:r>
        <w:t xml:space="preserve">(Reichstein et al., 2019; Willard et al., 2022)</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secuencias manuales en software SIG de escritorio o rutinas pesadas de geoprocesamiento ráster, impidiendo su despliegue automatizado y soberano a escala de país a resolución de 1 km² en tiempo subsegundo.</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Física</w:t>
      </w:r>
      <w:r>
        <w:t xml:space="preserve"> </w:t>
      </w:r>
      <w:r>
        <w:t xml:space="preserve">(libre de variables históricas de contagio</w:t>
      </w:r>
      <w:r>
        <w:t xml:space="preserve"> </w:t>
      </w:r>
      <m:oMath>
        <m:r>
          <m:t>t</m:t>
        </m:r>
        <m:r>
          <m:rPr>
            <m:sty m:val="p"/>
          </m:rPr>
          <m:t>−</m:t>
        </m:r>
        <m:r>
          <m:t>1</m:t>
        </m:r>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sin pérdida de verdaderos positivos.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decenal (2015–2025) y una zona muerta de amortiguamiento (</w:t>
      </w:r>
      <w:r>
        <w:rPr>
          <w:i/>
          <w:iCs/>
        </w:rPr>
        <w:t xml:space="preserve">dead-zone buffer</w:t>
      </w:r>
      <w:r>
        <w:t xml:space="preserve">) de 20 km entre presencias y ausencias.</w:t>
      </w:r>
    </w:p>
    <w:p>
      <w:pPr>
        <w:pStyle w:val="Compact"/>
        <w:numPr>
          <w:ilvl w:val="0"/>
          <w:numId w:val="1002"/>
        </w:numPr>
      </w:pPr>
      <w:r>
        <w:rPr>
          <w:b/>
          <w:bCs/>
        </w:rPr>
        <w:t xml:space="preserve">Benchmarking Comparativo Directo:</w:t>
      </w:r>
      <w:r>
        <w:t xml:space="preserve"> </w:t>
      </w:r>
      <w:r>
        <w:t xml:space="preserve">Demostramos empíricamente la superioridad de la arquitectura frente al Canadian FWI y al INPE Risco de Fogo en el mismo conjunto de prueba ciego.</w:t>
      </w:r>
    </w:p>
    <w:p>
      <w:pPr>
        <w:pStyle w:val="Compact"/>
        <w:numPr>
          <w:ilvl w:val="0"/>
          <w:numId w:val="1002"/>
        </w:numPr>
      </w:pPr>
      <w:r>
        <w:rPr>
          <w:b/>
          <w:bCs/>
        </w:rPr>
        <w:t xml:space="preserve">Pipeline Abierto y Reproducible en Tiempo Subsegundo:</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0,75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y la dinámica de transferencia de calor en el lecho de combustible</w:t>
      </w:r>
      <w:r>
        <w:t xml:space="preserve"> </w:t>
      </w:r>
      <w:r>
        <w:t xml:space="preserve">(Flannigan et al., 2016; Rothermel, 1972)</w:t>
      </w:r>
      <w:r>
        <w:t xml:space="preserve">.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1.460</m:t>
        </m:r>
      </m:oMath>
      <w:r>
        <w:t xml:space="preserve"> </w:t>
      </w:r>
      <w:r>
        <w:t xml:space="preserve">millones de combinaciones en 10 años), implementamos una restricción cinemática inspirada en los principios de aprendizaje automático guiado por la física (</w:t>
      </w:r>
      <w:r>
        <w:rPr>
          <w:i/>
          <w:iCs/>
        </w:rPr>
        <w:t xml:space="preserve">Physics-Guided Machine Learning</w:t>
      </w:r>
      <w:r>
        <w:t xml:space="preserve">)</w:t>
      </w:r>
      <w:r>
        <w:t xml:space="preserve"> </w:t>
      </w:r>
      <w:r>
        <w:t xml:space="preserve">(Reichstein et al., 2019; Willard et al., 2022)</w:t>
      </w:r>
      <w:r>
        <w:t xml:space="preserve">.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según MapBiomas</w:t>
      </w:r>
      <w:r>
        <w:t xml:space="preserve"> </w:t>
      </w:r>
      <w:r>
        <w:t xml:space="preserve">(MapBiomas Chaco, 2023)</w:t>
      </w:r>
      <w:r>
        <w:t xml:space="preserve">,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activo en un 92 % sin omitir detecciones térmicas reales.</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Contiene 22 variables biofísicas puras: temperatura máxima,</w:t>
      </w:r>
      <w:r>
        <w:t xml:space="preserve"> </w:t>
      </w:r>
      <m:oMath>
        <m:r>
          <m:t>V</m:t>
        </m:r>
        <m:r>
          <m:t>P</m:t>
        </m:r>
        <m:r>
          <m:t>D</m:t>
        </m:r>
      </m:oMath>
      <w:r>
        <w:t xml:space="preserve">, velocidad de viento sostenida y ráfagas, días secos consecutivos (</w:t>
      </w:r>
      <m:oMath>
        <m:r>
          <m:t>C</m:t>
        </m:r>
        <m:r>
          <m:t>D</m:t>
        </m:r>
        <m:r>
          <m:t>D</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 cobertura vegetal MapBiomas e índice de ecotono perimetral.</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w:t>
      </w:r>
      <w:r>
        <w:t xml:space="preserve"> </w:t>
      </w:r>
      <m:oMath>
        <m:sSub>
          <m:e>
            <m:r>
              <m:rPr>
                <m:scr m:val="script"/>
                <m:sty m:val="p"/>
              </m:rPr>
              <m:t>X</m:t>
            </m:r>
          </m:e>
          <m:sub>
            <m:r>
              <m:rPr>
                <m:nor/>
                <m:sty m:val="p"/>
              </m:rPr>
              <m:t>ignición</m:t>
            </m:r>
          </m:sub>
        </m:sSub>
      </m:oMath>
      <w:r>
        <w:t xml:space="preserve"> </w:t>
      </w:r>
      <w:r>
        <w:t xml:space="preserve">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335306"/>
                  <wp:effectExtent b="0" l="0" r="0" t="0"/>
                  <wp:docPr descr="" title="" id="19" name="Picture"/>
                  <a:graphic>
                    <a:graphicData uri="http://schemas.openxmlformats.org/drawingml/2006/picture">
                      <pic:pic>
                        <pic:nvPicPr>
                          <pic:cNvPr descr="figuras/fig01_arquitectura_impacto_nature.png" id="20" name="Picture"/>
                          <pic:cNvPicPr>
                            <a:picLocks noChangeArrowheads="1" noChangeAspect="1"/>
                          </pic:cNvPicPr>
                        </pic:nvPicPr>
                        <pic:blipFill>
                          <a:blip r:embed="rId18"/>
                          <a:stretch>
                            <a:fillRect/>
                          </a:stretch>
                        </pic:blipFill>
                        <pic:spPr bwMode="auto">
                          <a:xfrm>
                            <a:off x="0" y="0"/>
                            <a:ext cx="5334000" cy="233530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Arquitectura computacional desacoplada de</w:t>
            </w:r>
            <w:r>
              <w:t xml:space="preserve"> </w:t>
            </w:r>
            <w:r>
              <w:rPr>
                <w:rStyle w:val="VerbatimChar"/>
              </w:rPr>
              <w:t xml:space="preserve">Incendios_PY</w:t>
            </w:r>
            <w:r>
              <w:t xml:space="preserve">: Ingesta biofísica multifuente, cribado cinemático de Etapa 1, modelado dual GeoAI (Modo 1 Ignición Física vs. Modo 2 Propagación Táctica) y benchmarking internacional frente a Canadian FWI y Proxy INPE.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convolución gaussiana acotada en ventana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donde la potencia radiativa del fuego (</w:t>
      </w:r>
      <m:oMath>
        <m:r>
          <m:t>F</m:t>
        </m:r>
        <m:r>
          <m:t>R</m:t>
        </m:r>
        <m:r>
          <m:t>P</m:t>
        </m:r>
      </m:oMath>
      <w:r>
        <w:t xml:space="preserve">) cuantifica la tasa instantánea de energía liberada por la biomasa en combustión</w:t>
      </w:r>
      <w:r>
        <w:t xml:space="preserve"> </w:t>
      </w:r>
      <w:r>
        <w:t xml:space="preserve">(Wooster et al., 2005)</w:t>
      </w:r>
      <w:r>
        <w:t xml:space="preserve">. 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interacción parabólica de borde entre la fracción de cobertura boscosa y pasturas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4</m:t>
          </m:r>
          <m:r>
            <m:rPr>
              <m:sty m:val="p"/>
            </m:rPr>
            <m:t>,</m:t>
          </m:r>
          <m:r>
            <m:t>0</m:t>
          </m:r>
          <m:r>
            <m:rPr>
              <m:sty m:val="p"/>
            </m:rPr>
            <m:t>⋅</m:t>
          </m:r>
          <m:sSub>
            <m:e>
              <m:r>
                <m:t>p</m:t>
              </m:r>
            </m:e>
            <m:sub>
              <m:r>
                <m:rPr>
                  <m:nor/>
                  <m:sty m:val="p"/>
                </m:rPr>
                <m:t>bosque</m:t>
              </m:r>
              <m:r>
                <m:rPr>
                  <m:sty m:val="p"/>
                </m:rPr>
                <m:t>,</m:t>
              </m:r>
              <m:r>
                <m:t>i</m:t>
              </m:r>
            </m:sub>
          </m:sSub>
          <m:r>
            <m:rPr>
              <m:sty m:val="p"/>
            </m:rPr>
            <m:t>⋅</m:t>
          </m:r>
          <m:sSub>
            <m:e>
              <m:r>
                <m:t>p</m:t>
              </m:r>
            </m:e>
            <m:sub>
              <m:r>
                <m:rPr>
                  <m:nor/>
                  <m:sty m:val="p"/>
                </m:rPr>
                <m:t>pastura</m:t>
              </m:r>
              <m:r>
                <m:rPr>
                  <m:sty m:val="p"/>
                </m:rPr>
                <m:t>,</m:t>
              </m:r>
              <m:r>
                <m:t>i</m:t>
              </m:r>
            </m:sub>
          </m:sSub>
          <m:r>
            <m:rPr>
              <m:sty m:val="p"/>
            </m:rPr>
            <m:t>∈</m:t>
          </m:r>
          <m:r>
            <m:rPr>
              <m:sty m:val="p"/>
            </m:rPr>
            <m:t>[</m:t>
          </m:r>
          <m:r>
            <m:t>0</m:t>
          </m:r>
          <m:r>
            <m:rPr>
              <m:sty m:val="p"/>
            </m:rPr>
            <m:t>,</m:t>
          </m:r>
          <m:r>
            <m:t>1</m:t>
          </m:r>
          <m:r>
            <m:rPr>
              <m:sty m:val="p"/>
            </m:rPr>
            <m:t>]</m:t>
          </m:r>
          <m:r>
            <m:t>  </m:t>
          </m:r>
          <m:r>
            <m:rPr>
              <m:sty m:val="p"/>
            </m:rPr>
            <m:t>(</m:t>
          </m:r>
          <m:r>
            <m:t>8</m:t>
          </m:r>
          <m:r>
            <m:rPr>
              <m:sty m:val="p"/>
            </m:rPr>
            <m:t>)</m:t>
          </m:r>
        </m:oMath>
      </m:oMathPara>
      <w:bookmarkEnd w:id="26"/>
    </w:p>
    <w:p>
      <w:pPr>
        <w:pStyle w:val="FirstParagraph"/>
      </w:pPr>
      <w:r>
        <w:t xml:space="preserve">donde</w:t>
      </w:r>
      <w:r>
        <w:t xml:space="preserve"> </w:t>
      </w:r>
      <m:oMath>
        <m:sSub>
          <m:e>
            <m:r>
              <m:t>p</m:t>
            </m:r>
          </m:e>
          <m:sub>
            <m:r>
              <m:rPr>
                <m:nor/>
                <m:sty m:val="p"/>
              </m:rPr>
              <m:t>bosque</m:t>
            </m:r>
            <m:r>
              <m:rPr>
                <m:sty m:val="p"/>
              </m:rPr>
              <m:t>,</m:t>
            </m:r>
            <m:r>
              <m:t>i</m:t>
            </m:r>
          </m:sub>
        </m:sSub>
      </m:oMath>
      <w:r>
        <w:t xml:space="preserve"> </w:t>
      </w:r>
      <w:r>
        <w:t xml:space="preserve">corresponde a la fracción de bosque seco xerofítico en el Chaco o de bosque atlántico en la Región Oriental, y</w:t>
      </w:r>
      <w:r>
        <w:t xml:space="preserve"> </w:t>
      </w:r>
      <m:oMath>
        <m:sSub>
          <m:e>
            <m:r>
              <m:t>p</m:t>
            </m:r>
          </m:e>
          <m:sub>
            <m:r>
              <m:rPr>
                <m:nor/>
                <m:sty m:val="p"/>
              </m:rPr>
              <m:t>pastura</m:t>
            </m:r>
            <m:r>
              <m:rPr>
                <m:sty m:val="p"/>
              </m:rPr>
              <m:t>,</m:t>
            </m:r>
            <m:r>
              <m:t>i</m:t>
            </m:r>
          </m:sub>
        </m:sSub>
      </m:oMath>
      <w:r>
        <w:t xml:space="preserve"> </w:t>
      </w:r>
      <w:r>
        <w:t xml:space="preserve">es la fracción de pasturas cultivadas (</w:t>
      </w:r>
      <m:oMath>
        <m:r>
          <m:t>p</m:t>
        </m:r>
        <m:r>
          <m:rPr>
            <m:sty m:val="p"/>
          </m:rPr>
          <m:t>∈</m:t>
        </m:r>
        <m:r>
          <m:rPr>
            <m:sty m:val="p"/>
          </m:rPr>
          <m:t>[</m:t>
        </m:r>
        <m:r>
          <m:t>0</m:t>
        </m:r>
        <m:r>
          <m:rPr>
            <m:sty m:val="p"/>
          </m:rPr>
          <m:t>,</m:t>
        </m:r>
        <m:r>
          <m:t>1</m:t>
        </m:r>
        <m:r>
          <m:rPr>
            <m:sty m:val="p"/>
          </m:rPr>
          <m:t>]</m:t>
        </m:r>
      </m:oMath>
      <w:r>
        <w:t xml:space="preserve">). Este índice alcanza su valor máximo teórico (</w:t>
      </w:r>
      <m:oMath>
        <m:sSub>
          <m:e>
            <m:r>
              <m:rPr>
                <m:scr m:val="script"/>
                <m:sty m:val="p"/>
              </m:rPr>
              <m:t>E</m:t>
            </m:r>
          </m:e>
          <m:sub>
            <m:r>
              <m:t>i</m:t>
            </m:r>
          </m:sub>
        </m:sSub>
        <m:r>
          <m:rPr>
            <m:sty m:val="p"/>
          </m:rPr>
          <m:t>=</m:t>
        </m:r>
        <m:r>
          <m:t>1</m:t>
        </m:r>
        <m:r>
          <m:rPr>
            <m:sty m:val="p"/>
          </m:rPr>
          <m:t>,</m:t>
        </m:r>
        <m:r>
          <m:t>0</m:t>
        </m:r>
      </m:oMath>
      <w:r>
        <w:t xml:space="preserve">) cuando la celda presenta una partición paritaria (50 % bosque y 50 % pastura), modelando con exactitud la interfaz crítica de deforestación y quema de cordones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minimización del error cuadrático medio (</w:t>
      </w:r>
      <w:r>
        <w:rPr>
          <w:i/>
          <w:iCs/>
        </w:rPr>
        <w:t xml:space="preserve">Brier Score</w:t>
      </w:r>
      <w:r>
        <w:t xml:space="preserve">) sobre el conjunto de validación sujeta a restricción de monotonicidad estricta (algoritmo L-BFGS-B):</w:t>
      </w:r>
    </w:p>
    <w:p>
      <w:pPr>
        <w:pStyle w:val="BodyText"/>
      </w:pPr>
      <w:bookmarkStart w:id="28" w:name="eq-calibracion"/>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rPr>
              <m:sty m:val="p"/>
            </m:rPr>
            <m:t>,</m:t>
          </m:r>
          <m:r>
            <m:t> </m:t>
          </m:r>
          <m:r>
            <m:t>b</m:t>
          </m:r>
          <m:r>
            <m:rPr>
              <m:sty m:val="p"/>
            </m:rPr>
            <m:t>∈</m:t>
          </m:r>
          <m:r>
            <m:rPr>
              <m:sty m:val="p"/>
            </m:rPr>
            <m:t>[</m:t>
          </m:r>
          <m:r>
            <m:rPr>
              <m:sty m:val="p"/>
            </m:rPr>
            <m:t>−</m:t>
          </m:r>
          <m:r>
            <m:t>10</m:t>
          </m:r>
          <m:r>
            <m:rPr>
              <m:sty m:val="p"/>
            </m:rPr>
            <m:t>,</m:t>
          </m:r>
          <m:r>
            <m:t>00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sSub>
          <m:e>
            <m:r>
              <m:t>z</m:t>
            </m:r>
          </m:e>
          <m:sub>
            <m:r>
              <m:t>i</m:t>
            </m:r>
          </m:sub>
        </m:sSub>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41"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Suomi-NPP, NOAA-20 y NOAA-21</w:t>
      </w:r>
      <w:r>
        <w:t xml:space="preserve"> </w:t>
      </w:r>
      <w:r>
        <w:t xml:space="preserve">(Schroeder et al., 2014)</w:t>
      </w:r>
      <w:r>
        <w:t xml:space="preserve">, que extienden las series históricas iniciadas por MODIS</w:t>
      </w:r>
      <w:r>
        <w:t xml:space="preserve"> </w:t>
      </w:r>
      <w:r>
        <w:t xml:space="preserve">(Giglio et al., 2016; Justice et al., 2002)</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ubicados hacia los extremos del barrido del sensor sufren una elongación geométrica transversal que distorsiona la localización del píxel hasta triplicar su tamaño real. Filtramos estrictamente todas las detecciones con un tamaño de barrido</w:t>
      </w:r>
      <w:r>
        <w:t xml:space="preserve"> </w:t>
      </w:r>
      <m:oMath>
        <m:r>
          <m:rPr>
            <m:nor/>
            <m:sty m:val="p"/>
          </m:rPr>
          <m:t>scan</m:t>
        </m:r>
        <m:r>
          <m:rPr>
            <m:sty m:val="p"/>
          </m:rPr>
          <m:t>&gt;</m:t>
        </m:r>
        <m:r>
          <m:t>1</m:t>
        </m:r>
        <m:r>
          <m:rPr>
            <m:sty m:val="p"/>
          </m:rPr>
          <m:t>,</m:t>
        </m:r>
        <m:r>
          <m:t>5</m:t>
        </m:r>
        <m:r>
          <m:rPr>
            <m:nor/>
            <m:sty m:val="p"/>
          </m:rPr>
          <m:t> km</m:t>
        </m:r>
      </m:oMath>
      <w:r>
        <w:t xml:space="preserve">, reteniendo únicamente las observaciones de alta fidelidad focal tomadas cerca del nadir del sensor.</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8" w:name="X0d0cbcbe4cd63c4731c2894f39926c78049abd1"/>
    <w:p>
      <w:pPr>
        <w:pStyle w:val="Heading2"/>
      </w:pPr>
      <w:r>
        <w:t xml:space="preserve">3.3 3.3 Reanálisis Meteorológico ERA5-Land y Cobertura MapBiomas</w:t>
      </w:r>
    </w:p>
    <w:p>
      <w:pPr>
        <w:pStyle w:val="Compact"/>
        <w:numPr>
          <w:ilvl w:val="0"/>
          <w:numId w:val="1005"/>
        </w:numPr>
      </w:pPr>
      <w:r>
        <w:rPr>
          <w:b/>
          <w:bCs/>
        </w:rPr>
        <w:t xml:space="preserve">ERA5-Land:</w:t>
      </w:r>
      <w:r>
        <w:t xml:space="preserve"> </w:t>
      </w:r>
      <w:r>
        <w:t xml:space="preserve">Los parámetros meteorológicos horarios se extraen a la resolución nativa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la API de archivo histórico abierto de Open-Meteo</w:t>
      </w:r>
      <w:r>
        <w:t xml:space="preserve"> </w:t>
      </w:r>
      <w:r>
        <w:t xml:space="preserve">(Muñoz-Sabater et al., 2021)</w:t>
      </w:r>
      <w:r>
        <w:t xml:space="preserve">. Todo el territorio paraguayo es cubierto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Chaco y Bosque Atlántico (30 m):</w:t>
      </w:r>
      <w:r>
        <w:t xml:space="preserve"> </w:t>
      </w:r>
      <w:r>
        <w:t xml:space="preserve">Las clasificaciones de uso de suelo de MapBiomas (Colección 4)</w:t>
      </w:r>
      <w:r>
        <w:t xml:space="preserve"> </w:t>
      </w:r>
      <w:r>
        <w:t xml:space="preserve">(MapBiomas Chaco, 2023)</w:t>
      </w:r>
      <w:r>
        <w:t xml:space="preserve"> </w:t>
      </w:r>
      <w:r>
        <w:t xml:space="preserve">se agregan a la grilla de 1 km², calculando las fracciones de cobertura para cinco clases dominantes: pastura cultivada, sabana/pastizal natural, bosque seco xerofítico, bosque húmedo estratificado y humedales/palmares.</w:t>
      </w:r>
    </w:p>
    <w:p>
      <w:pPr>
        <w:pStyle w:val="FirstParagraph"/>
      </w:pPr>
      <w:r>
        <w:t xml:space="preserve">La delimitación geográfica, la división macro-regional entre la Región Occidental (Chaco) y Oriental, y los patrones de cobertura vegetal derivados de MapBiomas se detallan en la</w:t>
      </w:r>
      <w:r>
        <w:t xml:space="preserve"> </w:t>
      </w:r>
      <w:hyperlink w:anchor="fig-area-estudio">
        <w:r>
          <w:rPr>
            <w:rStyle w:val="Hyperlink"/>
          </w:rPr>
          <w:t xml:space="preserve">Figura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area-estudio"/>
          <w:p>
            <w:pPr>
              <w:pStyle w:val="Compact"/>
              <w:jc w:val="center"/>
            </w:pPr>
            <w:r>
              <w:drawing>
                <wp:inline>
                  <wp:extent cx="4533900" cy="5037666"/>
                  <wp:effectExtent b="0" l="0" r="0" t="0"/>
                  <wp:docPr descr="" title="" id="35" name="Picture"/>
                  <a:graphic>
                    <a:graphicData uri="http://schemas.openxmlformats.org/drawingml/2006/picture">
                      <pic:pic>
                        <pic:nvPicPr>
                          <pic:cNvPr descr="figuras/fig01_macro_regiones_cobertura.png" id="36" name="Picture"/>
                          <pic:cNvPicPr>
                            <a:picLocks noChangeArrowheads="1" noChangeAspect="1"/>
                          </pic:cNvPicPr>
                        </pic:nvPicPr>
                        <pic:blipFill>
                          <a:blip r:embed="rId3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Estratificación geográfica y ecológica del área de estudio: Macro-regiones (Chaco semiárido vs. Región Oriental húmeda), partición departamental oficial ADM1 y distribución espacial de las clases de cobertura vegetal MapBiomas agregadas a la grilla de 1 km².</w:t>
            </w:r>
          </w:p>
          <w:bookmarkEnd w:id="37"/>
        </w:tc>
      </w:tr>
    </w:tbl>
    <w:bookmarkEnd w:id="38"/>
    <w:bookmarkStart w:id="40"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A diferencia de las plataformas centralizadas en la nube como Google Earth Engine</w:t>
      </w:r>
      <w:r>
        <w:t xml:space="preserve"> </w:t>
      </w:r>
      <w:r>
        <w:t xml:space="preserve">(Gorelick et al., 2017)</w:t>
      </w:r>
      <w:r>
        <w:t xml:space="preserve">, que dependen de conectividad permanente a servidores remotos, o de librerías tradicionales en memoria como Scikit-learn</w:t>
      </w:r>
      <w:r>
        <w:t xml:space="preserve"> </w:t>
      </w:r>
      <w:r>
        <w:t xml:space="preserve">(Pedregosa et al., 2011)</w:t>
      </w:r>
      <w:r>
        <w:t xml:space="preserve"> </w:t>
      </w:r>
      <w:r>
        <w:t xml:space="preserve">que duplican matrices densas, implementamos una canalización local de alto rendimiento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9"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Cobertura MapBiomas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(10 Años)</w:t>
                  </w:r>
                </w:p>
              </w:tc>
              <w:tc>
                <w:tcPr/>
                <w:p>
                  <w:pPr>
                    <w:pStyle w:val="Compact"/>
                    <w:jc w:val="left"/>
                    <w:jc w:val="center"/>
                  </w:pPr>
                  <w:r>
                    <w:t xml:space="preserve">Columnar Parquet (ZSTD)</w:t>
                  </w:r>
                </w:p>
              </w:tc>
              <w:tc>
                <w:tcPr/>
                <w:p>
                  <w:pPr>
                    <w:pStyle w:val="Compact"/>
                    <w:jc w:val="center"/>
                    <w:jc w:val="center"/>
                  </w:pPr>
                  <m:oMath>
                    <m:r>
                      <m:t>2.337</m:t>
                    </m:r>
                    <m:r>
                      <m:t>.280</m:t>
                    </m:r>
                  </m:oMath>
                  <w:r>
                    <w:t xml:space="preserve">​</w:t>
                  </w:r>
                </w:p>
              </w:tc>
              <w:tc>
                <w:tcPr/>
                <w:p>
                  <w:pPr>
                    <w:pStyle w:val="Compact"/>
                    <w:jc w:val="center"/>
                    <w:jc w:val="center"/>
                  </w:pPr>
                  <m:oMath>
                    <m:r>
                      <m:t>54</m:t>
                    </m:r>
                    <m:r>
                      <m:rPr>
                        <m:sty m:val="p"/>
                      </m:rPr>
                      <m:t>,</m:t>
                    </m:r>
                    <m:r>
                      <m:t>2</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(10 Años)</w:t>
                  </w:r>
                </w:p>
              </w:tc>
              <w:tc>
                <w:tcPr/>
                <w:p>
                  <w:pPr>
                    <w:pStyle w:val="Compact"/>
                    <w:jc w:val="left"/>
                    <w:jc w:val="center"/>
                  </w:pPr>
                  <w:r>
                    <w:t xml:space="preserve">Columnar Parquet (ZSTD)</w:t>
                  </w:r>
                </w:p>
              </w:tc>
              <w:tc>
                <w:tcPr/>
                <w:p>
                  <w:pPr>
                    <w:pStyle w:val="Compact"/>
                    <w:jc w:val="center"/>
                    <w:jc w:val="center"/>
                  </w:pPr>
                  <m:oMath>
                    <m:r>
                      <m:rPr>
                        <m:sty m:val="p"/>
                      </m:rPr>
                      <m:t>∼</m:t>
                    </m:r>
                    <m:r>
                      <m:t>650.000</m:t>
                    </m:r>
                  </m:oMath>
                  <w:r>
                    <w:t xml:space="preserve">​</w:t>
                  </w:r>
                </w:p>
              </w:tc>
              <w:tc>
                <w:tcPr/>
                <w:p>
                  <w:pPr>
                    <w:pStyle w:val="Compact"/>
                    <w:jc w:val="center"/>
                    <w:jc w:val="center"/>
                  </w:pPr>
                  <m:oMath>
                    <m:r>
                      <m:t>18</m:t>
                    </m:r>
                    <m:r>
                      <m:rPr>
                        <m:sty m:val="p"/>
                      </m:rPr>
                      <m:t>,</m:t>
                    </m:r>
                    <m:r>
                      <m:t>5</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9"/>
          <w:p/>
        </w:tc>
      </w:tr>
    </w:tbl>
    <w:p>
      <w:r>
        <w:pict>
          <v:rect style="width:0;height:1.5pt" o:hralign="center" o:hrstd="t" o:hr="t"/>
        </w:pict>
      </w:r>
    </w:p>
    <w:bookmarkEnd w:id="40"/>
    <w:bookmarkEnd w:id="41"/>
    <w:bookmarkStart w:id="46" w:name="X5c2edce0d25de16bceded4e02fc5d5e8cb28461"/>
    <w:p>
      <w:pPr>
        <w:pStyle w:val="Heading1"/>
      </w:pPr>
      <w:r>
        <w:t xml:space="preserve">4. 4. Protocolo Experimental Decenal y Benchmarking Internacional</w:t>
      </w:r>
    </w:p>
    <w:bookmarkStart w:id="42" w:name="diseño-temporal-out-of-time-20152025"/>
    <w:p>
      <w:pPr>
        <w:pStyle w:val="Heading2"/>
      </w:pPr>
      <w:r>
        <w:t xml:space="preserve">4.1 4.1 Diseño Temporal</w:t>
      </w:r>
      <w:r>
        <w:t xml:space="preserve"> </w:t>
      </w:r>
      <w:r>
        <w:rPr>
          <w:i/>
          <w:iCs/>
        </w:rPr>
        <w:t xml:space="preserve">Out-of-Time</w:t>
      </w:r>
      <w:r>
        <w:t xml:space="preserve"> </w:t>
      </w:r>
      <w:r>
        <w:t xml:space="preserve">(2015–2025)</w:t>
      </w:r>
    </w:p>
    <w:p>
      <w:pPr>
        <w:pStyle w:val="FirstParagraph"/>
      </w:pPr>
      <w:r>
        <w:t xml:space="preserve">Para simular de manera fidedigna la operatividad en el mundo real y blindar el estudio contra el sobreajuste a eventos climáticos particulares, establecemos una partición temporal cronológica estricta:</w:t>
      </w:r>
    </w:p>
    <w:p>
      <w:pPr>
        <w:pStyle w:val="Compact"/>
        <w:numPr>
          <w:ilvl w:val="0"/>
          <w:numId w:val="1006"/>
        </w:numPr>
      </w:pPr>
      <w:r>
        <w:rPr>
          <w:b/>
          <w:bCs/>
        </w:rPr>
        <w:t xml:space="preserve">Conjunto de Entrenamiento (Train: 2015–2022, ~8 años, ~75 %):</w:t>
      </w:r>
      <w:r>
        <w:br/>
      </w:r>
      <w:r>
        <w:t xml:space="preserve">Abarca la variabilidad interanual completa: el mega-desastre de incendios de 2020 en el Chaco y Pantanal, episodios severos de</w:t>
      </w:r>
      <w:r>
        <w:t xml:space="preserve"> </w:t>
      </w:r>
      <w:r>
        <w:rPr>
          <w:i/>
          <w:iCs/>
        </w:rPr>
        <w:t xml:space="preserve">La Niña</w:t>
      </w:r>
      <w:r>
        <w:t xml:space="preserve"> </w:t>
      </w:r>
      <w:r>
        <w:t xml:space="preserve">con sequía prolongada (2021), inviernos con heladas polares desecantes y veranos húmedos con tormentas.</w:t>
      </w:r>
    </w:p>
    <w:p>
      <w:pPr>
        <w:pStyle w:val="Compact"/>
        <w:numPr>
          <w:ilvl w:val="0"/>
          <w:numId w:val="1006"/>
        </w:numPr>
      </w:pPr>
      <w:r>
        <w:rPr>
          <w:b/>
          <w:bCs/>
        </w:rPr>
        <w:t xml:space="preserve">Conjunto de Validación (Val: 2023, 1 año completo, ~12,5 %):</w:t>
      </w:r>
      <w:r>
        <w:br/>
      </w:r>
      <w:r>
        <w:t xml:space="preserve">Utilizado para el ajuste de hiperparámetros de LightGBM, activación de</w:t>
      </w:r>
      <w:r>
        <w:t xml:space="preserve"> </w:t>
      </w:r>
      <w:r>
        <w:rPr>
          <w:i/>
          <w:iCs/>
        </w:rPr>
        <w:t xml:space="preserve">early stopping</w:t>
      </w:r>
      <w:r>
        <w:t xml:space="preserve"> </w:t>
      </w:r>
      <w:r>
        <w:t xml:space="preserve">(paciencia de 50 rondas de boosting) y estimación de los coeficientes de calibración monótona de Platt.</w:t>
      </w:r>
    </w:p>
    <w:p>
      <w:pPr>
        <w:pStyle w:val="Compact"/>
        <w:numPr>
          <w:ilvl w:val="0"/>
          <w:numId w:val="1006"/>
        </w:numPr>
      </w:pPr>
      <w:r>
        <w:rPr>
          <w:b/>
          <w:bCs/>
        </w:rPr>
        <w:t xml:space="preserve">Conjunto de Test Ciego (Test Out-of-Time: 2024–2025, 1 a 2 años, ~12,5 %):</w:t>
      </w:r>
      <w:r>
        <w:br/>
      </w:r>
      <w:r>
        <w:t xml:space="preserve">Conjunto estrictamente congelado durante el entrenamiento. Sobre esta ventana se computan todas las métricas de rendimiento y la comparación internacional frente a FWI e INPE.</w:t>
      </w:r>
    </w:p>
    <w:bookmarkEnd w:id="42"/>
    <w:bookmarkStart w:id="43" w:name="X2c1947b6764268a3c41abc7b9d99a82fbfe9759"/>
    <w:p>
      <w:pPr>
        <w:pStyle w:val="Heading2"/>
      </w:pPr>
      <w:r>
        <w:t xml:space="preserve">4.2 4.2 Control Espacial:</w:t>
      </w:r>
      <w:r>
        <w:t xml:space="preserve"> </w:t>
      </w:r>
      <w:r>
        <w:rPr>
          <w:i/>
          <w:iCs/>
        </w:rPr>
        <w:t xml:space="preserve">Dead-Zone Buffer</w:t>
      </w:r>
      <w:r>
        <w:t xml:space="preserve"> </w:t>
      </w:r>
      <w:r>
        <w:t xml:space="preserve">de 20 km</w:t>
      </w:r>
    </w:p>
    <w:p>
      <w:pPr>
        <w:pStyle w:val="FirstParagraph"/>
      </w:pPr>
      <w:r>
        <w:t xml:space="preserve">Dado que la autocorrelación espacial de los incendios forestales se propaga a lo largo de decenas de kilómetros por transporte advectivo de pavesas, columnas de convección y frentes de ráfagas —en concordancia directa con la primera ley de la geografía</w:t>
      </w:r>
      <w:r>
        <w:t xml:space="preserve"> </w:t>
      </w:r>
      <w:r>
        <w:t xml:space="preserve">(Tobler, 1970)</w:t>
      </w:r>
      <w:r>
        <w:t xml:space="preserve"> </w:t>
      </w:r>
      <w:r>
        <w:t xml:space="preserve">y los principios de dependencia espacial en ecología cuantitativa</w:t>
      </w:r>
      <w:r>
        <w:t xml:space="preserve"> </w:t>
      </w:r>
      <w:r>
        <w:t xml:space="preserve">(Dormann et al., 2007; Legendre, 1993)</w:t>
      </w:r>
      <w:r>
        <w:t xml:space="preserve">—, el muestreo aleatorio uniforme de ausencias genera falsos negativos contaminados (</w:t>
      </w:r>
      <w:r>
        <w:rPr>
          <w:i/>
          <w:iCs/>
        </w:rPr>
        <w:t xml:space="preserve">leakage</w:t>
      </w:r>
      <w:r>
        <w:t xml:space="preserve"> </w:t>
      </w:r>
      <w:r>
        <w:t xml:space="preserve">por proximidad geográfica).</w:t>
      </w:r>
    </w:p>
    <w:p>
      <w:pPr>
        <w:pStyle w:val="BodyText"/>
      </w:pPr>
      <w:r>
        <w:t xml:space="preserve">Para garantizar una evaluación rigurosa del área de aplicabilidad del modelo y evitar métricas sobreajustadas</w:t>
      </w:r>
      <w:r>
        <w:t xml:space="preserve"> </w:t>
      </w:r>
      <w:r>
        <w:t xml:space="preserve">(Meyer &amp; Pebesma, 2021; Ploton et al., 2020; Roberts et al., 2017)</w:t>
      </w:r>
      <w:r>
        <w:t xml:space="preserve">, implementamos una</w:t>
      </w:r>
      <w:r>
        <w:t xml:space="preserve"> </w:t>
      </w:r>
      <w:r>
        <w:rPr>
          <w:b/>
          <w:bCs/>
        </w:rPr>
        <w:t xml:space="preserve">zona muerta de exclusión espacial (</w:t>
      </w:r>
      <w:r>
        <w:rPr>
          <w:b/>
          <w:bCs/>
          <w:i/>
          <w:iCs/>
        </w:rPr>
        <w:t xml:space="preserve">dead-zone buffer</w:t>
      </w:r>
      <w:r>
        <w:rPr>
          <w:b/>
          <w:bCs/>
        </w:rPr>
        <w:t xml:space="preserve">) de 20 km</w:t>
      </w:r>
      <w:r>
        <w:t xml:space="preserve">: para cada fecha</w:t>
      </w:r>
      <w:r>
        <w:t xml:space="preserve"> </w:t>
      </w:r>
      <m:oMath>
        <m:r>
          <m:t>t</m:t>
        </m:r>
      </m:oMath>
      <w:r>
        <w:t xml:space="preserve">, las pseudo-ausencias (</w:t>
      </w:r>
      <m:oMath>
        <m:sSub>
          <m:e>
            <m:r>
              <m:t>Y</m:t>
            </m:r>
          </m:e>
          <m:sub>
            <m:r>
              <m:t>i</m:t>
            </m:r>
            <m:r>
              <m:rPr>
                <m:sty m:val="p"/>
              </m:rPr>
              <m:t>,</m:t>
            </m:r>
            <m:r>
              <m:t>t</m:t>
            </m:r>
          </m:sub>
        </m:sSub>
        <m:r>
          <m:rPr>
            <m:sty m:val="p"/>
          </m:rPr>
          <m:t>=</m:t>
        </m:r>
        <m:r>
          <m:t>0</m:t>
        </m:r>
      </m:oMath>
      <w:r>
        <w:t xml:space="preserve">) se muestrean exclusivamente entre aquellas celdas con combustible que distan más de</w:t>
      </w:r>
      <w:r>
        <w:t xml:space="preserve"> </w:t>
      </w:r>
      <m:oMath>
        <m:r>
          <m:t>20</m:t>
        </m:r>
        <m:r>
          <m:rPr>
            <m:nor/>
            <m:sty m:val="p"/>
          </m:rPr>
          <m:t> km</m:t>
        </m:r>
      </m:oMath>
      <w:r>
        <w:t xml:space="preserve"> </w:t>
      </w:r>
      <w:r>
        <w:t xml:space="preserve">de cualquier detección térmica activa observada en esa misma fecha. El ratio de muestreo se fija en 10:1 (diez ausencias controladas por cada presencia confirmada).</w:t>
      </w:r>
    </w:p>
    <w:p>
      <w:pPr>
        <w:pStyle w:val="BodyText"/>
      </w:pPr>
      <w:r>
        <w:t xml:space="preserve">Para verificar que este umbral no introduce sesgos arbitrarios, realizamos un análisis de sensibilidad multiescala evaluando radios de exclusión alternativos de</w:t>
      </w:r>
      <w:r>
        <w:t xml:space="preserve"> </w:t>
      </w:r>
      <m:oMath>
        <m:r>
          <m:t>10</m:t>
        </m:r>
        <m:r>
          <m:rPr>
            <m:nor/>
            <m:sty m:val="p"/>
          </m:rPr>
          <m:t> km</m:t>
        </m:r>
      </m:oMath>
      <w:r>
        <w:t xml:space="preserve"> </w:t>
      </w:r>
      <w:r>
        <w:t xml:space="preserve">y</w:t>
      </w:r>
      <w:r>
        <w:t xml:space="preserve"> </w:t>
      </w:r>
      <m:oMath>
        <m:r>
          <m:t>30</m:t>
        </m:r>
        <m:r>
          <m:rPr>
            <m:nor/>
            <m:sty m:val="p"/>
          </m:rPr>
          <m:t> km</m:t>
        </m:r>
      </m:oMath>
      <w:r>
        <w:t xml:space="preserve">. Los resultados confirman una alta estabilidad métrica (el ROC-AUC de ignición varía menos de</w:t>
      </w:r>
      <w:r>
        <w:t xml:space="preserve"> </w:t>
      </w:r>
      <m:oMath>
        <m:r>
          <m:rPr>
            <m:sty m:val="p"/>
          </m:rPr>
          <m:t>±</m:t>
        </m:r>
        <m:r>
          <m:t>0</m:t>
        </m:r>
        <m:r>
          <m:rPr>
            <m:sty m:val="p"/>
          </m:rPr>
          <m:t>,</m:t>
        </m:r>
        <m:r>
          <m:t>012</m:t>
        </m:r>
      </m:oMath>
      <w:r>
        <w:t xml:space="preserve"> </w:t>
      </w:r>
      <w:r>
        <w:t xml:space="preserve">entre ambos extremos, ver Texto Suplementario S3), consolidando a los</w:t>
      </w:r>
      <w:r>
        <w:t xml:space="preserve"> </w:t>
      </w:r>
      <m:oMath>
        <m:r>
          <m:t>20</m:t>
        </m:r>
        <m:r>
          <m:rPr>
            <m:nor/>
            <m:sty m:val="p"/>
          </m:rPr>
          <m:t> km</m:t>
        </m:r>
      </m:oMath>
      <w:r>
        <w:t xml:space="preserve"> </w:t>
      </w:r>
      <w:r>
        <w:t xml:space="preserve">como el compromiso óptimo derivado del alcance empírico del semivariograma (</w:t>
      </w:r>
      <m:oMath>
        <m:r>
          <m:t>a</m:t>
        </m:r>
        <m:r>
          <m:rPr>
            <m:sty m:val="p"/>
          </m:rPr>
          <m:t>=</m:t>
        </m:r>
        <m:r>
          <m:t>18</m:t>
        </m:r>
        <m:r>
          <m:rPr>
            <m:sty m:val="p"/>
          </m:rPr>
          <m:t>,</m:t>
        </m:r>
        <m:r>
          <m:t>4</m:t>
        </m:r>
        <m:r>
          <m:rPr>
            <m:nor/>
            <m:sty m:val="p"/>
          </m:rPr>
          <m:t> km</m:t>
        </m:r>
      </m:oMath>
      <w:r>
        <w:t xml:space="preserve">).</w:t>
      </w:r>
    </w:p>
    <w:bookmarkEnd w:id="43"/>
    <w:bookmarkStart w:id="44" w:name="modelos-contendientes-de-benchmarking"/>
    <w:p>
      <w:pPr>
        <w:pStyle w:val="Heading2"/>
      </w:pPr>
      <w:r>
        <w:t xml:space="preserve">4.3 4.3 Modelos Contendientes de Benchmarking</w:t>
      </w:r>
    </w:p>
    <w:p>
      <w:pPr>
        <w:pStyle w:val="FirstParagraph"/>
      </w:pPr>
      <w:r>
        <w:t xml:space="preserve">Evaluamos a</w:t>
      </w:r>
      <w:r>
        <w:t xml:space="preserve"> </w:t>
      </w:r>
      <w:r>
        <w:rPr>
          <w:rStyle w:val="VerbatimChar"/>
        </w:rPr>
        <w:t xml:space="preserve">Incendios_PY</w:t>
      </w:r>
      <w:r>
        <w:t xml:space="preserve"> </w:t>
      </w:r>
      <w:r>
        <w:t xml:space="preserve">en competencia directa contra los sistemas canónicos internacionales y las líneas base metodológicas reportadas en la literatura de incendios forestales</w:t>
      </w:r>
      <w:r>
        <w:t xml:space="preserve"> </w:t>
      </w:r>
      <w:r>
        <w:t xml:space="preserve">(Jain et al., 2020; Rodrigues &amp; Riva, 2014; Sayad et al., 2019)</w:t>
      </w:r>
      <w:r>
        <w:t xml:space="preserve">:</w:t>
      </w:r>
    </w:p>
    <w:p>
      <w:pPr>
        <w:pStyle w:val="Compact"/>
        <w:numPr>
          <w:ilvl w:val="0"/>
          <w:numId w:val="1007"/>
        </w:numPr>
      </w:pPr>
      <w:r>
        <w:rPr>
          <w:b/>
          <w:bCs/>
        </w:rPr>
        <w:t xml:space="preserve">Canadian Forest Fire Weather Index (FWI Puro):</w:t>
      </w:r>
      <w:r>
        <w:t xml:space="preserve"> </w:t>
      </w:r>
      <w:r>
        <w:t xml:space="preserve">Calculado conforme a la formulación canónica de Van Wagner</w:t>
      </w:r>
      <w:r>
        <w:t xml:space="preserve"> </w:t>
      </w:r>
      <w:r>
        <w:t xml:space="preserve">(1987)</w:t>
      </w:r>
      <w:r>
        <w:t xml:space="preserve">, utilizando las variables meteorológicas de mediodía solar de ERA5-Land.</w:t>
      </w:r>
    </w:p>
    <w:p>
      <w:pPr>
        <w:pStyle w:val="Compact"/>
        <w:numPr>
          <w:ilvl w:val="0"/>
          <w:numId w:val="1007"/>
        </w:numPr>
      </w:pPr>
      <w:r>
        <w:rPr>
          <w:b/>
          <w:bCs/>
        </w:rPr>
        <w:t xml:space="preserve">INPE Risco de Fogo (Setzer et al.):</w:t>
      </w:r>
      <w:r>
        <w:t xml:space="preserve"> </w:t>
      </w:r>
      <w:r>
        <w:t xml:space="preserve">Implementación algorítmica del modelo operativo del INPE</w:t>
      </w:r>
      <w:r>
        <w:t xml:space="preserve"> </w:t>
      </w:r>
      <w:r>
        <w:t xml:space="preserve">(2019)</w:t>
      </w:r>
      <w:r>
        <w:t xml:space="preserve">, basado en días secos acumulados (</w:t>
      </w:r>
      <m:oMath>
        <m:r>
          <m:t>C</m:t>
        </m:r>
        <m:r>
          <m:t>D</m:t>
        </m:r>
        <m:r>
          <m:t>D</m:t>
        </m:r>
      </m:oMath>
      <w:r>
        <w:t xml:space="preserve">), humedad relativa mínima y clases de vegetación.</w:t>
      </w:r>
    </w:p>
    <w:p>
      <w:pPr>
        <w:pStyle w:val="Compact"/>
        <w:numPr>
          <w:ilvl w:val="0"/>
          <w:numId w:val="1007"/>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bookmarkEnd w:id="44"/>
    <w:bookmarkStart w:id="45"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5"/>
    <w:bookmarkEnd w:id="46"/>
    <w:bookmarkStart w:id="71" w:name="X20f4958fcedc9bafa13e2cf47911c5a9e13d390"/>
    <w:p>
      <w:pPr>
        <w:pStyle w:val="Heading1"/>
      </w:pPr>
      <w:r>
        <w:t xml:space="preserve">5. 5. Resultados Empíricos y Explicabilidad Biofísica</w:t>
      </w:r>
    </w:p>
    <w:bookmarkStart w:id="52"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2</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7" w:name="tbl-metricas"/>
          <w:p>
            <w:pPr>
              <w:jc w:val="center"/>
            </w:pPr>
            <w:pPr>
              <w:jc w:val="left"/>
              <w:spacing w:before="200"/>
              <w:pStyle w:val="ImageCaption"/>
            </w:pPr>
            <w:r>
              <w:t xml:space="preserve">Tabla 2: Métricas de desempeño en el conjunto de prueba ciego out-of-time para la arquitectura dual desacoplada de</w:t>
            </w:r>
            <w:r>
              <w:t xml:space="preserve"> </w:t>
            </w:r>
            <w:r>
              <w:rPr>
                <w:rStyle w:val="VerbatimChar"/>
              </w:rPr>
              <w:t xml:space="preserve">Incendios_PY</w:t>
            </w:r>
            <w:r>
              <w:t xml:space="preserve"> </w:t>
            </w:r>
            <w:r>
              <w:t xml:space="preserve">(bajo punto de corte operativo de alta precisión</w:t>
            </w:r>
            <w:r>
              <w:t xml:space="preserve"> </w:t>
            </w:r>
            <m:oMath>
              <m:sSub>
                <m:e>
                  <m:r>
                    <m:t>F</m:t>
                  </m:r>
                </m:e>
                <m:sub>
                  <m:r>
                    <m:t>0.5</m:t>
                  </m:r>
                </m:sub>
              </m:sSub>
            </m:oMath>
            <w:r>
              <w:t xml:space="preserve">; bajo criterio Youden</w:t>
            </w:r>
            <w:r>
              <w:t xml:space="preserve"> </w:t>
            </w:r>
            <m:oMath>
              <m:r>
                <m:t>J</m:t>
              </m:r>
            </m:oMath>
            <w:r>
              <w:t xml:space="preserve">, la sensibilidad de ignición asciende a</w:t>
            </w:r>
            <w:r>
              <w:t xml:space="preserve"> </w:t>
            </w:r>
            <m:oMath>
              <m:r>
                <m:t>73</m:t>
              </m:r>
              <m:r>
                <m:rPr>
                  <m:sty m:val="p"/>
                </m:rPr>
                <m:t>,</m:t>
              </m:r>
              <m:r>
                <m:t>5</m:t>
              </m:r>
              <m:r>
                <m:rPr>
                  <m:nor/>
                  <m:sty m:val="p"/>
                </m:rPr>
                <m:t> %</m:t>
              </m:r>
            </m:oMath>
            <w:r>
              <w:t xml:space="preserve"> </w:t>
            </w:r>
            <w:r>
              <w:t xml:space="preserve">en Chaco y</w:t>
            </w:r>
            <w:r>
              <w:t xml:space="preserve"> </w:t>
            </w:r>
            <m:oMath>
              <m:r>
                <m:t>82</m:t>
              </m:r>
              <m:r>
                <m:rPr>
                  <m:sty m:val="p"/>
                </m:rPr>
                <m:t>,</m:t>
              </m:r>
              <m:r>
                <m:t>5</m:t>
              </m:r>
              <m:r>
                <m:rPr>
                  <m:nor/>
                  <m:sty m:val="p"/>
                </m:rPr>
                <m:t> %</m:t>
              </m:r>
            </m:oMath>
            <w:r>
              <w:t xml:space="preserve"> </w:t>
            </w:r>
            <w:r>
              <w:t xml:space="preserve">en Oriental).</w:t>
            </w:r>
          </w:p>
          <w:tbl>
            <w:tblPr>
              <w:tblStyle w:val="Table"/>
              <w:tblW w:type="pct" w:w="5000"/>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Precisión (%)</w:t>
                  </w:r>
                </w:p>
              </w:tc>
              <w:tc>
                <w:tcPr/>
                <w:p>
                  <w:pPr>
                    <w:pStyle w:val="Compact"/>
                    <w:jc w:val="center"/>
                    <w:jc w:val="center"/>
                  </w:pPr>
                  <w:r>
                    <w:t xml:space="preserve">Recall (%)</w:t>
                  </w:r>
                </w:p>
              </w:tc>
              <w:tc>
                <w:tcPr/>
                <w:p>
                  <w:pPr>
                    <w:pStyle w:val="Compact"/>
                    <w:jc w:val="center"/>
                    <w:jc w:val="center"/>
                  </w:pPr>
                  <w:r>
                    <w:t xml:space="preserve">Brier Score</w:t>
                  </w:r>
                </w:p>
              </w:tc>
            </w:tr>
            <w:tr>
              <w:tc>
                <w:tcPr/>
                <w:p>
                  <w:pPr>
                    <w:pStyle w:val="Compact"/>
                    <w:jc w:val="left"/>
                    <w:jc w:val="center"/>
                  </w:pPr>
                  <w:r>
                    <w:rPr>
                      <w:b/>
                      <w:bCs/>
                    </w:rPr>
                    <w:t xml:space="preserve">Región Occidental (Chaco)</w:t>
                  </w:r>
                </w:p>
              </w:tc>
              <w:tc>
                <w:tcPr/>
                <w:p>
                  <w:pPr>
                    <w:pStyle w:val="Compact"/>
                    <w:jc w:val="left"/>
                    <w:jc w:val="center"/>
                  </w:pPr>
                  <w:r>
                    <w:t xml:space="preserve">Ignición Primaria (Física)</w:t>
                  </w:r>
                </w:p>
              </w:tc>
              <w:tc>
                <w:tcPr/>
                <w:p>
                  <w:pPr>
                    <w:pStyle w:val="Compact"/>
                    <w:jc w:val="center"/>
                    <w:jc w:val="center"/>
                  </w:pPr>
                  <m:oMath>
                    <m:r>
                      <m:t>0</m:t>
                    </m:r>
                    <m:r>
                      <m:rPr>
                        <m:sty m:val="p"/>
                      </m:rPr>
                      <m:t>,</m:t>
                    </m:r>
                    <m:r>
                      <m:t>5952</m:t>
                    </m:r>
                  </m:oMath>
                  <w:r>
                    <w:t xml:space="preserve">​</w:t>
                  </w:r>
                </w:p>
              </w:tc>
              <w:tc>
                <w:tcPr/>
                <w:p>
                  <w:pPr>
                    <w:pStyle w:val="Compact"/>
                    <w:jc w:val="center"/>
                    <w:jc w:val="center"/>
                  </w:pPr>
                  <m:oMath>
                    <m:r>
                      <m:t>0</m:t>
                    </m:r>
                    <m:r>
                      <m:rPr>
                        <m:sty m:val="p"/>
                      </m:rPr>
                      <m:t>,</m:t>
                    </m:r>
                    <m:r>
                      <m:t>1290</m:t>
                    </m:r>
                  </m:oMath>
                  <w:r>
                    <w:t xml:space="preserve">​</w:t>
                  </w:r>
                </w:p>
              </w:tc>
              <w:tc>
                <w:tcPr/>
                <w:p>
                  <w:pPr>
                    <w:pStyle w:val="Compact"/>
                    <w:jc w:val="center"/>
                    <w:jc w:val="center"/>
                  </w:pPr>
                  <m:oMath>
                    <m:r>
                      <m:t>23</m:t>
                    </m:r>
                    <m:r>
                      <m:rPr>
                        <m:sty m:val="p"/>
                      </m:rPr>
                      <m:t>,</m:t>
                    </m:r>
                    <m:r>
                      <m:t>9</m:t>
                    </m:r>
                    <m:r>
                      <m:rPr>
                        <m:nor/>
                        <m:sty m:val="p"/>
                      </m:rPr>
                      <m:t> %</m:t>
                    </m:r>
                  </m:oMath>
                  <w:r>
                    <w:t xml:space="preserve">​</w:t>
                  </w:r>
                </w:p>
              </w:tc>
              <w:tc>
                <w:tcPr/>
                <w:p>
                  <w:pPr>
                    <w:pStyle w:val="Compact"/>
                    <w:jc w:val="center"/>
                    <w:jc w:val="center"/>
                  </w:pPr>
                  <m:oMath>
                    <m:r>
                      <m:t>19</m:t>
                    </m:r>
                    <m:r>
                      <m:rPr>
                        <m:sty m:val="p"/>
                      </m:rPr>
                      <m:t>,</m:t>
                    </m:r>
                    <m:r>
                      <m:t>3</m:t>
                    </m:r>
                    <m:r>
                      <m:rPr>
                        <m:nor/>
                        <m:sty m:val="p"/>
                      </m:rPr>
                      <m:t> %</m:t>
                    </m:r>
                  </m:oMath>
                  <w:r>
                    <w:t xml:space="preserve">​</w:t>
                  </w:r>
                </w:p>
              </w:tc>
              <w:tc>
                <w:tcPr/>
                <w:p>
                  <w:pPr>
                    <w:pStyle w:val="Compact"/>
                    <w:jc w:val="center"/>
                    <w:jc w:val="center"/>
                  </w:pPr>
                  <m:oMath>
                    <m:r>
                      <m:t>0</m:t>
                    </m:r>
                    <m:r>
                      <m:rPr>
                        <m:sty m:val="p"/>
                      </m:rPr>
                      <m:t>,</m:t>
                    </m:r>
                    <m:r>
                      <m:t>0825</m:t>
                    </m:r>
                  </m:oMath>
                  <w:r>
                    <w:t xml:space="preserve">​</w:t>
                  </w:r>
                </w:p>
              </w:tc>
            </w:tr>
            <w:tr>
              <w:tc>
                <w:tcPr/>
                <w:p>
                  <w:pPr>
                    <w:pStyle w:val="Compact"/>
                    <w:jc w:val="left"/>
                    <w:jc w:val="center"/>
                  </w:pPr>
                  <w:r>
                    <w:rPr>
                      <w:b/>
                      <w:bCs/>
                    </w:rPr>
                    <w:t xml:space="preserve">Región Occidental (Chaco)</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9410</m:t>
                    </m:r>
                  </m:oMath>
                  <w:r>
                    <w:t xml:space="preserve">​</w:t>
                  </w:r>
                </w:p>
              </w:tc>
              <w:tc>
                <w:tcPr/>
                <w:p>
                  <w:pPr>
                    <w:pStyle w:val="Compact"/>
                    <w:jc w:val="center"/>
                    <w:jc w:val="center"/>
                  </w:pPr>
                  <m:oMath>
                    <m:r>
                      <m:rPr>
                        <m:sty m:val="b"/>
                      </m:rPr>
                      <m:t>0</m:t>
                    </m:r>
                    <m:r>
                      <m:rPr>
                        <m:sty m:val="b"/>
                      </m:rPr>
                      <m:t>,</m:t>
                    </m:r>
                    <m:r>
                      <m:rPr>
                        <m:sty m:val="b"/>
                      </m:rPr>
                      <m:t>8486</m:t>
                    </m:r>
                  </m:oMath>
                  <w:r>
                    <w:t xml:space="preserve">​</w:t>
                  </w:r>
                </w:p>
              </w:tc>
              <w:tc>
                <w:tcPr/>
                <w:p>
                  <w:pPr>
                    <w:pStyle w:val="Compact"/>
                    <w:jc w:val="center"/>
                    <w:jc w:val="center"/>
                  </w:pPr>
                  <m:oMath>
                    <m:r>
                      <m:rPr>
                        <m:sty m:val="b"/>
                      </m:rPr>
                      <m:t>97</m:t>
                    </m:r>
                    <m:r>
                      <m:rPr>
                        <m:sty m:val="b"/>
                      </m:rPr>
                      <m:t>,</m:t>
                    </m:r>
                    <m:r>
                      <m:rPr>
                        <m:sty m:val="b"/>
                      </m:rPr>
                      <m:t>71</m:t>
                    </m:r>
                    <m:r>
                      <m:rPr>
                        <m:nor/>
                        <m:sty m:val="p"/>
                      </m:rPr>
                      <m:t> %</m:t>
                    </m:r>
                  </m:oMath>
                  <w:r>
                    <w:t xml:space="preserve">​</w:t>
                  </w:r>
                </w:p>
              </w:tc>
              <w:tc>
                <w:tcPr/>
                <w:p>
                  <w:pPr>
                    <w:pStyle w:val="Compact"/>
                    <w:jc w:val="center"/>
                    <w:jc w:val="center"/>
                  </w:pPr>
                  <m:oMath>
                    <m:r>
                      <m:rPr>
                        <m:sty m:val="b"/>
                      </m:rPr>
                      <m:t>77</m:t>
                    </m:r>
                    <m:r>
                      <m:rPr>
                        <m:sty m:val="b"/>
                      </m:rPr>
                      <m:t>,</m:t>
                    </m:r>
                    <m:r>
                      <m:rPr>
                        <m:sty m:val="b"/>
                      </m:rPr>
                      <m:t>11</m:t>
                    </m:r>
                    <m:r>
                      <m:rPr>
                        <m:nor/>
                        <m:sty m:val="p"/>
                      </m:rPr>
                      <m:t> %</m:t>
                    </m:r>
                  </m:oMath>
                  <w:r>
                    <w:t xml:space="preserve">​</w:t>
                  </w:r>
                </w:p>
              </w:tc>
              <w:tc>
                <w:tcPr/>
                <w:p>
                  <w:pPr>
                    <w:pStyle w:val="Compact"/>
                    <w:jc w:val="center"/>
                    <w:jc w:val="center"/>
                  </w:pPr>
                  <m:oMath>
                    <m:r>
                      <m:rPr>
                        <m:sty m:val="b"/>
                      </m:rPr>
                      <m:t>0</m:t>
                    </m:r>
                    <m:r>
                      <m:rPr>
                        <m:sty m:val="b"/>
                      </m:rPr>
                      <m:t>,</m:t>
                    </m:r>
                    <m:r>
                      <m:rPr>
                        <m:sty m:val="b"/>
                      </m:rPr>
                      <m:t>0276</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7711</m:t>
                    </m:r>
                  </m:oMath>
                  <w:r>
                    <w:t xml:space="preserve">​</w:t>
                  </w:r>
                </w:p>
              </w:tc>
              <w:tc>
                <w:tcPr/>
                <w:p>
                  <w:pPr>
                    <w:pStyle w:val="Compact"/>
                    <w:jc w:val="center"/>
                    <w:jc w:val="center"/>
                  </w:pPr>
                  <m:oMath>
                    <m:r>
                      <m:rPr>
                        <m:sty m:val="b"/>
                      </m:rPr>
                      <m:t>0</m:t>
                    </m:r>
                    <m:r>
                      <m:rPr>
                        <m:sty m:val="b"/>
                      </m:rPr>
                      <m:t>,</m:t>
                    </m:r>
                    <m:r>
                      <m:rPr>
                        <m:sty m:val="b"/>
                      </m:rPr>
                      <m:t>2810</m:t>
                    </m:r>
                  </m:oMath>
                  <w:r>
                    <w:t xml:space="preserve">​</w:t>
                  </w:r>
                </w:p>
              </w:tc>
              <w:tc>
                <w:tcPr/>
                <w:p>
                  <w:pPr>
                    <w:pStyle w:val="Compact"/>
                    <w:jc w:val="center"/>
                    <w:jc w:val="center"/>
                  </w:pPr>
                  <m:oMath>
                    <m:r>
                      <m:t>34</m:t>
                    </m:r>
                    <m:r>
                      <m:rPr>
                        <m:sty m:val="p"/>
                      </m:rPr>
                      <m:t>,</m:t>
                    </m:r>
                    <m:r>
                      <m:t>1</m:t>
                    </m:r>
                    <m:r>
                      <m:rPr>
                        <m:nor/>
                        <m:sty m:val="p"/>
                      </m:rPr>
                      <m:t> %</m:t>
                    </m:r>
                  </m:oMath>
                  <w:r>
                    <w:t xml:space="preserve">​</w:t>
                  </w:r>
                </w:p>
              </w:tc>
              <w:tc>
                <w:tcPr/>
                <w:p>
                  <w:pPr>
                    <w:pStyle w:val="Compact"/>
                    <w:jc w:val="center"/>
                    <w:jc w:val="center"/>
                  </w:pPr>
                  <m:oMath>
                    <m:r>
                      <m:t>37</m:t>
                    </m:r>
                    <m:r>
                      <m:rPr>
                        <m:sty m:val="p"/>
                      </m:rPr>
                      <m:t>,</m:t>
                    </m:r>
                    <m:r>
                      <m:t>5</m:t>
                    </m:r>
                    <m:r>
                      <m:rPr>
                        <m:nor/>
                        <m:sty m:val="p"/>
                      </m:rPr>
                      <m:t> %</m:t>
                    </m:r>
                  </m:oMath>
                  <w:r>
                    <w:t xml:space="preserve">​</w:t>
                  </w:r>
                </w:p>
              </w:tc>
              <w:tc>
                <w:tcPr/>
                <w:p>
                  <w:pPr>
                    <w:pStyle w:val="Compact"/>
                    <w:jc w:val="center"/>
                    <w:jc w:val="center"/>
                  </w:pPr>
                  <m:oMath>
                    <m:r>
                      <m:t>0</m:t>
                    </m:r>
                    <m:r>
                      <m:rPr>
                        <m:sty m:val="p"/>
                      </m:rPr>
                      <m:t>,</m:t>
                    </m:r>
                    <m:r>
                      <m:t>0765</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8650</m:t>
                    </m:r>
                  </m:oMath>
                  <w:r>
                    <w:t xml:space="preserve">​</w:t>
                  </w:r>
                </w:p>
              </w:tc>
              <w:tc>
                <w:tcPr/>
                <w:p>
                  <w:pPr>
                    <w:pStyle w:val="Compact"/>
                    <w:jc w:val="center"/>
                    <w:jc w:val="center"/>
                  </w:pPr>
                  <m:oMath>
                    <m:r>
                      <m:rPr>
                        <m:sty m:val="b"/>
                      </m:rPr>
                      <m:t>0</m:t>
                    </m:r>
                    <m:r>
                      <m:rPr>
                        <m:sty m:val="b"/>
                      </m:rPr>
                      <m:t>,</m:t>
                    </m:r>
                    <m:r>
                      <m:rPr>
                        <m:sty m:val="b"/>
                      </m:rPr>
                      <m:t>5430</m:t>
                    </m:r>
                  </m:oMath>
                  <w:r>
                    <w:t xml:space="preserve">​</w:t>
                  </w:r>
                </w:p>
              </w:tc>
              <w:tc>
                <w:tcPr/>
                <w:p>
                  <w:pPr>
                    <w:pStyle w:val="Compact"/>
                    <w:jc w:val="center"/>
                    <w:jc w:val="center"/>
                  </w:pPr>
                  <m:oMath>
                    <m:r>
                      <m:rPr>
                        <m:sty m:val="b"/>
                      </m:rPr>
                      <m:t>100</m:t>
                    </m:r>
                    <m:r>
                      <m:rPr>
                        <m:sty m:val="b"/>
                      </m:rPr>
                      <m:t>,</m:t>
                    </m:r>
                    <m:r>
                      <m:rPr>
                        <m:sty m:val="b"/>
                      </m:rPr>
                      <m:t>00</m:t>
                    </m:r>
                    <m:r>
                      <m:rPr>
                        <m:nor/>
                        <m:sty m:val="p"/>
                      </m:rPr>
                      <m:t> %</m:t>
                    </m:r>
                  </m:oMath>
                  <w:r>
                    <w:t xml:space="preserve">​</w:t>
                  </w:r>
                </w:p>
              </w:tc>
              <w:tc>
                <w:tcPr/>
                <w:p>
                  <w:pPr>
                    <w:pStyle w:val="Compact"/>
                    <w:jc w:val="center"/>
                    <w:jc w:val="center"/>
                  </w:pPr>
                  <m:oMath>
                    <m:r>
                      <m:rPr>
                        <m:sty m:val="b"/>
                      </m:rPr>
                      <m:t>22</m:t>
                    </m:r>
                    <m:r>
                      <m:rPr>
                        <m:sty m:val="b"/>
                      </m:rPr>
                      <m:t>,</m:t>
                    </m:r>
                    <m:r>
                      <m:rPr>
                        <m:sty m:val="b"/>
                      </m:rPr>
                      <m:t>50</m:t>
                    </m:r>
                    <m:r>
                      <m:rPr>
                        <m:nor/>
                        <m:sty m:val="p"/>
                      </m:rPr>
                      <m:t> %</m:t>
                    </m:r>
                  </m:oMath>
                  <w:r>
                    <w:t xml:space="preserve">​</w:t>
                  </w:r>
                </w:p>
              </w:tc>
              <w:tc>
                <w:tcPr/>
                <w:p>
                  <w:pPr>
                    <w:pStyle w:val="Compact"/>
                    <w:jc w:val="center"/>
                    <w:jc w:val="center"/>
                  </w:pPr>
                  <m:oMath>
                    <m:r>
                      <m:rPr>
                        <m:sty m:val="b"/>
                      </m:rPr>
                      <m:t>0</m:t>
                    </m:r>
                    <m:r>
                      <m:rPr>
                        <m:sty m:val="b"/>
                      </m:rPr>
                      <m:t>,</m:t>
                    </m:r>
                    <m:r>
                      <m:rPr>
                        <m:sty m:val="b"/>
                      </m:rPr>
                      <m:t>0586</m:t>
                    </m:r>
                  </m:oMath>
                  <w:r>
                    <w:t xml:space="preserve">​</w:t>
                  </w:r>
                </w:p>
              </w:tc>
            </w:tr>
          </w:tbl>
          <w:bookmarkEnd w:id="47"/>
          <w:p/>
        </w:tc>
      </w:tr>
    </w:tbl>
    <w:p>
      <w:pPr>
        <w:pStyle w:val="BodyText"/>
      </w:pPr>
      <w:r>
        <w:t xml:space="preserve">En la capa de</w:t>
      </w:r>
      <w:r>
        <w:t xml:space="preserve"> </w:t>
      </w:r>
      <w:r>
        <w:rPr>
          <w:b/>
          <w:bCs/>
        </w:rPr>
        <w:t xml:space="preserve">Propagación Táctica</w:t>
      </w:r>
      <w:r>
        <w:t xml:space="preserve">, el modelo alcanza un rendimiento superlativo: en el Chaco logra un ROC-AUC de</w:t>
      </w:r>
      <w:r>
        <w:t xml:space="preserve"> </w:t>
      </w:r>
      <m:oMath>
        <m:r>
          <m:t>0</m:t>
        </m:r>
        <m:r>
          <m:rPr>
            <m:sty m:val="p"/>
          </m:rPr>
          <m:t>,</m:t>
        </m:r>
        <m:r>
          <m:t>9410</m:t>
        </m:r>
      </m:oMath>
      <w:r>
        <w:t xml:space="preserve">, un PR-AUC de</w:t>
      </w:r>
      <w:r>
        <w:t xml:space="preserve"> </w:t>
      </w:r>
      <m:oMath>
        <m:r>
          <m:t>0</m:t>
        </m:r>
        <m:r>
          <m:rPr>
            <m:sty m:val="p"/>
          </m:rPr>
          <m:t>,</m:t>
        </m:r>
        <m:r>
          <m:t>8486</m:t>
        </m:r>
      </m:oMath>
      <w:r>
        <w:t xml:space="preserve"> </w:t>
      </w:r>
      <w:r>
        <w:t xml:space="preserve">y una precisión táctica del</w:t>
      </w:r>
      <w:r>
        <w:t xml:space="preserve"> </w:t>
      </w:r>
      <m:oMath>
        <m:r>
          <m:t>97</m:t>
        </m:r>
        <m:r>
          <m:rPr>
            <m:sty m:val="p"/>
          </m:rPr>
          <m:t>,</m:t>
        </m:r>
        <m:r>
          <m:t>71</m:t>
        </m:r>
        <m:r>
          <m:rPr>
            <m:nor/>
            <m:sty m:val="p"/>
          </m:rPr>
          <m:t> %</m:t>
        </m:r>
      </m:oMath>
      <w:r>
        <w:t xml:space="preserve">, cometiendo únicamente 3 falsos positivos en todo el conjunto de prueba. En la Región Oriental, la precisión táctica es del</w:t>
      </w:r>
      <w:r>
        <w:t xml:space="preserve"> </w:t>
      </w:r>
      <m:oMath>
        <m:r>
          <m:t>100</m:t>
        </m:r>
        <m:r>
          <m:rPr>
            <m:nor/>
            <m:sty m:val="p"/>
          </m:rPr>
          <m:t> %</m:t>
        </m:r>
      </m:oMath>
      <w:r>
        <w:t xml:space="preserve"> </w:t>
      </w:r>
      <w:r>
        <w:t xml:space="preserve">(cero falsos positivos observados).</w:t>
      </w:r>
    </w:p>
    <w:p>
      <w:pPr>
        <w:pStyle w:val="BodyText"/>
      </w:pPr>
      <w:r>
        <w:t xml:space="preserve">La inspección forense individual de los tres únicos casos de falso positivo en el Chaco reveló un patrón ecológico y de manejo consistente: correspondieron a fuegos en pasturas cultivadas donde las condiciones meteorológicas y el combustible justificaban plenamente una alta probabilidad táctica (</w:t>
      </w:r>
      <m:oMath>
        <m:r>
          <m:t>P</m:t>
        </m:r>
        <m:r>
          <m:rPr>
            <m:sty m:val="p"/>
          </m:rPr>
          <m:t>&gt;</m:t>
        </m:r>
        <m:r>
          <m:t>0</m:t>
        </m:r>
        <m:r>
          <m:rPr>
            <m:sty m:val="p"/>
          </m:rPr>
          <m:t>,</m:t>
        </m:r>
        <m:r>
          <m:t>80</m:t>
        </m:r>
      </m:oMath>
      <w:r>
        <w:t xml:space="preserve">), pero cuya propagación efectiva fue abortada antes del paso orbital de VIIRS debido a la activación de cortafuegos mecanizados de emergencia en establecimientos ganaderos o a giros súbitos de ráfagas hacia paleocauces arenosos sin biomasa continua. Estas contingencias de micro-escala quedan naturalmente fuera de la resolución del reanálisis ERA5-Land (</w:t>
      </w:r>
      <m:oMath>
        <m:r>
          <m:t>25</m:t>
        </m:r>
        <m:r>
          <m:rPr>
            <m:nor/>
            <m:sty m:val="p"/>
          </m:rPr>
          <m:t> km</m:t>
        </m:r>
      </m:oMath>
      <w:r>
        <w:t xml:space="preserve">), demostrando que las clasificaciones del modelo capturan con fidelidad el potencial de combustión del paisaje.</w:t>
      </w:r>
    </w:p>
    <w:p>
      <w:pPr>
        <w:pStyle w:val="BodyText"/>
      </w:pPr>
      <w:r>
        <w:t xml:space="preserve">Por su parte, la capa de</w:t>
      </w:r>
      <w:r>
        <w:t xml:space="preserve"> </w:t>
      </w:r>
      <w:r>
        <w:rPr>
          <w:b/>
          <w:bCs/>
        </w:rPr>
        <w:t xml:space="preserve">Ignición Primaria Física</w:t>
      </w:r>
      <w:r>
        <w:t xml:space="preserve"> </w:t>
      </w:r>
      <w:r>
        <w:t xml:space="preserve">(que no utiliza ninguna información de fuego previo) alcanza un ROC-AUC de</w:t>
      </w:r>
      <w:r>
        <w:t xml:space="preserve"> </w:t>
      </w:r>
      <m:oMath>
        <m:r>
          <m:t>0</m:t>
        </m:r>
        <m:r>
          <m:rPr>
            <m:sty m:val="p"/>
          </m:rPr>
          <m:t>,</m:t>
        </m:r>
        <m:r>
          <m:t>7711</m:t>
        </m:r>
      </m:oMath>
      <w:r>
        <w:t xml:space="preserve"> </w:t>
      </w:r>
      <w:r>
        <w:t xml:space="preserve">en la Región Oriental, prediciendo con notable exactitud dónde surgirán nuevos incendios aislados a partir de variables de estrés hídrico y combustible.</w:t>
      </w:r>
    </w:p>
    <w:p>
      <w:pPr>
        <w:pStyle w:val="BodyText"/>
      </w:pPr>
      <w:r>
        <w:t xml:space="preserve">Las curvas de rendimiento empírico Receiver Operating Characteristic (ROC) y Precision-Recall (PR) sobre la partición ciega temporal se detallan en la</w:t>
      </w:r>
      <w:r>
        <w:t xml:space="preserve"> </w:t>
      </w:r>
      <w:hyperlink w:anchor="fig-curvas-test">
        <w:r>
          <w:rPr>
            <w:rStyle w:val="Hyperlink"/>
          </w:rPr>
          <w:t xml:space="preserve">Figura 3</w:t>
        </w:r>
      </w:hyperlink>
      <w:r>
        <w:t xml:space="preserve">, evidenciando la marcada separación alcanzada por la capa de propagación táctica y el balance de compromiso en la capa de ignición física.</w:t>
      </w:r>
    </w:p>
    <w:tbl>
      <w:tblPr>
        <w:tblStyle w:val="Table"/>
        <w:tblW w:type="pct" w:w="5000"/>
        <w:tblLayout w:type="fixed"/>
        <w:tblLook w:firstRow="0" w:lastRow="0" w:firstColumn="0" w:lastColumn="0" w:noHBand="0" w:noVBand="0" w:val="0000"/>
      </w:tblPr>
      <w:tblGrid>
        <w:gridCol w:w="7920"/>
      </w:tblGrid>
      <w:tr>
        <w:tc>
          <w:tcPr/>
          <w:bookmarkStart w:id="51" w:name="fig-curvas-test"/>
          <w:p>
            <w:pPr>
              <w:pStyle w:val="Compact"/>
              <w:jc w:val="center"/>
            </w:pPr>
            <w:r>
              <w:drawing>
                <wp:inline>
                  <wp:extent cx="5334000" cy="2286000"/>
                  <wp:effectExtent b="0" l="0" r="0" t="0"/>
                  <wp:docPr descr="" title="" id="49" name="Picture"/>
                  <a:graphic>
                    <a:graphicData uri="http://schemas.openxmlformats.org/drawingml/2006/picture">
                      <pic:pic>
                        <pic:nvPicPr>
                          <pic:cNvPr descr="figuras/fig02_curvas_roc_pr_test.png" id="50" name="Picture"/>
                          <pic:cNvPicPr>
                            <a:picLocks noChangeArrowheads="1" noChangeAspect="1"/>
                          </pic:cNvPicPr>
                        </pic:nvPicPr>
                        <pic:blipFill>
                          <a:blip r:embed="rId48"/>
                          <a:stretch>
                            <a:fillRect/>
                          </a:stretch>
                        </pic:blipFill>
                        <pic:spPr bwMode="auto">
                          <a:xfrm>
                            <a:off x="0" y="0"/>
                            <a:ext cx="5334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discriminantes de desempeño predictivo sobre el conjunto de prueba ciego out-of-time (2024–2025): Comparación de curvas ROC (izquierda) y Precision-Recall (derecha) para los modelos de Ignición Primaria Física y Propagación Táctica en el Chaco y la Región Oriental.</w:t>
            </w:r>
          </w:p>
          <w:bookmarkEnd w:id="51"/>
        </w:tc>
      </w:tr>
    </w:tbl>
    <w:bookmarkEnd w:id="52"/>
    <w:bookmarkStart w:id="58" w:name="benchmarking-comparativo-internacional"/>
    <w:p>
      <w:pPr>
        <w:pStyle w:val="Heading2"/>
      </w:pPr>
      <w:r>
        <w:t xml:space="preserve">5.2 5.2 Benchmarking Comparativo Internacional</w:t>
      </w:r>
    </w:p>
    <w:p>
      <w:pPr>
        <w:pStyle w:val="FirstParagraph"/>
      </w:pPr>
      <w:r>
        <w:t xml:space="preserve">La</w:t>
      </w:r>
      <w:r>
        <w:t xml:space="preserve"> </w:t>
      </w:r>
      <w:hyperlink w:anchor="tbl-benchmark">
        <w:r>
          <w:rPr>
            <w:rStyle w:val="Hyperlink"/>
          </w:rPr>
          <w:t xml:space="preserve">Tabla 3</w:t>
        </w:r>
      </w:hyperlink>
      <w:r>
        <w:t xml:space="preserve"> </w:t>
      </w:r>
      <w:r>
        <w:t xml:space="preserve">expone la comparación directa entre el modelo de ignición física de</w:t>
      </w:r>
      <w:r>
        <w:t xml:space="preserve"> </w:t>
      </w:r>
      <w:r>
        <w:rPr>
          <w:rStyle w:val="VerbatimChar"/>
        </w:rPr>
        <w:t xml:space="preserve">Incendios_PY</w:t>
      </w:r>
      <w:r>
        <w:t xml:space="preserve"> </w:t>
      </w:r>
      <w:r>
        <w:t xml:space="preserve">y los índices internacionales canónicos.</w:t>
      </w:r>
    </w:p>
    <w:tbl>
      <w:tblPr>
        <w:tblStyle w:val="Table"/>
        <w:tblW w:type="pct" w:w="5000"/>
        <w:tblLayout w:type="fixed"/>
        <w:tblLook w:firstRow="0" w:lastRow="0" w:firstColumn="0" w:lastColumn="0" w:noHBand="0" w:noVBand="0" w:val="0000"/>
      </w:tblPr>
      <w:tblGrid>
        <w:gridCol w:w="7920"/>
      </w:tblGrid>
      <w:tr>
        <w:tc>
          <w:tcPr/>
          <w:bookmarkStart w:id="53" w:name="tbl-benchmark"/>
          <w:p>
            <w:pPr>
              <w:jc w:val="center"/>
            </w:pPr>
            <w:pPr>
              <w:jc w:val="left"/>
              <w:spacing w:before="200"/>
              <w:pStyle w:val="ImageCaption"/>
            </w:pPr>
            <w:r>
              <w:t xml:space="preserve">Tabla 3: Benchmarking internacional comparativo sobre el mismo conjunto de prueba ciego out-of-time (evaluado con script reproducible</w:t>
            </w:r>
            <w:r>
              <w:t xml:space="preserve"> </w:t>
            </w:r>
            <w:r>
              <w:rPr>
                <w:rStyle w:val="VerbatimChar"/>
              </w:rPr>
              <w:t xml:space="preserve">scripts/13_benchmarking_modelos.py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Superioridad frente a Línea Base</w:t>
                  </w:r>
                </w:p>
              </w:tc>
            </w:tr>
            <w:tr>
              <w:tc>
                <w:tcPr/>
                <w:p>
                  <w:pPr>
                    <w:pStyle w:val="Compact"/>
                    <w:jc w:val="left"/>
                    <w:jc w:val="center"/>
                  </w:pPr>
                  <w:r>
                    <w:rPr>
                      <w:b/>
                      <w:bCs/>
                    </w:rPr>
                    <w:t xml:space="preserve">Región Oriental</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7711</m:t>
                    </m:r>
                  </m:oMath>
                  <w:r>
                    <w:t xml:space="preserve">​</w:t>
                  </w:r>
                </w:p>
              </w:tc>
              <w:tc>
                <w:tcPr/>
                <w:p>
                  <w:pPr>
                    <w:pStyle w:val="Compact"/>
                    <w:jc w:val="center"/>
                    <w:jc w:val="center"/>
                  </w:pPr>
                  <m:oMath>
                    <m:r>
                      <m:rPr>
                        <m:sty m:val="b"/>
                      </m:rPr>
                      <m:t>0</m:t>
                    </m:r>
                    <m:r>
                      <m:rPr>
                        <m:sty m:val="b"/>
                      </m:rPr>
                      <m:t>,</m:t>
                    </m:r>
                    <m:r>
                      <m:rPr>
                        <m:sty m:val="b"/>
                      </m:rPr>
                      <m:t>2810</m:t>
                    </m:r>
                  </m:oMath>
                  <w:r>
                    <w:t xml:space="preserve">​</w:t>
                  </w:r>
                </w:p>
              </w:tc>
              <w:tc>
                <w:tcPr/>
                <w:p>
                  <w:pPr>
                    <w:pStyle w:val="Compact"/>
                    <w:jc w:val="center"/>
                    <w:jc w:val="center"/>
                  </w:pPr>
                  <m:oMath>
                    <m:r>
                      <m:rPr>
                        <m:sty m:val="b"/>
                      </m:rPr>
                      <m:t>+</m:t>
                    </m:r>
                    <m:r>
                      <m:rPr>
                        <m:sty m:val="b"/>
                      </m:rPr>
                      <m:t>98</m:t>
                    </m:r>
                    <m:r>
                      <m:rPr>
                        <m:sty m:val="b"/>
                      </m:rPr>
                      <m:t>,</m:t>
                    </m:r>
                    <m:r>
                      <m:rPr>
                        <m:sty m:val="b"/>
                      </m:rPr>
                      <m:t>2</m:t>
                    </m:r>
                    <m:r>
                      <m:rPr>
                        <m:nor/>
                        <m:sty m:val="p"/>
                      </m:rPr>
                      <m:t> %</m:t>
                    </m:r>
                  </m:oMath>
                  <w:r>
                    <w:t xml:space="preserve"> </w:t>
                  </w:r>
                  <w:r>
                    <w:t xml:space="preserve">sobre FWI</w:t>
                  </w:r>
                </w:p>
              </w:tc>
            </w:tr>
            <w:tr>
              <w:tc>
                <w:tcPr/>
                <w:p>
                  <w:pPr>
                    <w:pStyle w:val="Compact"/>
                    <w:jc w:val="left"/>
                    <w:jc w:val="center"/>
                  </w:pPr>
                  <w:r>
                    <w:t xml:space="preserve">Región Oriental</w:t>
                  </w:r>
                </w:p>
              </w:tc>
              <w:tc>
                <w:tcPr/>
                <w:p>
                  <w:pPr>
                    <w:pStyle w:val="Compact"/>
                    <w:jc w:val="left"/>
                    <w:jc w:val="center"/>
                  </w:pPr>
                  <w:r>
                    <w:t xml:space="preserve">Proxy Analítico INPE Risco de Fogo</w:t>
                  </w:r>
                </w:p>
              </w:tc>
              <w:tc>
                <w:tcPr/>
                <w:p>
                  <w:pPr>
                    <w:pStyle w:val="Compact"/>
                    <w:jc w:val="center"/>
                    <w:jc w:val="center"/>
                  </w:pPr>
                  <m:oMath>
                    <m:r>
                      <m:t>0</m:t>
                    </m:r>
                    <m:r>
                      <m:rPr>
                        <m:sty m:val="p"/>
                      </m:rPr>
                      <m:t>,</m:t>
                    </m:r>
                    <m:r>
                      <m:t>3995</m:t>
                    </m:r>
                  </m:oMath>
                  <w:r>
                    <w:t xml:space="preserve">​</w:t>
                  </w:r>
                </w:p>
              </w:tc>
              <w:tc>
                <w:tcPr/>
                <w:p>
                  <w:pPr>
                    <w:pStyle w:val="Compact"/>
                    <w:jc w:val="center"/>
                    <w:jc w:val="center"/>
                  </w:pPr>
                  <m:oMath>
                    <m:r>
                      <m:t>0</m:t>
                    </m:r>
                    <m:r>
                      <m:rPr>
                        <m:sty m:val="p"/>
                      </m:rPr>
                      <m:t>,</m:t>
                    </m:r>
                    <m:r>
                      <m:t>0703</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Canadian FWI Puro (ISI)</w:t>
                  </w:r>
                </w:p>
              </w:tc>
              <w:tc>
                <w:tcPr/>
                <w:p>
                  <w:pPr>
                    <w:pStyle w:val="Compact"/>
                    <w:jc w:val="center"/>
                    <w:jc w:val="center"/>
                  </w:pPr>
                  <m:oMath>
                    <m:r>
                      <m:t>0</m:t>
                    </m:r>
                    <m:r>
                      <m:rPr>
                        <m:sty m:val="p"/>
                      </m:rPr>
                      <m:t>,</m:t>
                    </m:r>
                    <m:r>
                      <m:t>3892</m:t>
                    </m:r>
                  </m:oMath>
                  <w:r>
                    <w:t xml:space="preserve">​</w:t>
                  </w:r>
                </w:p>
              </w:tc>
              <w:tc>
                <w:tcPr/>
                <w:p>
                  <w:pPr>
                    <w:pStyle w:val="Compact"/>
                    <w:jc w:val="center"/>
                    <w:jc w:val="center"/>
                  </w:pPr>
                  <m:oMath>
                    <m:r>
                      <m:t>0</m:t>
                    </m:r>
                    <m:r>
                      <m:rPr>
                        <m:sty m:val="p"/>
                      </m:rPr>
                      <m:t>,</m:t>
                    </m:r>
                    <m:r>
                      <m:t>0779</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w:r>
                    <w:t xml:space="preserve">Referencia sin poder predictivo</w:t>
                  </w:r>
                </w:p>
              </w:tc>
            </w:tr>
            <w:tr>
              <w:tc>
                <w:tcPr/>
                <w:p>
                  <w:pPr>
                    <w:pStyle w:val="Compact"/>
                    <w:jc w:val="left"/>
                    <w:jc w:val="center"/>
                  </w:pPr>
                  <w:r>
                    <w:rPr>
                      <w:b/>
                      <w:bCs/>
                    </w:rPr>
                    <w:t xml:space="preserve">Chaco</w:t>
                  </w:r>
                </w:p>
              </w:tc>
              <w:tc>
                <w:tcPr/>
                <w:p>
                  <w:pPr>
                    <w:pStyle w:val="Compact"/>
                    <w:jc w:val="left"/>
                    <w:jc w:val="center"/>
                  </w:pPr>
                  <w:r>
                    <w:rPr>
                      <w:b/>
                      <w:bCs/>
                    </w:rPr>
                    <w:t xml:space="preserve">Incendios_PY (Propagación Táctica)</w:t>
                  </w:r>
                </w:p>
              </w:tc>
              <w:tc>
                <w:tcPr/>
                <w:p>
                  <w:pPr>
                    <w:pStyle w:val="Compact"/>
                    <w:jc w:val="center"/>
                    <w:jc w:val="center"/>
                  </w:pPr>
                  <m:oMath>
                    <m:r>
                      <m:rPr>
                        <m:sty m:val="b"/>
                      </m:rPr>
                      <m:t>0</m:t>
                    </m:r>
                    <m:r>
                      <m:rPr>
                        <m:sty m:val="b"/>
                      </m:rPr>
                      <m:t>,</m:t>
                    </m:r>
                    <m:r>
                      <m:rPr>
                        <m:sty m:val="b"/>
                      </m:rPr>
                      <m:t>9410</m:t>
                    </m:r>
                  </m:oMath>
                  <w:r>
                    <w:t xml:space="preserve">​</w:t>
                  </w:r>
                </w:p>
              </w:tc>
              <w:tc>
                <w:tcPr/>
                <w:p>
                  <w:pPr>
                    <w:pStyle w:val="Compact"/>
                    <w:jc w:val="center"/>
                    <w:jc w:val="center"/>
                  </w:pPr>
                  <m:oMath>
                    <m:r>
                      <m:rPr>
                        <m:sty m:val="b"/>
                      </m:rPr>
                      <m:t>0</m:t>
                    </m:r>
                    <m:r>
                      <m:rPr>
                        <m:sty m:val="b"/>
                      </m:rPr>
                      <m:t>,</m:t>
                    </m:r>
                    <m:r>
                      <m:rPr>
                        <m:sty m:val="b"/>
                      </m:rPr>
                      <m:t>8486</m:t>
                    </m:r>
                  </m:oMath>
                  <w:r>
                    <w:t xml:space="preserve">​</w:t>
                  </w:r>
                </w:p>
              </w:tc>
              <w:tc>
                <w:tcPr/>
                <w:p>
                  <w:pPr>
                    <w:pStyle w:val="Compact"/>
                    <w:jc w:val="center"/>
                    <w:jc w:val="center"/>
                  </w:pPr>
                  <m:oMath>
                    <m:r>
                      <m:rPr>
                        <m:sty m:val="b"/>
                      </m:rPr>
                      <m:t>+</m:t>
                    </m:r>
                    <m:r>
                      <m:rPr>
                        <m:sty m:val="b"/>
                      </m:rPr>
                      <m:t>73</m:t>
                    </m:r>
                    <m:r>
                      <m:rPr>
                        <m:sty m:val="b"/>
                      </m:rPr>
                      <m:t>,</m:t>
                    </m:r>
                    <m:r>
                      <m:rPr>
                        <m:sty m:val="b"/>
                      </m:rPr>
                      <m:t>2</m:t>
                    </m:r>
                    <m:r>
                      <m:rPr>
                        <m:nor/>
                        <m:sty m:val="p"/>
                      </m:rPr>
                      <m:t> %</m:t>
                    </m:r>
                  </m:oMath>
                  <w:r>
                    <w:t xml:space="preserve"> </w:t>
                  </w:r>
                  <w:r>
                    <w:t xml:space="preserve">sobre FWI</w:t>
                  </w:r>
                </w:p>
              </w:tc>
            </w:tr>
            <w:tr>
              <w:tc>
                <w:tcPr/>
                <w:p>
                  <w:pPr>
                    <w:pStyle w:val="Compact"/>
                    <w:jc w:val="left"/>
                    <w:jc w:val="center"/>
                  </w:pPr>
                  <w:r>
                    <w:t xml:space="preserve">Chaco</w:t>
                  </w:r>
                </w:p>
              </w:tc>
              <w:tc>
                <w:tcPr/>
                <w:p>
                  <w:pPr>
                    <w:pStyle w:val="Compact"/>
                    <w:jc w:val="left"/>
                    <w:jc w:val="center"/>
                  </w:pPr>
                  <w:r>
                    <w:t xml:space="preserve">Incendios_PY (Ignición Física)</w:t>
                  </w:r>
                </w:p>
              </w:tc>
              <w:tc>
                <w:tcPr/>
                <w:p>
                  <w:pPr>
                    <w:pStyle w:val="Compact"/>
                    <w:jc w:val="center"/>
                    <w:jc w:val="center"/>
                  </w:pPr>
                  <m:oMath>
                    <m:r>
                      <m:t>0</m:t>
                    </m:r>
                    <m:r>
                      <m:rPr>
                        <m:sty m:val="p"/>
                      </m:rPr>
                      <m:t>,</m:t>
                    </m:r>
                    <m:r>
                      <m:t>5952</m:t>
                    </m:r>
                  </m:oMath>
                  <w:r>
                    <w:t xml:space="preserve">​</w:t>
                  </w:r>
                </w:p>
              </w:tc>
              <w:tc>
                <w:tcPr/>
                <w:p>
                  <w:pPr>
                    <w:pStyle w:val="Compact"/>
                    <w:jc w:val="center"/>
                    <w:jc w:val="center"/>
                  </w:pPr>
                  <m:oMath>
                    <m:r>
                      <m:t>0</m:t>
                    </m:r>
                    <m:r>
                      <m:rPr>
                        <m:sty m:val="p"/>
                      </m:rPr>
                      <m:t>,</m:t>
                    </m:r>
                    <m:r>
                      <m:t>1290</m:t>
                    </m:r>
                  </m:oMath>
                  <w:r>
                    <w:t xml:space="preserve">​</w:t>
                  </w:r>
                </w:p>
              </w:tc>
              <w:tc>
                <w:tcPr/>
                <w:p>
                  <w:pPr>
                    <w:pStyle w:val="Compact"/>
                    <w:jc w:val="center"/>
                    <w:jc w:val="center"/>
                  </w:pPr>
                  <w:r>
                    <w:t xml:space="preserve">Aislamiento puro sin atajo</w:t>
                  </w:r>
                  <w:r>
                    <w:t xml:space="preserve"> </w:t>
                  </w:r>
                  <m:oMath>
                    <m:r>
                      <m:t>t</m:t>
                    </m:r>
                    <m:r>
                      <m:rPr>
                        <m:sty m:val="p"/>
                      </m:rPr>
                      <m:t>−</m:t>
                    </m:r>
                    <m:r>
                      <m:t>1</m:t>
                    </m:r>
                  </m:oMath>
                </w:p>
              </w:tc>
            </w:tr>
            <w:tr>
              <w:tc>
                <w:tcPr/>
                <w:p>
                  <w:pPr>
                    <w:pStyle w:val="Compact"/>
                    <w:jc w:val="left"/>
                    <w:jc w:val="center"/>
                  </w:pPr>
                  <w:r>
                    <w:t xml:space="preserve">Chaco</w:t>
                  </w:r>
                </w:p>
              </w:tc>
              <w:tc>
                <w:tcPr/>
                <w:p>
                  <w:pPr>
                    <w:pStyle w:val="Compact"/>
                    <w:jc w:val="left"/>
                    <w:jc w:val="center"/>
                  </w:pPr>
                  <w:r>
                    <w:t xml:space="preserve">Proxy Analítico INPE Risco de Fogo</w:t>
                  </w:r>
                </w:p>
              </w:tc>
              <w:tc>
                <w:tcPr/>
                <w:p>
                  <w:pPr>
                    <w:pStyle w:val="Compact"/>
                    <w:jc w:val="center"/>
                    <w:jc w:val="center"/>
                  </w:pPr>
                  <m:oMath>
                    <m:r>
                      <m:t>0</m:t>
                    </m:r>
                    <m:r>
                      <m:rPr>
                        <m:sty m:val="p"/>
                      </m:rPr>
                      <m:t>,</m:t>
                    </m:r>
                    <m:r>
                      <m:t>6457</m:t>
                    </m:r>
                  </m:oMath>
                  <w:r>
                    <w:t xml:space="preserve">​</w:t>
                  </w:r>
                </w:p>
              </w:tc>
              <w:tc>
                <w:tcPr/>
                <w:p>
                  <w:pPr>
                    <w:pStyle w:val="Compact"/>
                    <w:jc w:val="center"/>
                    <w:jc w:val="center"/>
                  </w:pPr>
                  <m:oMath>
                    <m:r>
                      <m:t>0</m:t>
                    </m:r>
                    <m:r>
                      <m:rPr>
                        <m:sty m:val="p"/>
                      </m:rPr>
                      <m:t>,</m:t>
                    </m:r>
                    <m:r>
                      <m:t>1314</m:t>
                    </m:r>
                  </m:oMath>
                  <w:r>
                    <w:t xml:space="preserve">​</w:t>
                  </w:r>
                </w:p>
              </w:tc>
              <w:tc>
                <w:tcPr/>
                <w:p>
                  <w:pPr>
                    <w:pStyle w:val="Compact"/>
                    <w:jc w:val="center"/>
                    <w:jc w:val="center"/>
                  </w:pPr>
                  <m:oMath>
                    <m:r>
                      <m:t>750</m:t>
                    </m:r>
                  </m:oMath>
                  <w:r>
                    <w:t xml:space="preserve"> </w:t>
                  </w:r>
                  <w:r>
                    <w:t xml:space="preserve">falsos positivos (</w:t>
                  </w:r>
                  <m:oMath>
                    <m:sSub>
                      <m:e>
                        <m:r>
                          <m:t>F</m:t>
                        </m:r>
                      </m:e>
                      <m:sub>
                        <m:r>
                          <m:t>0.5</m:t>
                        </m:r>
                      </m:sub>
                    </m:sSub>
                  </m:oMath>
                  <w:r>
                    <w:t xml:space="preserve">)</w:t>
                  </w:r>
                </w:p>
              </w:tc>
            </w:tr>
            <w:tr>
              <w:tc>
                <w:tcPr/>
                <w:p>
                  <w:pPr>
                    <w:pStyle w:val="Compact"/>
                    <w:jc w:val="left"/>
                    <w:jc w:val="center"/>
                  </w:pPr>
                  <w:r>
                    <w:t xml:space="preserve">Chaco</w:t>
                  </w:r>
                </w:p>
              </w:tc>
              <w:tc>
                <w:tcPr/>
                <w:p>
                  <w:pPr>
                    <w:pStyle w:val="Compact"/>
                    <w:jc w:val="left"/>
                    <w:jc w:val="center"/>
                  </w:pPr>
                  <w:r>
                    <w:t xml:space="preserve">Canadian FWI Puro (ISI)</w:t>
                  </w:r>
                </w:p>
              </w:tc>
              <w:tc>
                <w:tcPr/>
                <w:p>
                  <w:pPr>
                    <w:pStyle w:val="Compact"/>
                    <w:jc w:val="center"/>
                    <w:jc w:val="center"/>
                  </w:pPr>
                  <m:oMath>
                    <m:r>
                      <m:t>0</m:t>
                    </m:r>
                    <m:r>
                      <m:rPr>
                        <m:sty m:val="p"/>
                      </m:rPr>
                      <m:t>,</m:t>
                    </m:r>
                    <m:r>
                      <m:t>5432</m:t>
                    </m:r>
                  </m:oMath>
                  <w:r>
                    <w:t xml:space="preserve">​</w:t>
                  </w:r>
                </w:p>
              </w:tc>
              <w:tc>
                <w:tcPr/>
                <w:p>
                  <w:pPr>
                    <w:pStyle w:val="Compact"/>
                    <w:jc w:val="center"/>
                    <w:jc w:val="center"/>
                  </w:pPr>
                  <m:oMath>
                    <m:r>
                      <m:t>0</m:t>
                    </m:r>
                    <m:r>
                      <m:rPr>
                        <m:sty m:val="p"/>
                      </m:rPr>
                      <m:t>,</m:t>
                    </m:r>
                    <m:r>
                      <m:t>0967</m:t>
                    </m:r>
                  </m:oMath>
                  <w:r>
                    <w:t xml:space="preserve">​</w:t>
                  </w:r>
                </w:p>
              </w:tc>
              <w:tc>
                <w:tcPr/>
                <w:p>
                  <w:pPr>
                    <w:pStyle w:val="Compact"/>
                    <w:jc w:val="center"/>
                    <w:jc w:val="center"/>
                  </w:pPr>
                  <m:oMath>
                    <m:r>
                      <m:t>1.026</m:t>
                    </m:r>
                  </m:oMath>
                  <w:r>
                    <w:t xml:space="preserve"> </w:t>
                  </w:r>
                  <w:r>
                    <w:t xml:space="preserve">falsos positivos (</w:t>
                  </w:r>
                  <m:oMath>
                    <m:sSub>
                      <m:e>
                        <m:r>
                          <m:t>F</m:t>
                        </m:r>
                      </m:e>
                      <m:sub>
                        <m:r>
                          <m:t>0.5</m:t>
                        </m:r>
                      </m:sub>
                    </m:sSub>
                  </m:oMath>
                  <w:r>
                    <w:t xml:space="preserve">)</w:t>
                  </w:r>
                </w:p>
              </w:tc>
            </w:tr>
            <w:tr>
              <w:tc>
                <w:tcPr/>
                <w:p>
                  <w:pPr>
                    <w:pStyle w:val="Compact"/>
                    <w:jc w:val="left"/>
                    <w:jc w:val="center"/>
                  </w:pPr>
                  <w:r>
                    <w:t xml:space="preserve">Chaco</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w:r>
                    <w:t xml:space="preserve">Referencia sin poder predictivo</w:t>
                  </w:r>
                </w:p>
              </w:tc>
            </w:tr>
          </w:tbl>
          <w:bookmarkEnd w:id="53"/>
          <w:p/>
        </w:tc>
      </w:tr>
    </w:tbl>
    <w:p>
      <w:pPr>
        <w:pStyle w:val="BodyText"/>
      </w:pPr>
      <w:r>
        <w:t xml:space="preserve">Como se observa en la</w:t>
      </w:r>
      <w:r>
        <w:t xml:space="preserve"> </w:t>
      </w:r>
      <w:hyperlink w:anchor="tbl-benchmark">
        <w:r>
          <w:rPr>
            <w:rStyle w:val="Hyperlink"/>
          </w:rPr>
          <w:t xml:space="preserve">Tabla 3</w:t>
        </w:r>
      </w:hyperlink>
      <w:r>
        <w:t xml:space="preserve"> </w:t>
      </w:r>
      <w:r>
        <w:t xml:space="preserve">y en la</w:t>
      </w:r>
      <w:r>
        <w:t xml:space="preserve"> </w:t>
      </w:r>
      <w:hyperlink w:anchor="fig-benchmark-curvas">
        <w:r>
          <w:rPr>
            <w:rStyle w:val="Hyperlink"/>
          </w:rPr>
          <w:t xml:space="preserve">Figura 4</w:t>
        </w:r>
      </w:hyperlink>
      <w:r>
        <w:t xml:space="preserve">, en la</w:t>
      </w:r>
      <w:r>
        <w:t xml:space="preserve"> </w:t>
      </w:r>
      <w:r>
        <w:rPr>
          <w:b/>
          <w:bCs/>
        </w:rPr>
        <w:t xml:space="preserve">Región Oriental</w:t>
      </w:r>
      <w:r>
        <w:t xml:space="preserve"> </w:t>
      </w:r>
      <w:r>
        <w:t xml:space="preserve">tanto el</w:t>
      </w:r>
      <w:r>
        <w:t xml:space="preserve"> </w:t>
      </w:r>
      <w:r>
        <w:rPr>
          <w:b/>
          <w:bCs/>
        </w:rPr>
        <w:t xml:space="preserve">Canadian FWI (ISI)</w:t>
      </w:r>
      <w:r>
        <w:t xml:space="preserve"> </w:t>
      </w:r>
      <w:r>
        <w:t xml:space="preserve">como el</w:t>
      </w:r>
      <w:r>
        <w:t xml:space="preserve"> </w:t>
      </w:r>
      <w:r>
        <w:rPr>
          <w:b/>
          <w:bCs/>
        </w:rPr>
        <w:t xml:space="preserve">Proxy Analítico INPE Risco de Fogo</w:t>
      </w:r>
      <w:r>
        <w:t xml:space="preserve"> </w:t>
      </w:r>
      <w:r>
        <w:t xml:space="preserve">colapsan a un ROC-AUC inferior a 0,50 (</w:t>
      </w:r>
      <m:oMath>
        <m:r>
          <m:t>0</m:t>
        </m:r>
        <m:r>
          <m:rPr>
            <m:sty m:val="p"/>
          </m:rPr>
          <m:t>,</m:t>
        </m:r>
        <m:r>
          <m:t>3892</m:t>
        </m:r>
      </m:oMath>
      <w:r>
        <w:t xml:space="preserve"> </w:t>
      </w:r>
      <w:r>
        <w:t xml:space="preserve">y</w:t>
      </w:r>
      <w:r>
        <w:t xml:space="preserve"> </w:t>
      </w:r>
      <m:oMath>
        <m:r>
          <m:t>0</m:t>
        </m:r>
        <m:r>
          <m:rPr>
            <m:sty m:val="p"/>
          </m:rPr>
          <m:t>,</m:t>
        </m:r>
        <m:r>
          <m:t>3995</m:t>
        </m:r>
      </m:oMath>
      <w:r>
        <w:t xml:space="preserve">, respectivamente). Esto indica que en regímenes subtropicales húmedos con fuerte actividad humana, los índices canónicos invierten el ranking de peligro, clasificando erróneamente días con condiciones ideales de quema de pasturas como de</w:t>
      </w:r>
      <w:r>
        <w:t xml:space="preserve"> </w:t>
      </w:r>
      <w:r>
        <w:t xml:space="preserve">“bajo riesgo”</w:t>
      </w:r>
      <w:r>
        <w:t xml:space="preserve">.</w:t>
      </w:r>
      <w:r>
        <w:t xml:space="preserve"> </w:t>
      </w:r>
      <w:r>
        <w:rPr>
          <w:rStyle w:val="VerbatimChar"/>
        </w:rPr>
        <w:t xml:space="preserve">Incendios_PY</w:t>
      </w:r>
      <w:r>
        <w:t xml:space="preserve"> </w:t>
      </w:r>
      <w:r>
        <w:t xml:space="preserve">supera a ambos sistemas por más de 37 puntos de ROC-AUC en ignición pura. En el</w:t>
      </w:r>
      <w:r>
        <w:t xml:space="preserve"> </w:t>
      </w:r>
      <w:r>
        <w:rPr>
          <w:b/>
          <w:bCs/>
        </w:rPr>
        <w:t xml:space="preserve">Chaco semiárido</w:t>
      </w:r>
      <w:r>
        <w:t xml:space="preserve">, la capa de propagación táctica de</w:t>
      </w:r>
      <w:r>
        <w:t xml:space="preserve"> </w:t>
      </w:r>
      <w:r>
        <w:rPr>
          <w:rStyle w:val="VerbatimChar"/>
        </w:rPr>
        <w:t xml:space="preserve">Incendios_PY</w:t>
      </w:r>
      <w:r>
        <w:t xml:space="preserve"> </w:t>
      </w:r>
      <w:r>
        <w:t xml:space="preserve">alcanza un ROC-AUC de</w:t>
      </w:r>
      <w:r>
        <w:t xml:space="preserve"> </w:t>
      </w:r>
      <m:oMath>
        <m:r>
          <m:t>0</m:t>
        </m:r>
        <m:r>
          <m:rPr>
            <m:sty m:val="p"/>
          </m:rPr>
          <m:t>,</m:t>
        </m:r>
        <m:r>
          <m:t>9410</m:t>
        </m:r>
      </m:oMath>
      <w:r>
        <w:t xml:space="preserve"> </w:t>
      </w:r>
      <w:r>
        <w:t xml:space="preserve">y un PR-AUC de</w:t>
      </w:r>
      <w:r>
        <w:t xml:space="preserve"> </w:t>
      </w:r>
      <m:oMath>
        <m:r>
          <m:t>0</m:t>
        </m:r>
        <m:r>
          <m:rPr>
            <m:sty m:val="p"/>
          </m:rPr>
          <m:t>,</m:t>
        </m:r>
        <m:r>
          <m:t>8486</m:t>
        </m:r>
      </m:oMath>
      <w:r>
        <w:t xml:space="preserve">, superando con holgura al Canadian FWI (</w:t>
      </w:r>
      <m:oMath>
        <m:r>
          <m:t>0</m:t>
        </m:r>
        <m:r>
          <m:rPr>
            <m:sty m:val="p"/>
          </m:rPr>
          <m:t>,</m:t>
        </m:r>
        <m:r>
          <m:t>5432</m:t>
        </m:r>
      </m:oMath>
      <w:r>
        <w:t xml:space="preserve">) y al Proxy INPE (</w:t>
      </w:r>
      <m:oMath>
        <m:r>
          <m:t>0</m:t>
        </m:r>
        <m:r>
          <m:rPr>
            <m:sty m:val="p"/>
          </m:rPr>
          <m:t>,</m:t>
        </m:r>
        <m:r>
          <m:t>6457</m:t>
        </m:r>
      </m:oMath>
      <w:r>
        <w:t xml:space="preserve">), reduciendo las falsas alarmas de más de 750 a solo 3 falsos positivos.</w:t>
      </w:r>
    </w:p>
    <w:p>
      <w:pPr>
        <w:pStyle w:val="BodyText"/>
      </w:pPr>
      <w:r>
        <w:t xml:space="preserve">La comparación gráfica exhaustiva de las curvas ROC y Precision-Recall frente al Canadian FWI y al INPE Risco de Fogo se expone en la</w:t>
      </w:r>
      <w:r>
        <w:t xml:space="preserve"> </w:t>
      </w:r>
      <w:hyperlink w:anchor="fig-benchmark-curvas">
        <w:r>
          <w:rPr>
            <w:rStyle w:val="Hyperlink"/>
          </w:rPr>
          <w:t xml:space="preserve">Figura 4</w:t>
        </w:r>
      </w:hyperlink>
      <w:r>
        <w:t xml:space="preserve">, destacando la marcada divergencia en la fracción de positivos verdaderos identificados.</w:t>
      </w:r>
    </w:p>
    <w:tbl>
      <w:tblPr>
        <w:tblStyle w:val="Table"/>
        <w:tblW w:type="pct" w:w="5000"/>
        <w:tblLayout w:type="fixed"/>
        <w:tblLook w:firstRow="0" w:lastRow="0" w:firstColumn="0" w:lastColumn="0" w:noHBand="0" w:noVBand="0" w:val="0000"/>
      </w:tblPr>
      <w:tblGrid>
        <w:gridCol w:w="7920"/>
      </w:tblGrid>
      <w:tr>
        <w:tc>
          <w:tcPr/>
          <w:bookmarkStart w:id="57" w:name="fig-benchmark-curvas"/>
          <w:p>
            <w:pPr>
              <w:pStyle w:val="Compact"/>
              <w:jc w:val="center"/>
            </w:pPr>
            <w:r>
              <w:drawing>
                <wp:inline>
                  <wp:extent cx="5334000" cy="4191000"/>
                  <wp:effectExtent b="0" l="0" r="0" t="0"/>
                  <wp:docPr descr="" title="" id="55" name="Picture"/>
                  <a:graphic>
                    <a:graphicData uri="http://schemas.openxmlformats.org/drawingml/2006/picture">
                      <pic:pic>
                        <pic:nvPicPr>
                          <pic:cNvPr descr="figuras/fig05_benchmarking_curvas_roc_pr.png" id="56" name="Picture"/>
                          <pic:cNvPicPr>
                            <a:picLocks noChangeArrowheads="1" noChangeAspect="1"/>
                          </pic:cNvPicPr>
                        </pic:nvPicPr>
                        <pic:blipFill>
                          <a:blip r:embed="rId54"/>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Benchmarking comparativo internacional frente a los sistemas canónicos en el conjunto de prueba ciego: Curvas ROC y Precision-Recall contrastando</w:t>
            </w:r>
            <w:r>
              <w:t xml:space="preserve"> </w:t>
            </w:r>
            <w:r>
              <w:rPr>
                <w:rStyle w:val="VerbatimChar"/>
              </w:rPr>
              <w:t xml:space="preserve">Incendios_PY</w:t>
            </w:r>
            <w:r>
              <w:t xml:space="preserve"> </w:t>
            </w:r>
            <w:r>
              <w:t xml:space="preserve">frente al Canadian FWI (EFFIS/GWIS), INPE Risco de Fogo y la línea base climatológica nula en ambas macro-regiones.</w:t>
            </w:r>
          </w:p>
          <w:bookmarkEnd w:id="57"/>
        </w:tc>
      </w:tr>
    </w:tbl>
    <w:bookmarkEnd w:id="58"/>
    <w:bookmarkStart w:id="64"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de ignición primaria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4</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59" w:name="tbl-shap"/>
          <w:p>
            <w:pPr>
              <w:jc w:val="center"/>
            </w:pPr>
            <w:pPr>
              <w:jc w:val="left"/>
              <w:spacing w:before="200"/>
              <w:pStyle w:val="ImageCaption"/>
            </w:pPr>
            <w:r>
              <w:t xml:space="preserve">Tabla 4: Ranking de importancia biofísica global según valores medios absolutos TreeSHAP (</w:t>
            </w:r>
            <m:oMath>
              <m:r>
                <m:rPr>
                  <m:sty m:val="p"/>
                </m:rPr>
                <m:t>|</m:t>
              </m:r>
              <m:r>
                <m:rPr>
                  <m:nor/>
                  <m:sty m:val="p"/>
                </m:rPr>
                <m:t>SHAP</m:t>
              </m:r>
              <m:r>
                <m:rPr>
                  <m:sty m:val="p"/>
                </m:rPr>
                <m:t>|</m:t>
              </m:r>
            </m:oMath>
            <w:r>
              <w:t xml:space="preserve">) obtenidos con</w:t>
            </w:r>
            <w:r>
              <w:t xml:space="preserve"> </w:t>
            </w:r>
            <w:r>
              <w:rPr>
                <w:rStyle w:val="VerbatimChar"/>
              </w:rPr>
              <w:t xml:space="preserve">scripts/08_analisis_shap.py</w:t>
            </w:r>
            <w: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center"/>
                    <w:jc w:val="center"/>
                  </w:pPr>
                  <w:r>
                    <w:rPr>
                      <w:b/>
                      <w:bCs/>
                    </w:rPr>
                    <w:t xml:space="preserve">1</w:t>
                  </w:r>
                </w:p>
              </w:tc>
              <w:tc>
                <w:tcPr/>
                <w:p>
                  <w:pPr>
                    <w:pStyle w:val="Compact"/>
                    <w:jc w:val="left"/>
                    <w:jc w:val="center"/>
                  </w:pPr>
                  <w:r>
                    <w:t xml:space="preserve">Déficit de Presión de Vapor (</w:t>
                  </w:r>
                  <m:oMath>
                    <m:r>
                      <m:t>V</m:t>
                    </m:r>
                    <m:r>
                      <m:t>P</m:t>
                    </m:r>
                    <m:sSub>
                      <m:e>
                        <m:r>
                          <m:t>D</m:t>
                        </m:r>
                      </m:e>
                      <m:sub>
                        <m:r>
                          <m:rPr>
                            <m:nor/>
                            <m:sty m:val="p"/>
                          </m:rPr>
                          <m:t>max</m:t>
                        </m:r>
                      </m:sub>
                    </m:sSub>
                  </m:oMath>
                  <w:r>
                    <w:t xml:space="preserve">) [</w:t>
                  </w:r>
                  <m:oMath>
                    <m:r>
                      <m:t>0</m:t>
                    </m:r>
                    <m:r>
                      <m:rPr>
                        <m:sty m:val="p"/>
                      </m:rPr>
                      <m:t>,</m:t>
                    </m:r>
                    <m:r>
                      <m:t>145</m:t>
                    </m:r>
                  </m:oMath>
                  <w:r>
                    <w:t xml:space="preserve">]</w:t>
                  </w:r>
                </w:p>
              </w:tc>
              <w:tc>
                <w:tcPr/>
                <w:p>
                  <w:pPr>
                    <w:pStyle w:val="Compact"/>
                    <w:jc w:val="left"/>
                    <w:jc w:val="center"/>
                  </w:pPr>
                  <w:r>
                    <w:t xml:space="preserve">Humedad de Combustible Fino (</w:t>
                  </w:r>
                  <m:oMath>
                    <m:r>
                      <m:t>F</m:t>
                    </m:r>
                    <m:r>
                      <m:t>F</m:t>
                    </m:r>
                    <m:r>
                      <m:t>M</m:t>
                    </m:r>
                    <m:r>
                      <m:t>C</m:t>
                    </m:r>
                  </m:oMath>
                  <w:r>
                    <w:t xml:space="preserve">) [</w:t>
                  </w:r>
                  <m:oMath>
                    <m:r>
                      <m:t>0</m:t>
                    </m:r>
                    <m:r>
                      <m:rPr>
                        <m:sty m:val="p"/>
                      </m:rPr>
                      <m:t>,</m:t>
                    </m:r>
                    <m:r>
                      <m:t>221</m:t>
                    </m:r>
                  </m:oMath>
                  <w:r>
                    <w:t xml:space="preserve">]</w:t>
                  </w:r>
                </w:p>
              </w:tc>
            </w:tr>
            <w:tr>
              <w:tc>
                <w:tcPr/>
                <w:p>
                  <w:pPr>
                    <w:pStyle w:val="Compact"/>
                    <w:jc w:val="center"/>
                    <w:jc w:val="center"/>
                  </w:pPr>
                  <w:r>
                    <w:rPr>
                      <w:b/>
                      <w:bCs/>
                    </w:rPr>
                    <w:t xml:space="preserve">2</w:t>
                  </w:r>
                </w:p>
              </w:tc>
              <w:tc>
                <w:tcPr/>
                <w:p>
                  <w:pPr>
                    <w:pStyle w:val="Compact"/>
                    <w:jc w:val="left"/>
                    <w:jc w:val="center"/>
                  </w:pPr>
                  <w:r>
                    <w:t xml:space="preserve">Índice Propagación Inicial FWI (</w:t>
                  </w:r>
                  <m:oMath>
                    <m:r>
                      <m:t>I</m:t>
                    </m:r>
                    <m:r>
                      <m:t>S</m:t>
                    </m:r>
                    <m:r>
                      <m:t>I</m:t>
                    </m:r>
                  </m:oMath>
                  <w:r>
                    <w:t xml:space="preserve">) [</w:t>
                  </w:r>
                  <m:oMath>
                    <m:r>
                      <m:t>0</m:t>
                    </m:r>
                    <m:r>
                      <m:rPr>
                        <m:sty m:val="p"/>
                      </m:rPr>
                      <m:t>,</m:t>
                    </m:r>
                    <m:r>
                      <m:t>082</m:t>
                    </m:r>
                  </m:oMath>
                  <w:r>
                    <w:t xml:space="preserve">]</w:t>
                  </w:r>
                </w:p>
              </w:tc>
              <w:tc>
                <w:tcPr/>
                <w:p>
                  <w:pPr>
                    <w:pStyle w:val="Compact"/>
                    <w:jc w:val="left"/>
                    <w:jc w:val="center"/>
                  </w:pPr>
                  <w:r>
                    <w:t xml:space="preserve">Rango Térmico Diario (</w:t>
                  </w:r>
                  <m:oMath>
                    <m:sSub>
                      <m:e>
                        <m:r>
                          <m:t>T</m:t>
                        </m:r>
                      </m:e>
                      <m:sub>
                        <m:r>
                          <m:rPr>
                            <m:nor/>
                            <m:sty m:val="p"/>
                          </m:rPr>
                          <m:t>max</m:t>
                        </m:r>
                      </m:sub>
                    </m:sSub>
                    <m:r>
                      <m:rPr>
                        <m:sty m:val="p"/>
                      </m:rPr>
                      <m:t>−</m:t>
                    </m:r>
                    <m:sSub>
                      <m:e>
                        <m:r>
                          <m:t>T</m:t>
                        </m:r>
                      </m:e>
                      <m:sub>
                        <m:r>
                          <m:rPr>
                            <m:nor/>
                            <m:sty m:val="p"/>
                          </m:rPr>
                          <m:t>min</m:t>
                        </m:r>
                      </m:sub>
                    </m:sSub>
                  </m:oMath>
                  <w:r>
                    <w:t xml:space="preserve">) [</w:t>
                  </w:r>
                  <m:oMath>
                    <m:r>
                      <m:t>0</m:t>
                    </m:r>
                    <m:r>
                      <m:rPr>
                        <m:sty m:val="p"/>
                      </m:rPr>
                      <m:t>,</m:t>
                    </m:r>
                    <m:r>
                      <m:t>172</m:t>
                    </m:r>
                  </m:oMath>
                  <w:r>
                    <w:t xml:space="preserve">]</w:t>
                  </w:r>
                </w:p>
              </w:tc>
            </w:tr>
            <w:tr>
              <w:tc>
                <w:tcPr/>
                <w:p>
                  <w:pPr>
                    <w:pStyle w:val="Compact"/>
                    <w:jc w:val="center"/>
                    <w:jc w:val="center"/>
                  </w:pPr>
                  <w:r>
                    <w:rPr>
                      <w:b/>
                      <w:bCs/>
                    </w:rPr>
                    <w:t xml:space="preserve">3</w:t>
                  </w:r>
                </w:p>
              </w:tc>
              <w:tc>
                <w:tcPr/>
                <w:p>
                  <w:pPr>
                    <w:pStyle w:val="Compact"/>
                    <w:jc w:val="left"/>
                    <w:jc w:val="center"/>
                  </w:pPr>
                  <w:r>
                    <w:t xml:space="preserve">Humedad de Combustible Fino (</w:t>
                  </w:r>
                  <m:oMath>
                    <m:r>
                      <m:t>F</m:t>
                    </m:r>
                    <m:r>
                      <m:t>F</m:t>
                    </m:r>
                    <m:r>
                      <m:t>M</m:t>
                    </m:r>
                    <m:r>
                      <m:t>C</m:t>
                    </m:r>
                  </m:oMath>
                  <w:r>
                    <w:t xml:space="preserve">) [</w:t>
                  </w:r>
                  <m:oMath>
                    <m:r>
                      <m:t>0</m:t>
                    </m:r>
                    <m:r>
                      <m:rPr>
                        <m:sty m:val="p"/>
                      </m:rPr>
                      <m:t>,</m:t>
                    </m:r>
                    <m:r>
                      <m:t>078</m:t>
                    </m:r>
                  </m:oMath>
                  <w:r>
                    <w:t xml:space="preserve">]</w:t>
                  </w:r>
                </w:p>
              </w:tc>
              <w:tc>
                <w:tcPr/>
                <w:p>
                  <w:pPr>
                    <w:pStyle w:val="Compact"/>
                    <w:jc w:val="left"/>
                    <w:jc w:val="center"/>
                  </w:pPr>
                  <w:r>
                    <w:t xml:space="preserve">Déficit Hídrico Acumulado (</w:t>
                  </w:r>
                  <m:oMath>
                    <m:r>
                      <m:t>V</m:t>
                    </m:r>
                    <m:r>
                      <m:t>P</m:t>
                    </m:r>
                    <m:r>
                      <m:t>D</m:t>
                    </m:r>
                    <m:r>
                      <m:rPr>
                        <m:sty m:val="p"/>
                      </m:rPr>
                      <m:t>×</m:t>
                    </m:r>
                    <m:r>
                      <m:t>C</m:t>
                    </m:r>
                    <m:r>
                      <m:t>D</m:t>
                    </m:r>
                    <m:r>
                      <m:t>D</m:t>
                    </m:r>
                  </m:oMath>
                  <w:r>
                    <w:t xml:space="preserve">) [</w:t>
                  </w:r>
                  <m:oMath>
                    <m:r>
                      <m:t>0</m:t>
                    </m:r>
                    <m:r>
                      <m:rPr>
                        <m:sty m:val="p"/>
                      </m:rPr>
                      <m:t>,</m:t>
                    </m:r>
                    <m:r>
                      <m:t>145</m:t>
                    </m:r>
                  </m:oMath>
                  <w:r>
                    <w:t xml:space="preserve">]</w:t>
                  </w:r>
                </w:p>
              </w:tc>
            </w:tr>
            <w:tr>
              <w:tc>
                <w:tcPr/>
                <w:p>
                  <w:pPr>
                    <w:pStyle w:val="Compact"/>
                    <w:jc w:val="center"/>
                    <w:jc w:val="center"/>
                  </w:pPr>
                  <w:r>
                    <w:rPr>
                      <w:b/>
                      <w:bCs/>
                    </w:rPr>
                    <w:t xml:space="preserve">4</w:t>
                  </w:r>
                </w:p>
              </w:tc>
              <w:tc>
                <w:tcPr/>
                <w:p>
                  <w:pPr>
                    <w:pStyle w:val="Compact"/>
                    <w:jc w:val="left"/>
                    <w:jc w:val="center"/>
                  </w:pPr>
                  <w:r>
                    <w:t xml:space="preserve">Velocidad Máxima del Viento (</w:t>
                  </w:r>
                  <m:oMath>
                    <m:sSub>
                      <m:e>
                        <m:r>
                          <m:t>V</m:t>
                        </m:r>
                      </m:e>
                      <m:sub>
                        <m:r>
                          <m:rPr>
                            <m:nor/>
                            <m:sty m:val="p"/>
                          </m:rPr>
                          <m:t>viento</m:t>
                        </m:r>
                      </m:sub>
                    </m:sSub>
                  </m:oMath>
                  <w:r>
                    <w:t xml:space="preserve">) [</w:t>
                  </w:r>
                  <m:oMath>
                    <m:r>
                      <m:t>0</m:t>
                    </m:r>
                    <m:r>
                      <m:rPr>
                        <m:sty m:val="p"/>
                      </m:rPr>
                      <m:t>,</m:t>
                    </m:r>
                    <m:r>
                      <m:t>069</m:t>
                    </m:r>
                  </m:oMath>
                  <w:r>
                    <w:t xml:space="preserve">]</w:t>
                  </w:r>
                </w:p>
              </w:tc>
              <w:tc>
                <w:tcPr/>
                <w:p>
                  <w:pPr>
                    <w:pStyle w:val="Compact"/>
                    <w:jc w:val="left"/>
                    <w:jc w:val="center"/>
                  </w:pPr>
                  <w:r>
                    <w:t xml:space="preserve">Precipitación Diaria (</w:t>
                  </w:r>
                  <m:oMath>
                    <m:sSub>
                      <m:e>
                        <m:r>
                          <m:t>P</m:t>
                        </m:r>
                      </m:e>
                      <m:sub>
                        <m:r>
                          <m:rPr>
                            <m:nor/>
                            <m:sty m:val="p"/>
                          </m:rPr>
                          <m:t>dia</m:t>
                        </m:r>
                      </m:sub>
                    </m:sSub>
                  </m:oMath>
                  <w:r>
                    <w:t xml:space="preserve">) [</w:t>
                  </w:r>
                  <m:oMath>
                    <m:r>
                      <m:t>0</m:t>
                    </m:r>
                    <m:r>
                      <m:rPr>
                        <m:sty m:val="p"/>
                      </m:rPr>
                      <m:t>,</m:t>
                    </m:r>
                    <m:r>
                      <m:t>123</m:t>
                    </m:r>
                  </m:oMath>
                  <w:r>
                    <w:t xml:space="preserve">]</w:t>
                  </w:r>
                </w:p>
              </w:tc>
            </w:tr>
            <w:tr>
              <w:tc>
                <w:tcPr/>
                <w:p>
                  <w:pPr>
                    <w:pStyle w:val="Compact"/>
                    <w:jc w:val="center"/>
                    <w:jc w:val="center"/>
                  </w:pPr>
                  <w:r>
                    <w:rPr>
                      <w:b/>
                      <w:bCs/>
                    </w:rPr>
                    <w:t xml:space="preserve">5</w:t>
                  </w:r>
                </w:p>
              </w:tc>
              <w:tc>
                <w:tcPr/>
                <w:p>
                  <w:pPr>
                    <w:pStyle w:val="Compact"/>
                    <w:jc w:val="left"/>
                    <w:jc w:val="center"/>
                  </w:pPr>
                  <w:r>
                    <w:t xml:space="preserve">Ráfaga Máxima de Viento (</w:t>
                  </w:r>
                  <m:oMath>
                    <m:sSub>
                      <m:e>
                        <m:r>
                          <m:t>V</m:t>
                        </m:r>
                      </m:e>
                      <m:sub>
                        <m:r>
                          <m:rPr>
                            <m:nor/>
                            <m:sty m:val="p"/>
                          </m:rPr>
                          <m:t>ráfaga</m:t>
                        </m:r>
                      </m:sub>
                    </m:sSub>
                  </m:oMath>
                  <w:r>
                    <w:t xml:space="preserve">) [</w:t>
                  </w:r>
                  <m:oMath>
                    <m:r>
                      <m:t>0</m:t>
                    </m:r>
                    <m:r>
                      <m:rPr>
                        <m:sty m:val="p"/>
                      </m:rPr>
                      <m:t>,</m:t>
                    </m:r>
                    <m:r>
                      <m:t>068</m:t>
                    </m:r>
                  </m:oMath>
                  <w:r>
                    <w:t xml:space="preserve">]</w:t>
                  </w:r>
                </w:p>
              </w:tc>
              <w:tc>
                <w:tcPr/>
                <w:p>
                  <w:pPr>
                    <w:pStyle w:val="Compact"/>
                    <w:jc w:val="left"/>
                    <w:jc w:val="center"/>
                  </w:pPr>
                  <w:r>
                    <w:t xml:space="preserve">Índice Propagación Inicial FWI (</w:t>
                  </w:r>
                  <m:oMath>
                    <m:r>
                      <m:t>I</m:t>
                    </m:r>
                    <m:r>
                      <m:t>S</m:t>
                    </m:r>
                    <m:r>
                      <m:t>I</m:t>
                    </m:r>
                  </m:oMath>
                  <w:r>
                    <w:t xml:space="preserve">) [</w:t>
                  </w:r>
                  <m:oMath>
                    <m:r>
                      <m:t>0</m:t>
                    </m:r>
                    <m:r>
                      <m:rPr>
                        <m:sty m:val="p"/>
                      </m:rPr>
                      <m:t>,</m:t>
                    </m:r>
                    <m:r>
                      <m:t>121</m:t>
                    </m:r>
                  </m:oMath>
                  <w:r>
                    <w:t xml:space="preserve">]</w:t>
                  </w:r>
                </w:p>
              </w:tc>
            </w:tr>
          </w:tbl>
          <w:bookmarkEnd w:id="59"/>
          <w:p/>
        </w:tc>
      </w:tr>
    </w:tbl>
    <w:p>
      <w:pPr>
        <w:pStyle w:val="BodyText"/>
      </w:pPr>
      <w:r>
        <w:t xml:space="preserve">En el</w:t>
      </w:r>
      <w:r>
        <w:t xml:space="preserve"> </w:t>
      </w:r>
      <w:r>
        <w:rPr>
          <w:b/>
          <w:bCs/>
        </w:rPr>
        <w:t xml:space="preserve">Chaco</w:t>
      </w:r>
      <w:r>
        <w:t xml:space="preserve">, el factor determinante es el</w:t>
      </w:r>
      <w:r>
        <w:t xml:space="preserve"> </w:t>
      </w:r>
      <w:r>
        <w:rPr>
          <w:b/>
          <w:bCs/>
        </w:rPr>
        <w:t xml:space="preserve">Déficit de Presión de Vapor</w:t>
      </w:r>
      <w:r>
        <w:t xml:space="preserve"> </w:t>
      </w:r>
      <w:r>
        <w:t xml:space="preserve">(</w:t>
      </w:r>
      <m:oMath>
        <m:r>
          <m:t>V</m:t>
        </m:r>
        <m:r>
          <m:t>P</m:t>
        </m:r>
        <m:sSub>
          <m:e>
            <m:r>
              <m:t>D</m:t>
            </m:r>
          </m:e>
          <m:sub>
            <m:r>
              <m:rPr>
                <m:nor/>
                <m:sty m:val="p"/>
              </m:rPr>
              <m:t>max</m:t>
            </m:r>
          </m:sub>
        </m:sSub>
      </m:oMath>
      <w:r>
        <w:t xml:space="preserve"> </w:t>
      </w:r>
      <w:r>
        <w:t xml:space="preserve">con</w:t>
      </w:r>
      <w:r>
        <w:t xml:space="preserve"> </w:t>
      </w:r>
      <m:oMath>
        <m:r>
          <m:rPr>
            <m:sty m:val="p"/>
          </m:rPr>
          <m:t>|</m:t>
        </m:r>
        <m:r>
          <m:rPr>
            <m:nor/>
            <m:sty m:val="p"/>
          </m:rPr>
          <m:t>SHAP</m:t>
        </m:r>
        <m:r>
          <m:rPr>
            <m:sty m:val="p"/>
          </m:rPr>
          <m:t>|</m:t>
        </m:r>
        <m:r>
          <m:rPr>
            <m:sty m:val="p"/>
          </m:rPr>
          <m:t>=</m:t>
        </m:r>
        <m:r>
          <m:t>0</m:t>
        </m:r>
        <m:r>
          <m:rPr>
            <m:sty m:val="p"/>
          </m:rPr>
          <m:t>,</m:t>
        </m:r>
        <m:r>
          <m:t>145</m:t>
        </m:r>
      </m:oMath>
      <w:r>
        <w:t xml:space="preserve">), superando ampliamente a los demás predictores y confirmando que la desecación extrema del aire es la condición sine qua non para el fuego en este bioma, seguido por el índice de propagación inicial (</w:t>
      </w:r>
      <m:oMath>
        <m:r>
          <m:t>I</m:t>
        </m:r>
        <m:r>
          <m:t>S</m:t>
        </m:r>
        <m:r>
          <m:t>I</m:t>
        </m:r>
      </m:oMath>
      <w:r>
        <w:t xml:space="preserve">), la humedad foliar (</w:t>
      </w:r>
      <m:oMath>
        <m:r>
          <m:t>F</m:t>
        </m:r>
        <m:r>
          <m:t>F</m:t>
        </m:r>
        <m:r>
          <m:t>M</m:t>
        </m:r>
        <m:r>
          <m:t>C</m:t>
        </m:r>
      </m:oMath>
      <w:r>
        <w:t xml:space="preserve">) y los forzantes de viento.</w:t>
      </w:r>
    </w:p>
    <w:p>
      <w:pPr>
        <w:pStyle w:val="BodyText"/>
      </w:pPr>
      <w:r>
        <w:t xml:space="preserve">En contraste, en la</w:t>
      </w:r>
      <w:r>
        <w:t xml:space="preserve"> </w:t>
      </w:r>
      <w:r>
        <w:rPr>
          <w:b/>
          <w:bCs/>
        </w:rPr>
        <w:t xml:space="preserve">Región Oriental</w:t>
      </w:r>
      <w:r>
        <w:t xml:space="preserve">, el motor principal es el</w:t>
      </w:r>
      <w:r>
        <w:t xml:space="preserve"> </w:t>
      </w:r>
      <w:r>
        <w:rPr>
          <w:b/>
          <w:bCs/>
        </w:rPr>
        <w:t xml:space="preserve">FFMC</w:t>
      </w:r>
      <w:r>
        <w:t xml:space="preserve"> </w:t>
      </w:r>
      <w:r>
        <w:t xml:space="preserve">(</w:t>
      </w:r>
      <m:oMath>
        <m:r>
          <m:rPr>
            <m:sty m:val="p"/>
          </m:rPr>
          <m:t>|</m:t>
        </m:r>
        <m:r>
          <m:rPr>
            <m:nor/>
            <m:sty m:val="p"/>
          </m:rPr>
          <m:t>SHAP</m:t>
        </m:r>
        <m:r>
          <m:rPr>
            <m:sty m:val="p"/>
          </m:rPr>
          <m:t>|</m:t>
        </m:r>
        <m:r>
          <m:rPr>
            <m:sty m:val="p"/>
          </m:rPr>
          <m:t>=</m:t>
        </m:r>
        <m:r>
          <m:t>0</m:t>
        </m:r>
        <m:r>
          <m:rPr>
            <m:sty m:val="p"/>
          </m:rPr>
          <m:t>,</m:t>
        </m:r>
        <m:r>
          <m:t>221</m:t>
        </m:r>
      </m:oMath>
      <w:r>
        <w:t xml:space="preserve">), seguido del</w:t>
      </w:r>
      <w:r>
        <w:t xml:space="preserve"> </w:t>
      </w:r>
      <w:r>
        <w:rPr>
          <w:b/>
          <w:bCs/>
        </w:rPr>
        <w:t xml:space="preserve">rango térmico intradiario</w:t>
      </w:r>
      <w:r>
        <w:t xml:space="preserve"> </w:t>
      </w:r>
      <w:r>
        <w:t xml:space="preserve">(</w:t>
      </w:r>
      <m:oMath>
        <m:r>
          <m:t>0</m:t>
        </m:r>
        <m:r>
          <m:rPr>
            <m:sty m:val="p"/>
          </m:rPr>
          <m:t>,</m:t>
        </m:r>
        <m:r>
          <m:t>172</m:t>
        </m:r>
      </m:oMath>
      <w:r>
        <w:t xml:space="preserve">) y el</w:t>
      </w:r>
      <w:r>
        <w:t xml:space="preserve"> </w:t>
      </w:r>
      <w:r>
        <w:rPr>
          <w:b/>
          <w:bCs/>
        </w:rPr>
        <w:t xml:space="preserve">déficit hídrico acumulado</w:t>
      </w:r>
      <w:r>
        <w:t xml:space="preserve"> </w:t>
      </w:r>
      <w:r>
        <w:t xml:space="preserve">(</w:t>
      </w:r>
      <m:oMath>
        <m:r>
          <m:t>0</m:t>
        </m:r>
        <m:r>
          <m:rPr>
            <m:sty m:val="p"/>
          </m:rPr>
          <m:t>,</m:t>
        </m:r>
        <m:r>
          <m:t>145</m:t>
        </m:r>
      </m:oMath>
      <w:r>
        <w:t xml:space="preserve">). La amplitud térmica actúa como indicador de cielos despejados e insolación solar intensa que deseca los pastizales implantados en zonas de frontera agrícola.</w:t>
      </w:r>
    </w:p>
    <w:p>
      <w:pPr>
        <w:pStyle w:val="BodyText"/>
      </w:pPr>
      <w:r>
        <w:t xml:space="preserve">La descomposición visual de la explicabilidad del ensamble mediante diagramas de dispersión de densidad TreeSHAP (</w:t>
      </w:r>
      <w:r>
        <w:rPr>
          <w:i/>
          <w:iCs/>
        </w:rPr>
        <w:t xml:space="preserve">beeswarm plots</w:t>
      </w:r>
      <w:r>
        <w:t xml:space="preserve">) se expone en la</w:t>
      </w:r>
      <w:r>
        <w:t xml:space="preserve"> </w:t>
      </w:r>
      <w:hyperlink w:anchor="fig-shap">
        <w:r>
          <w:rPr>
            <w:rStyle w:val="Hyperlink"/>
          </w:rPr>
          <w:t xml:space="preserve">Figura 5</w:t>
        </w:r>
      </w:hyperlink>
      <w:r>
        <w:t xml:space="preserve">, revelando cómo el gradiente de cada variable incide positiva o negativamente en el logit de ignición.</w:t>
      </w:r>
    </w:p>
    <w:tbl>
      <w:tblPr>
        <w:tblStyle w:val="Table"/>
        <w:tblW w:type="pct" w:w="5000"/>
        <w:tblLayout w:type="fixed"/>
        <w:tblLook w:firstRow="0" w:lastRow="0" w:firstColumn="0" w:lastColumn="0" w:noHBand="0" w:noVBand="0" w:val="0000"/>
      </w:tblPr>
      <w:tblGrid>
        <w:gridCol w:w="7920"/>
      </w:tblGrid>
      <w:tr>
        <w:tc>
          <w:tcPr/>
          <w:bookmarkStart w:id="63" w:name="fig-shap"/>
          <w:p>
            <w:pPr>
              <w:pStyle w:val="Compact"/>
              <w:jc w:val="center"/>
            </w:pPr>
            <w:r>
              <w:drawing>
                <wp:inline>
                  <wp:extent cx="5334000" cy="2333624"/>
                  <wp:effectExtent b="0" l="0" r="0" t="0"/>
                  <wp:docPr descr="" title="" id="61" name="Picture"/>
                  <a:graphic>
                    <a:graphicData uri="http://schemas.openxmlformats.org/drawingml/2006/picture">
                      <pic:pic>
                        <pic:nvPicPr>
                          <pic:cNvPr descr="figuras/fig04_shap_comparativa_chaco_vs_oriental.png" id="62" name="Picture"/>
                          <pic:cNvPicPr>
                            <a:picLocks noChangeArrowheads="1" noChangeAspect="1"/>
                          </pic:cNvPicPr>
                        </pic:nvPicPr>
                        <pic:blipFill>
                          <a:blip r:embed="rId60"/>
                          <a:stretch>
                            <a:fillRect/>
                          </a:stretch>
                        </pic:blipFill>
                        <pic:spPr bwMode="auto">
                          <a:xfrm>
                            <a:off x="0" y="0"/>
                            <a:ext cx="5334000" cy="2333624"/>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Explicabilidad biofísica global mediante descomposiciones TreeSHAP: Distribución de valores Shapley para las 10 características más relevantes en el Chaco semiárido (panel superior) y en la Región Oriental (panel inferior), donde cada punto representa una celda del conjunto ciego coloreada por el valor normalizado de la variable.</w:t>
            </w:r>
          </w:p>
          <w:bookmarkEnd w:id="63"/>
        </w:tc>
      </w:tr>
    </w:tbl>
    <w:bookmarkEnd w:id="64"/>
    <w:bookmarkStart w:id="70" w:name="Xd400fc78ef45af2831f753f6a1c6cdfdf24e979"/>
    <w:p>
      <w:pPr>
        <w:pStyle w:val="Heading2"/>
      </w:pPr>
      <w:r>
        <w:t xml:space="preserve">5.4 5.4 Evaluación de Latencia y Rendimiento en Tiempo Real</w:t>
      </w:r>
    </w:p>
    <w:p>
      <w:pPr>
        <w:pStyle w:val="FirstParagraph"/>
      </w:pPr>
      <w:r>
        <w:t xml:space="preserve">El servicio automatizado de alerta (</w:t>
      </w:r>
      <w:hyperlink r:id="rId65">
        <w:r>
          <w:rPr>
            <w:rStyle w:val="VerbatimChar"/>
          </w:rPr>
          <w:t xml:space="preserve">src/alerta.py</w:t>
        </w:r>
      </w:hyperlink>
      <w:r>
        <w:t xml:space="preserve">) se evaluó mediante pruebas de estrés sobre la totalidad del país (</w:t>
      </w:r>
      <m:oMath>
        <m:r>
          <m:t>400.006</m:t>
        </m:r>
      </m:oMath>
      <w:r>
        <w:t xml:space="preserve"> </w:t>
      </w:r>
      <w:r>
        <w:t xml:space="preserve">celdas):</w:t>
      </w:r>
      <w:r>
        <w:t xml:space="preserve"> </w:t>
      </w:r>
      <w:r>
        <w:t xml:space="preserve">-</w:t>
      </w:r>
      <w:r>
        <w:t xml:space="preserve"> </w:t>
      </w:r>
      <w:r>
        <w:rPr>
          <w:b/>
          <w:bCs/>
        </w:rPr>
        <w:t xml:space="preserve">Carga de datos y grilla</w:t>
      </w:r>
      <w:r>
        <w:rPr>
          <w:b/>
          <w:bCs/>
        </w:rPr>
        <w:t xml:space="preserve"> </w:t>
      </w:r>
      <m:oMath>
        <m:r>
          <m:t>O</m:t>
        </m:r>
        <m:r>
          <m:rPr>
            <m:sty m:val="p"/>
          </m:rPr>
          <m:t>(</m:t>
        </m:r>
        <m:r>
          <m:t>1</m:t>
        </m:r>
        <m:r>
          <m:rPr>
            <m:sty m:val="p"/>
          </m:rPr>
          <m:t>)</m:t>
        </m:r>
      </m:oMath>
      <w:r>
        <w:rPr>
          <w:b/>
          <w:bCs/>
        </w:rPr>
        <w:t xml:space="preserve">:</w:t>
      </w:r>
      <w:r>
        <w:t xml:space="preserve"> </w:t>
      </w:r>
      <m:oMath>
        <m:r>
          <m:t>0</m:t>
        </m:r>
        <m:r>
          <m:rPr>
            <m:sty m:val="p"/>
          </m:rPr>
          <m:t>,</m:t>
        </m:r>
        <m:r>
          <m:t>15</m:t>
        </m:r>
        <m:r>
          <m:rPr>
            <m:nor/>
            <m:sty m:val="p"/>
          </m:rPr>
          <m:t> s</m:t>
        </m:r>
      </m:oMath>
      <w:r>
        <w:t xml:space="preserve">.</w:t>
      </w:r>
      <w:r>
        <w:t xml:space="preserve"> </w:t>
      </w:r>
      <w:r>
        <w:t xml:space="preserve">-</w:t>
      </w:r>
      <w:r>
        <w:t xml:space="preserve"> </w:t>
      </w:r>
      <w:r>
        <w:rPr>
          <w:b/>
          <w:bCs/>
        </w:rPr>
        <w:t xml:space="preserve">Gating biofísico de primera etapa:</w:t>
      </w:r>
      <w:r>
        <w:t xml:space="preserve"> </w:t>
      </w:r>
      <m:oMath>
        <m:r>
          <m:t>0</m:t>
        </m:r>
        <m:r>
          <m:rPr>
            <m:sty m:val="p"/>
          </m:rPr>
          <m:t>,</m:t>
        </m:r>
        <m:r>
          <m:t>08</m:t>
        </m:r>
        <m:r>
          <m:rPr>
            <m:nor/>
            <m:sty m:val="p"/>
          </m:rPr>
          <m:t> s</m:t>
        </m:r>
      </m:oMath>
      <w:r>
        <w:t xml:space="preserve">.</w:t>
      </w:r>
      <w:r>
        <w:t xml:space="preserve"> </w:t>
      </w:r>
      <w:r>
        <w:t xml:space="preserve">-</w:t>
      </w:r>
      <w:r>
        <w:t xml:space="preserve"> </w:t>
      </w:r>
      <w:r>
        <w:rPr>
          <w:b/>
          <w:bCs/>
        </w:rPr>
        <w:t xml:space="preserve">Inferencia dual LightGBM (Ignición + Propagación):</w:t>
      </w:r>
      <w:r>
        <w:t xml:space="preserve"> </w:t>
      </w:r>
      <m:oMath>
        <m:r>
          <m:t>0</m:t>
        </m:r>
        <m:r>
          <m:rPr>
            <m:sty m:val="p"/>
          </m:rPr>
          <m:t>,</m:t>
        </m:r>
        <m:r>
          <m:t>42</m:t>
        </m:r>
        <m:r>
          <m:rPr>
            <m:nor/>
            <m:sty m:val="p"/>
          </m:rPr>
          <m:t> s</m:t>
        </m:r>
      </m:oMath>
      <w:r>
        <w:t xml:space="preserve">.</w:t>
      </w:r>
      <w:r>
        <w:t xml:space="preserve"> </w:t>
      </w:r>
      <w:r>
        <w:t xml:space="preserve">-</w:t>
      </w:r>
      <w:r>
        <w:t xml:space="preserve"> </w:t>
      </w:r>
      <w:r>
        <w:rPr>
          <w:b/>
          <w:bCs/>
        </w:rPr>
        <w:t xml:space="preserve">Exportación tabular y GeoTIFF nacional:</w:t>
      </w:r>
      <w:r>
        <w:t xml:space="preserve"> </w:t>
      </w:r>
      <m:oMath>
        <m:r>
          <m:t>0</m:t>
        </m:r>
        <m:r>
          <m:rPr>
            <m:sty m:val="p"/>
          </m:rPr>
          <m:t>,</m:t>
        </m:r>
        <m:r>
          <m:t>10</m:t>
        </m:r>
        <m:r>
          <m:rPr>
            <m:nor/>
            <m:sty m:val="p"/>
          </m:rPr>
          <m:t> s</m:t>
        </m:r>
      </m:oMath>
      <w:r>
        <w:t xml:space="preserve">.</w:t>
      </w:r>
      <w:r>
        <w:t xml:space="preserve"> </w:t>
      </w:r>
      <w:r>
        <w:t xml:space="preserve">-</w:t>
      </w:r>
      <w:r>
        <w:t xml:space="preserve"> </w:t>
      </w:r>
      <w:r>
        <w:rPr>
          <w:b/>
          <w:bCs/>
        </w:rPr>
        <w:t xml:space="preserve">Tiempo total de ejecución de punta a punta:</w:t>
      </w:r>
      <w:r>
        <w:t xml:space="preserve"> </w:t>
      </w:r>
      <m:oMath>
        <m:r>
          <m:t>0</m:t>
        </m:r>
        <m:r>
          <m:rPr>
            <m:sty m:val="p"/>
          </m:rPr>
          <m:t>,</m:t>
        </m:r>
        <m:r>
          <m:t>75</m:t>
        </m:r>
        <m:r>
          <m:rPr>
            <m:nor/>
            <m:sty m:val="p"/>
          </m:rPr>
          <m:t> segundos</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 La cartografía operativa resultante a resolución nacional de 1 km² se ilustra en la</w:t>
      </w:r>
      <w:r>
        <w:t xml:space="preserve"> </w:t>
      </w:r>
      <w:hyperlink w:anchor="fig-mapa-operativo">
        <w:r>
          <w:rPr>
            <w:rStyle w:val="Hyperlink"/>
          </w:rPr>
          <w:t xml:space="preserve">Figura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9" w:name="fig-mapa-operativo"/>
          <w:p>
            <w:pPr>
              <w:pStyle w:val="Compact"/>
              <w:jc w:val="center"/>
            </w:pPr>
            <w:r>
              <w:drawing>
                <wp:inline>
                  <wp:extent cx="4533900" cy="5037666"/>
                  <wp:effectExtent b="0" l="0" r="0" t="0"/>
                  <wp:docPr descr="" title="" id="67" name="Picture"/>
                  <a:graphic>
                    <a:graphicData uri="http://schemas.openxmlformats.org/drawingml/2006/picture">
                      <pic:pic>
                        <pic:nvPicPr>
                          <pic:cNvPr descr="figuras/fig03_mapa_riesgo_operativo_nacional.png" id="68" name="Picture"/>
                          <pic:cNvPicPr>
                            <a:picLocks noChangeArrowheads="1" noChangeAspect="1"/>
                          </pic:cNvPicPr>
                        </pic:nvPicPr>
                        <pic:blipFill>
                          <a:blip r:embed="rId66"/>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6: Cartografía de predicción del riesgo operativo de incendios a escala soberana (1 km²): Ejemplo del producto espacial nacional generado por el servicio diario</w:t>
            </w:r>
            <w:r>
              <w:t xml:space="preserve"> </w:t>
            </w:r>
            <w:r>
              <w:rPr>
                <w:rStyle w:val="VerbatimChar"/>
              </w:rPr>
              <w:t xml:space="preserve">Incendios_PY</w:t>
            </w:r>
            <w:r>
              <w:t xml:space="preserve">, integrando el índice de ignición física desacoplado y la probabilidad táctica de avance de fuego.</w:t>
            </w:r>
          </w:p>
          <w:bookmarkEnd w:id="69"/>
        </w:tc>
      </w:tr>
    </w:tbl>
    <w:p>
      <w:r>
        <w:pict>
          <v:rect style="width:0;height:1.5pt" o:hralign="center" o:hrstd="t" o:hr="t"/>
        </w:pict>
      </w:r>
    </w:p>
    <w:bookmarkEnd w:id="70"/>
    <w:bookmarkEnd w:id="71"/>
    <w:bookmarkStart w:id="76" w:name="discusión"/>
    <w:p>
      <w:pPr>
        <w:pStyle w:val="Heading1"/>
      </w:pPr>
      <w:r>
        <w:t xml:space="preserve">6. 6. Discusión</w:t>
      </w:r>
    </w:p>
    <w:bookmarkStart w:id="72" w:name="Xda889537f016710562802a3266606dcae09ed30"/>
    <w:p>
      <w:pPr>
        <w:pStyle w:val="Heading2"/>
      </w:pPr>
      <w:r>
        <w:t xml:space="preserve">6.1 6.1 Por qué Fallan los Índices Boreales Canónicos en el Gran Chaco</w:t>
      </w:r>
    </w:p>
    <w:p>
      <w:pPr>
        <w:pStyle w:val="FirstParagraph"/>
      </w:pPr>
      <w:r>
        <w:t xml:space="preserve">Nuestros hallazgos demuestran de forma concluyente que la adopción acrítica del</w:t>
      </w:r>
      <w:r>
        <w:t xml:space="preserve"> </w:t>
      </w:r>
      <w:r>
        <w:rPr>
          <w:b/>
          <w:bCs/>
        </w:rPr>
        <w:t xml:space="preserve">Canadian FWI</w:t>
      </w:r>
      <w:r>
        <w:t xml:space="preserve"> </w:t>
      </w:r>
      <w:r>
        <w:t xml:space="preserve">en Sudamérica genera fallas operativas graves. 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(Flannigan et al., 2009; Van Wagner, 1987)</w:t>
      </w:r>
      <w:r>
        <w:t xml:space="preserve">.</w:t>
      </w:r>
    </w:p>
    <w:p>
      <w:pPr>
        <w:pStyle w:val="BodyText"/>
      </w:pPr>
      <w:r>
        <w:t xml:space="preserve">En el Gran Chaco y en mosaicos ecológicos análogos del Cerrado y Pantanal</w:t>
      </w:r>
      <w:r>
        <w:t xml:space="preserve"> </w:t>
      </w:r>
      <w:r>
        <w:t xml:space="preserve">(Alvarado et al., 2018; Pivello et al., 2021)</w:t>
      </w:r>
      <w:r>
        <w:t xml:space="preserve">,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w:t>
      </w:r>
      <w:r>
        <w:t xml:space="preserve"> </w:t>
      </w:r>
      <w:r>
        <w:t xml:space="preserve">2. Las temperaturas extremas (</w:t>
      </w:r>
      <m:oMath>
        <m:r>
          <m:rPr>
            <m:sty m:val="p"/>
          </m:rPr>
          <m:t>&gt;</m:t>
        </m:r>
        <m:sSup>
          <m:e>
            <m:r>
              <m:t>40</m:t>
            </m:r>
          </m:e>
          <m:sup>
            <m:r>
              <m:rPr>
                <m:sty m:val="p"/>
              </m:rPr>
              <m:t>∘</m:t>
            </m:r>
          </m:sup>
        </m:sSup>
        <m:r>
          <m:rPr>
            <m:nor/>
            <m:sty m:val="p"/>
          </m:rPr>
          <m:t>C</m:t>
        </m:r>
      </m:oMath>
      <w:r>
        <w:t xml:space="preserve">) provocan una evaporación acelerada que los índices diarios tradicionales (calculados exclusivamente a las 12:00h locales) subestiman severamente al ignorar el ciclo diurno de la tarde.</w:t>
      </w:r>
      <w:r>
        <w:t xml:space="preserve"> </w:t>
      </w:r>
      <w:r>
        <w:t xml:space="preserve">3. El componente antrópico (quema deliberada de pasturas) se concentra en días donde el FWI aún reporta niveles</w:t>
      </w:r>
      <w:r>
        <w:t xml:space="preserve"> </w:t>
      </w:r>
      <w:r>
        <w:t xml:space="preserve">“moderados”</w:t>
      </w:r>
      <w:r>
        <w:t xml:space="preserve"> </w:t>
      </w:r>
      <w:r>
        <w:t xml:space="preserve">de peligro, provocando que los sistemas oficiales basados en FWI emitan alertas tardías.</w:t>
      </w:r>
    </w:p>
    <w:bookmarkEnd w:id="72"/>
    <w:bookmarkStart w:id="73" w:name="Xe143504139dc7344e78637b6380bb48516f1da7"/>
    <w:p>
      <w:pPr>
        <w:pStyle w:val="Heading2"/>
      </w:pPr>
      <w:r>
        <w:t xml:space="preserve">6.2 6.2 El Valor Científico del Desacoplamiento Honesto</w:t>
      </w:r>
    </w:p>
    <w:p>
      <w:pPr>
        <w:pStyle w:val="FirstParagraph"/>
      </w:pPr>
      <w:r>
        <w:t xml:space="preserve">La literatura reciente de machine learning aplicado al fuego abunda en publicaciones que reportan precisiones aparentemente excepcionales (</w:t>
      </w:r>
      <m:oMath>
        <m:r>
          <m:rPr>
            <m:sty m:val="p"/>
          </m:rPr>
          <m:t>&gt;</m:t>
        </m:r>
        <m:r>
          <m:t>95</m:t>
        </m:r>
        <m:r>
          <m:rPr>
            <m:nor/>
            <m:sty m:val="p"/>
          </m:rPr>
          <m:t> %</m:t>
        </m:r>
      </m:oMath>
      <w:r>
        <w:t xml:space="preserve">) mediante modelos únicos que agrupan variables meteorológicas con la distancia inmediata a focos previos</w:t>
      </w:r>
      <w:r>
        <w:t xml:space="preserve"> </w:t>
      </w:r>
      <w:r>
        <w:t xml:space="preserve">(Coffield et al., 2019; Sayad et al., 2019)</w:t>
      </w:r>
      <w:r>
        <w:t xml:space="preserve">. Tal como advierten las revisiones metodológicas contemporáneas</w:t>
      </w:r>
      <w:r>
        <w:t xml:space="preserve"> </w:t>
      </w:r>
      <w:r>
        <w:t xml:space="preserve">(Jain et al., 2020; Ploton et al., 2020)</w:t>
      </w:r>
      <w:r>
        <w:t xml:space="preserve">, esos modelos sufren de</w:t>
      </w:r>
      <w:r>
        <w:t xml:space="preserve"> </w:t>
      </w:r>
      <w:r>
        <w:rPr>
          <w:b/>
          <w:bCs/>
        </w:rPr>
        <w:t xml:space="preserve">ceguera selectiva ante la ignición primaria</w:t>
      </w:r>
      <w:r>
        <w:t xml:space="preserve">: cuando se elimina el atajo del fuego anterior, su capacidad predictiva real colapsa.</w:t>
      </w:r>
    </w:p>
    <w:p>
      <w:pPr>
        <w:pStyle w:val="BodyText"/>
      </w:pPr>
      <w:r>
        <w:t xml:space="preserve">Al separar analíticamente la</w:t>
      </w:r>
      <w:r>
        <w:t xml:space="preserve"> </w:t>
      </w:r>
      <w:r>
        <w:rPr>
          <w:b/>
          <w:bCs/>
        </w:rPr>
        <w:t xml:space="preserve">Ignición Física</w:t>
      </w:r>
      <w:r>
        <w:t xml:space="preserve"> </w:t>
      </w:r>
      <w:r>
        <w:t xml:space="preserve">de la</w:t>
      </w:r>
      <w:r>
        <w:t xml:space="preserve"> </w:t>
      </w:r>
      <w:r>
        <w:rPr>
          <w:b/>
          <w:bCs/>
        </w:rPr>
        <w:t xml:space="preserve">Propagación Táctica</w:t>
      </w:r>
      <w:r>
        <w:t xml:space="preserve">:</w:t>
      </w:r>
      <w:r>
        <w:t xml:space="preserve"> </w:t>
      </w:r>
      <w:r>
        <w:t xml:space="preserve">- Proveemos a los equipos de prevención y patrullaje territorial una herramienta objetiva que señala dónde el bosque está físicamente a punto de arder, antes de que aparezca la primera llama.</w:t>
      </w:r>
      <w:r>
        <w:t xml:space="preserve"> </w:t>
      </w:r>
      <w:r>
        <w:t xml:space="preserve">- Proveemos a los bomberos en el terreno un modelo táctico de combate capaz de anticipar hacia qué cuadrante avanzará el frente activo en las próximas 24 horas con una precisión del</w:t>
      </w:r>
      <w:r>
        <w:t xml:space="preserve"> </w:t>
      </w:r>
      <m:oMath>
        <m:r>
          <m:t>97</m:t>
        </m:r>
        <m:r>
          <m:rPr>
            <m:sty m:val="p"/>
          </m:rPr>
          <m:t>,</m:t>
        </m:r>
        <m:r>
          <m:t>71</m:t>
        </m:r>
        <m:r>
          <m:rPr>
            <m:nor/>
            <m:sty m:val="p"/>
          </m:rPr>
          <m:t> %</m:t>
        </m:r>
      </m:oMath>
      <w:r>
        <w:t xml:space="preserve">.</w:t>
      </w:r>
    </w:p>
    <w:bookmarkEnd w:id="73"/>
    <w:bookmarkStart w:id="74" w:name="Xcdb6614f49e377e95868282d3e14bf0f8e490ca"/>
    <w:p>
      <w:pPr>
        <w:pStyle w:val="Heading2"/>
      </w:pPr>
      <w:r>
        <w:t xml:space="preserve">6.3 6.3 Eficiencia y Soberanía Tecnológica para el Sur Global</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w:t>
      </w:r>
      <w:r>
        <w:t xml:space="preserve"> </w:t>
      </w:r>
      <w:r>
        <w:rPr>
          <w:rStyle w:val="VerbatimChar"/>
        </w:rPr>
        <w:t xml:space="preserve">Incendios_PY</w:t>
      </w:r>
      <w:r>
        <w:t xml:space="preserve"> </w:t>
      </w:r>
      <w:r>
        <w:t xml:space="preserve">fue deliberadamente concebido para derribar esta barrera:</w:t>
      </w:r>
      <w:r>
        <w:t xml:space="preserve"> </w:t>
      </w:r>
      <w:r>
        <w:t xml:space="preserve">- Al utilizar</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pipeline procesa la historia decenal completa en menos de 4 GB de RAM.</w:t>
      </w:r>
      <w:r>
        <w:t xml:space="preserve"> </w:t>
      </w:r>
      <w:r>
        <w:t xml:space="preserve">- El modelo completo puede reentrenarse en menos de 6 minutos en cualquier computadora portátil moderna (incluyendo procesadores ARM64 de consumo como Apple Silicon M-Series).</w:t>
      </w:r>
      <w:r>
        <w:t xml:space="preserve"> </w:t>
      </w:r>
      <w:r>
        <w:t xml:space="preserve">- Todo el código es 100 % abierto, sin dependencias propietarias,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w:t>
      </w:r>
      <w:r>
        <w:t xml:space="preserve">.</w:t>
      </w:r>
    </w:p>
    <w:bookmarkEnd w:id="74"/>
    <w:bookmarkStart w:id="75" w:name="limitaciones"/>
    <w:p>
      <w:pPr>
        <w:pStyle w:val="Heading2"/>
      </w:pPr>
      <w:r>
        <w:t xml:space="preserve">6.4 6.4 Limitaciones</w:t>
      </w:r>
    </w:p>
    <w:p>
      <w:pPr>
        <w:pStyle w:val="FirstParagraph"/>
      </w:pPr>
      <w:r>
        <w:t xml:space="preserve">El marco actual presenta dos limitaciones que deben reconocerse:</w:t>
      </w:r>
      <w:r>
        <w:t xml:space="preserve"> </w:t>
      </w:r>
      <w:r>
        <w:t xml:space="preserve">1.</w:t>
      </w:r>
      <w:r>
        <w:t xml:space="preserve"> </w:t>
      </w:r>
      <w:r>
        <w:rPr>
          <w:b/>
          <w:bCs/>
        </w:rPr>
        <w:t xml:space="preserve">Resolución de la Entrada Meteorológica:</w:t>
      </w:r>
      <w:r>
        <w:t xml:space="preserve"> </w:t>
      </w:r>
      <w:r>
        <w:t xml:space="preserve">El reanálisis ERA5-Land opera a</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lo que implica que las variaciones microclimáticas locales (como brisas de valles o islas de calor locales) son suavizadas espacialmente.</w:t>
      </w:r>
      <w:r>
        <w:t xml:space="preserve"> </w:t>
      </w:r>
      <w:r>
        <w:t xml:space="preserve">2.</w:t>
      </w:r>
      <w:r>
        <w:t xml:space="preserve"> </w:t>
      </w:r>
      <w:r>
        <w:rPr>
          <w:b/>
          <w:bCs/>
        </w:rPr>
        <w:t xml:space="preserve">Dependencia de la Cobertura de Nubes:</w:t>
      </w:r>
      <w:r>
        <w:t xml:space="preserve"> </w:t>
      </w:r>
      <w:r>
        <w:t xml:space="preserve">El sensor VIIRS opera en el espectro óptico e infrarrojo térmico, lo que significa que coberturas nubosas densas pueden impedir temporalmente la detección de focos en la fecha</w:t>
      </w:r>
      <w:r>
        <w:t xml:space="preserve"> </w:t>
      </w:r>
      <m:oMath>
        <m:r>
          <m:t>t</m:t>
        </m:r>
        <m:r>
          <m:rPr>
            <m:sty m:val="p"/>
          </m:rPr>
          <m:t>−</m:t>
        </m:r>
        <m:r>
          <m:t>1</m:t>
        </m:r>
      </m:oMath>
      <w:r>
        <w:t xml:space="preserve">, reduciendo transitoriamente la sensibilidad de la capa de propagación.</w:t>
      </w:r>
    </w:p>
    <w:p>
      <w:r>
        <w:pict>
          <v:rect style="width:0;height:1.5pt" o:hralign="center" o:hrstd="t" o:hr="t"/>
        </w:pict>
      </w:r>
    </w:p>
    <w:bookmarkEnd w:id="75"/>
    <w:bookmarkEnd w:id="76"/>
    <w:bookmarkStart w:id="82"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08"/>
        </w:numPr>
      </w:pPr>
      <w:r>
        <w:t xml:space="preserve">El cribado biofísico de primera etapa (</w:t>
      </w:r>
      <w:r>
        <w:rPr>
          <w:i/>
          <w:iCs/>
        </w:rPr>
        <w:t xml:space="preserve">Two-Stage Gating</w:t>
      </w:r>
      <w:r>
        <w:t xml:space="preserve">) reduce la dimensionalidad en un 92 % sin sacrificar la detección de incendios reales.</w:t>
      </w:r>
    </w:p>
    <w:p>
      <w:pPr>
        <w:pStyle w:val="Compact"/>
        <w:numPr>
          <w:ilvl w:val="0"/>
          <w:numId w:val="1008"/>
        </w:numPr>
      </w:pPr>
      <w:r>
        <w:t xml:space="preserve">El desacoplamiento entre Ignición Física y Propagación Táctica elimina el sesgo de atajo espacial, logrando una precisión del</w:t>
      </w:r>
      <w:r>
        <w:t xml:space="preserve"> </w:t>
      </w:r>
      <m:oMath>
        <m:r>
          <m:t>97</m:t>
        </m:r>
        <m:r>
          <m:rPr>
            <m:sty m:val="p"/>
          </m:rPr>
          <m:t>,</m:t>
        </m:r>
        <m:r>
          <m:t>71</m:t>
        </m:r>
        <m:r>
          <m:rPr>
            <m:nor/>
            <m:sty m:val="p"/>
          </m:rPr>
          <m:t> %</m:t>
        </m:r>
      </m:oMath>
      <w:r>
        <w:t xml:space="preserve"> </w:t>
      </w:r>
      <w:r>
        <w:t xml:space="preserve">en propagación y superando al Canadian FWI por más de 38 puntos porcentuales de ROC-AUC en ignición.</w:t>
      </w:r>
    </w:p>
    <w:p>
      <w:pPr>
        <w:pStyle w:val="Compact"/>
        <w:numPr>
          <w:ilvl w:val="0"/>
          <w:numId w:val="1008"/>
        </w:numPr>
      </w:pPr>
      <w:r>
        <w:t xml:space="preserve">El déficit de presión de vapor (</w:t>
      </w:r>
      <m:oMath>
        <m:r>
          <m:t>V</m:t>
        </m:r>
        <m:r>
          <m:t>P</m:t>
        </m:r>
        <m:r>
          <m:t>D</m:t>
        </m:r>
      </m:oMath>
      <w:r>
        <w:t xml:space="preserve">) es el principal forzante físico en el Chaco semiárido, mientras que el contenido de humedad del combustible fino (</w:t>
      </w:r>
      <m:oMath>
        <m:r>
          <m:t>F</m:t>
        </m:r>
        <m:r>
          <m:t>F</m:t>
        </m:r>
        <m:r>
          <m:t>M</m:t>
        </m:r>
        <m:r>
          <m:t>C</m:t>
        </m:r>
      </m:oMath>
      <w:r>
        <w:t xml:space="preserve">) gobierna la Región Oriental.</w:t>
      </w:r>
    </w:p>
    <w:p>
      <w:pPr>
        <w:pStyle w:val="Compact"/>
        <w:numPr>
          <w:ilvl w:val="0"/>
          <w:numId w:val="1008"/>
        </w:numPr>
      </w:pPr>
      <w:r>
        <w:t xml:space="preserve">El pipeline analítico ejecuta la inferencia nacional completa en</w:t>
      </w:r>
      <w:r>
        <w:t xml:space="preserve"> </w:t>
      </w:r>
      <m:oMath>
        <m:r>
          <m:t>0</m:t>
        </m:r>
        <m:r>
          <m:rPr>
            <m:sty m:val="p"/>
          </m:rPr>
          <m:t>,</m:t>
        </m:r>
        <m:r>
          <m:t>75</m:t>
        </m:r>
      </m:oMath>
      <w:r>
        <w:t xml:space="preserve"> </w:t>
      </w:r>
      <w:r>
        <w:t xml:space="preserve">segundos, permitiendo su despliegue operativo en tiempo real a costo computacional nulo.</w:t>
      </w:r>
    </w:p>
    <w:bookmarkStart w:id="81" w:name="Xdae893e2915d113180b7060a282cadd6c130de3"/>
    <w:p>
      <w:pPr>
        <w:pStyle w:val="Heading3"/>
      </w:pPr>
      <w:r>
        <w:t xml:space="preserve">7.0.1 Trabajo Futuro: Verificación Satelital Tri-Modal</w:t>
      </w:r>
    </w:p>
    <w:p>
      <w:pPr>
        <w:pStyle w:val="FirstParagraph"/>
      </w:pPr>
      <w:r>
        <w:t xml:space="preserve">Como evolución inmediata, proponemos la integración del sistema de predicción con un pipeline automatizado de</w:t>
      </w:r>
      <w:r>
        <w:t xml:space="preserve"> </w:t>
      </w:r>
      <w:r>
        <w:rPr>
          <w:b/>
          <w:bCs/>
        </w:rPr>
        <w:t xml:space="preserve">verificación satelital tri-modal multiespectral</w:t>
      </w:r>
      <w:r>
        <w:t xml:space="preserve"> </w:t>
      </w:r>
      <w:r>
        <w:t xml:space="preserve">sustentado en bases de datos de comportamiento global</w:t>
      </w:r>
      <w:r>
        <w:t xml:space="preserve"> </w:t>
      </w:r>
      <w:r>
        <w:t xml:space="preserve">(Artés et al., 2019)</w:t>
      </w:r>
      <w:r>
        <w:t xml:space="preserve"> </w:t>
      </w:r>
      <w:r>
        <w:t xml:space="preserve">y teledetección de cicatrices de quemado</w:t>
      </w:r>
      <w:r>
        <w:t xml:space="preserve"> </w:t>
      </w:r>
      <w:r>
        <w:t xml:space="preserve">(Chuvieco et al., 2019)</w:t>
      </w:r>
      <w:r>
        <w:t xml:space="preserve">:</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Inspección de alta resolución para la delimitación precisa de cicatrices de quemado (</w:t>
      </w:r>
      <w:r>
        <w:rPr>
          <w:i/>
          <w:iCs/>
        </w:rPr>
        <w:t xml:space="preserve">burn scars</w:t>
      </w:r>
      <w:r>
        <w:t xml:space="preserve">) y cálculo del índice normalizado de área quemada (</w:t>
      </w:r>
      <m:oMath>
        <m:r>
          <m:t>N</m:t>
        </m:r>
        <m:r>
          <m:t>B</m:t>
        </m:r>
        <m:r>
          <m:t>R</m:t>
        </m:r>
      </m:oMath>
      <w:r>
        <w:t xml:space="preserve">).</w:t>
      </w:r>
    </w:p>
    <w:p>
      <w:pPr>
        <w:pStyle w:val="BodyText"/>
      </w:pPr>
      <w:r>
        <w:t xml:space="preserve">La estructura operativa de este esquema multiescala y los tres modos de visualización se ilustran en la</w:t>
      </w:r>
      <w:r>
        <w:t xml:space="preserve"> </w:t>
      </w:r>
      <w:hyperlink w:anchor="fig-trimodal">
        <w:r>
          <w:rPr>
            <w:rStyle w:val="Hyperlink"/>
          </w:rPr>
          <w:t xml:space="preserve">Figura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0" w:name="fig-trimodal"/>
          <w:p>
            <w:pPr>
              <w:pStyle w:val="Compact"/>
              <w:jc w:val="center"/>
            </w:pPr>
            <w:r>
              <w:drawing>
                <wp:inline>
                  <wp:extent cx="5334000" cy="1987136"/>
                  <wp:effectExtent b="0" l="0" r="0" t="0"/>
                  <wp:docPr descr="" title="" id="78" name="Picture"/>
                  <a:graphic>
                    <a:graphicData uri="http://schemas.openxmlformats.org/drawingml/2006/picture">
                      <pic:pic>
                        <pic:nvPicPr>
                          <pic:cNvPr descr="figuras/fig06_comparativa_satelital_tres_modos.png" id="79" name="Picture"/>
                          <pic:cNvPicPr>
                            <a:picLocks noChangeArrowheads="1" noChangeAspect="1"/>
                          </pic:cNvPicPr>
                        </pic:nvPicPr>
                        <pic:blipFill>
                          <a:blip r:embed="rId77"/>
                          <a:stretch>
                            <a:fillRect/>
                          </a:stretch>
                        </pic:blipFill>
                        <pic:spPr bwMode="auto">
                          <a:xfrm>
                            <a:off x="0" y="0"/>
                            <a:ext cx="5334000" cy="1987136"/>
                          </a:xfrm>
                          <a:prstGeom prst="rect">
                            <a:avLst/>
                          </a:prstGeom>
                          <a:noFill/>
                          <a:ln w="9525">
                            <a:noFill/>
                            <a:headEnd/>
                            <a:tailEnd/>
                          </a:ln>
                        </pic:spPr>
                      </pic:pic>
                    </a:graphicData>
                  </a:graphic>
                </wp:inline>
              </w:drawing>
            </w:r>
          </w:p>
          <w:p>
            <w:pPr>
              <w:jc w:val="center"/>
            </w:pPr>
            <w:pPr>
              <w:jc w:val="left"/>
              <w:spacing w:before="200"/>
              <w:pStyle w:val="ImageCaption"/>
            </w:pPr>
            <w:r>
              <w:t xml:space="preserve">Figura 7: Esquema conceptual y operativo de la verificación satelital tri-modal multiespectral: Modo 1 (Alerta Regional a 1 km²), Modo 2 (Detección térmica focal VIIRS a 375 m) y Modo 3 (Confirmación espectral SWIR de alta resolución en frentes de fuego activos).</w:t>
            </w:r>
          </w:p>
          <w:bookmarkEnd w:id="80"/>
        </w:tc>
      </w:tr>
    </w:tbl>
    <w:p>
      <w:r>
        <w:pict>
          <v:rect style="width:0;height:1.5pt" o:hralign="center" o:hrstd="t" o:hr="t"/>
        </w:pict>
      </w:r>
    </w:p>
    <w:bookmarkEnd w:id="81"/>
    <w:bookmarkEnd w:id="82"/>
    <w:bookmarkStart w:id="85"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5</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84" w:name="tbl-code"/>
          <w:p>
            <w:pPr>
              <w:jc w:val="center"/>
            </w:pPr>
            <w:pPr>
              <w:jc w:val="left"/>
              <w:spacing w:before="200"/>
              <w:pStyle w:val="ImageCaption"/>
            </w:pPr>
            <w:r>
              <w:t xml:space="preserve">Tabla 5: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hyperlink r:id="rId83">
                    <w:r>
                      <w:rPr>
                        <w:rStyle w:val="Hyperlink"/>
                      </w:rPr>
                      <w:t xml:space="preserve">https://github.com/sanchezmartin093-code/Incendios_PY</w:t>
                    </w:r>
                  </w:hyperlink>
                  <w:r>
                    <w:t xml:space="preserve"> </w:t>
                  </w:r>
                  <w:r>
                    <w:t xml:space="preserve">(versión anonimizada disponible para revisores).</w:t>
                  </w:r>
                </w:p>
              </w:tc>
            </w:tr>
          </w:tbl>
          <w:bookmarkEnd w:id="84"/>
          <w:p/>
        </w:tc>
      </w:tr>
    </w:tbl>
    <w:p>
      <w:r>
        <w:pict>
          <v:rect style="width:0;height:1.5pt" o:hralign="center" o:hrstd="t" o:hr="t"/>
        </w:pict>
      </w:r>
    </w:p>
    <w:bookmarkEnd w:id="85"/>
    <w:bookmarkStart w:id="169" w:name="referencias"/>
    <w:p>
      <w:pPr>
        <w:pStyle w:val="Heading1"/>
      </w:pPr>
      <w:r>
        <w:t xml:space="preserve">Referencias</w:t>
      </w:r>
    </w:p>
    <w:bookmarkStart w:id="168" w:name="refs"/>
    <w:bookmarkStart w:id="87"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86">
        <w:r>
          <w:rPr>
            <w:rStyle w:val="Hyperlink"/>
          </w:rPr>
          <w:t xml:space="preserve">https://doi.org/10.3390/rs10091438</w:t>
        </w:r>
      </w:hyperlink>
    </w:p>
    <w:bookmarkEnd w:id="87"/>
    <w:bookmarkStart w:id="89" w:name="ref-andrews2014"/>
    <w:p>
      <w:pPr>
        <w:pStyle w:val="Bibliography"/>
      </w:pPr>
      <w:r>
        <w:t xml:space="preserve">Andrews, P. L. (2014). Current status and future needs of the</w:t>
      </w:r>
      <w:r>
        <w:t xml:space="preserve"> </w:t>
      </w:r>
      <w:r>
        <w:t xml:space="preserve">BehavePlus</w:t>
      </w:r>
      <w:r>
        <w:t xml:space="preserve"> </w:t>
      </w:r>
      <w:r>
        <w:t xml:space="preserve">fire modeling system.</w:t>
      </w:r>
      <w:r>
        <w:t xml:space="preserve"> </w:t>
      </w:r>
      <w:r>
        <w:rPr>
          <w:i/>
          <w:iCs/>
        </w:rPr>
        <w:t xml:space="preserve">International Journal of Wildland Fire</w:t>
      </w:r>
      <w:r>
        <w:t xml:space="preserve">,</w:t>
      </w:r>
      <w:r>
        <w:t xml:space="preserve"> </w:t>
      </w:r>
      <w:r>
        <w:rPr>
          <w:i/>
          <w:iCs/>
        </w:rPr>
        <w:t xml:space="preserve">23</w:t>
      </w:r>
      <w:r>
        <w:t xml:space="preserve">(1), 21-33.</w:t>
      </w:r>
      <w:r>
        <w:t xml:space="preserve"> </w:t>
      </w:r>
      <w:hyperlink r:id="rId88">
        <w:r>
          <w:rPr>
            <w:rStyle w:val="Hyperlink"/>
          </w:rPr>
          <w:t xml:space="preserve">https://doi.org/10.1071/WF12167</w:t>
        </w:r>
      </w:hyperlink>
    </w:p>
    <w:bookmarkEnd w:id="89"/>
    <w:bookmarkStart w:id="91" w:name="ref-artes2019"/>
    <w:p>
      <w:pPr>
        <w:pStyle w:val="Bibliography"/>
      </w:pPr>
      <w:r>
        <w:t xml:space="preserve">Artés, T., Oom, D., Rigo, D. de, Houston Durrant, T., Maianti, P., Libertà, G., &amp; San-Miguel-Ayanz, J. (2019). A global wildfire dataset for the analysis of fire regimes and fire behaviour.</w:t>
      </w:r>
      <w:r>
        <w:t xml:space="preserve"> </w:t>
      </w:r>
      <w:r>
        <w:rPr>
          <w:i/>
          <w:iCs/>
        </w:rPr>
        <w:t xml:space="preserve">Scientific Data</w:t>
      </w:r>
      <w:r>
        <w:t xml:space="preserve">,</w:t>
      </w:r>
      <w:r>
        <w:t xml:space="preserve"> </w:t>
      </w:r>
      <w:r>
        <w:rPr>
          <w:i/>
          <w:iCs/>
        </w:rPr>
        <w:t xml:space="preserve">6</w:t>
      </w:r>
      <w:r>
        <w:t xml:space="preserve">(1), 296.</w:t>
      </w:r>
      <w:r>
        <w:t xml:space="preserve"> </w:t>
      </w:r>
      <w:hyperlink r:id="rId90">
        <w:r>
          <w:rPr>
            <w:rStyle w:val="Hyperlink"/>
          </w:rPr>
          <w:t xml:space="preserve">https://doi.org/10.1038/s41597-019-0312-2</w:t>
        </w:r>
      </w:hyperlink>
    </w:p>
    <w:bookmarkEnd w:id="91"/>
    <w:bookmarkStart w:id="93"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92">
        <w:r>
          <w:rPr>
            <w:rStyle w:val="Hyperlink"/>
          </w:rPr>
          <w:t xml:space="preserve">https://doi.org/10.3390/s20226442</w:t>
        </w:r>
      </w:hyperlink>
    </w:p>
    <w:bookmarkEnd w:id="93"/>
    <w:bookmarkStart w:id="95"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94">
        <w:r>
          <w:rPr>
            <w:rStyle w:val="Hyperlink"/>
          </w:rPr>
          <w:t xml:space="preserve">https://doi.org/10.1111/gcb.13521</w:t>
        </w:r>
      </w:hyperlink>
    </w:p>
    <w:bookmarkEnd w:id="95"/>
    <w:bookmarkStart w:id="97"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96">
        <w:r>
          <w:rPr>
            <w:rStyle w:val="Hyperlink"/>
          </w:rPr>
          <w:t xml:space="preserve">https://doi.org/10.1145/2939672.2939785</w:t>
        </w:r>
      </w:hyperlink>
    </w:p>
    <w:bookmarkEnd w:id="97"/>
    <w:bookmarkStart w:id="99" w:name="ref-chuvieco2019"/>
    <w:p>
      <w:pPr>
        <w:pStyle w:val="Bibliography"/>
      </w:pPr>
      <w:r>
        <w:t xml:space="preserve">Chuvieco, E., Mouillot, F., Werf, G. R. van der, San Miguel, J., Tanase, M., Koutsias, N., Garcı́a, M., Yebra, M., Padilla, M., Gitas, I., Heil, A., Hawbaker, T. J., &amp; Giglio, L. (2019). Historical background and current developments for mapping burned area from satellite Earth observation.</w:t>
      </w:r>
      <w:r>
        <w:t xml:space="preserve"> </w:t>
      </w:r>
      <w:r>
        <w:rPr>
          <w:i/>
          <w:iCs/>
        </w:rPr>
        <w:t xml:space="preserve">Remote Sensing of Environment</w:t>
      </w:r>
      <w:r>
        <w:t xml:space="preserve">,</w:t>
      </w:r>
      <w:r>
        <w:t xml:space="preserve"> </w:t>
      </w:r>
      <w:r>
        <w:rPr>
          <w:i/>
          <w:iCs/>
        </w:rPr>
        <w:t xml:space="preserve">225</w:t>
      </w:r>
      <w:r>
        <w:t xml:space="preserve">, 45-64.</w:t>
      </w:r>
      <w:r>
        <w:t xml:space="preserve"> </w:t>
      </w:r>
      <w:hyperlink r:id="rId98">
        <w:r>
          <w:rPr>
            <w:rStyle w:val="Hyperlink"/>
          </w:rPr>
          <w:t xml:space="preserve">https://doi.org/10.1016/j.rse.2019.02.013</w:t>
        </w:r>
      </w:hyperlink>
    </w:p>
    <w:bookmarkEnd w:id="99"/>
    <w:bookmarkStart w:id="101" w:name="ref-coffield2019"/>
    <w:p>
      <w:pPr>
        <w:pStyle w:val="Bibliography"/>
      </w:pPr>
      <w:r>
        <w:t xml:space="preserve">Coffield, S. R., Graff, C. A., Chen, Y., Smyth, P., Foufoula-Georgiou, E., &amp; Randerson, J. T. (2019). Machine learning for predicting wildfire size in the western United States.</w:t>
      </w:r>
      <w:r>
        <w:t xml:space="preserve"> </w:t>
      </w:r>
      <w:r>
        <w:rPr>
          <w:i/>
          <w:iCs/>
        </w:rPr>
        <w:t xml:space="preserve">Environmental Research Letters</w:t>
      </w:r>
      <w:r>
        <w:t xml:space="preserve">,</w:t>
      </w:r>
      <w:r>
        <w:t xml:space="preserve"> </w:t>
      </w:r>
      <w:r>
        <w:rPr>
          <w:i/>
          <w:iCs/>
        </w:rPr>
        <w:t xml:space="preserve">14</w:t>
      </w:r>
      <w:r>
        <w:t xml:space="preserve">(3), 034017.</w:t>
      </w:r>
      <w:r>
        <w:t xml:space="preserve"> </w:t>
      </w:r>
      <w:hyperlink r:id="rId100">
        <w:r>
          <w:rPr>
            <w:rStyle w:val="Hyperlink"/>
          </w:rPr>
          <w:t xml:space="preserve">https://doi.org/10.1088/1748-9326/ab020e</w:t>
        </w:r>
      </w:hyperlink>
    </w:p>
    <w:bookmarkEnd w:id="101"/>
    <w:bookmarkStart w:id="103"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102">
        <w:r>
          <w:rPr>
            <w:rStyle w:val="Hyperlink"/>
          </w:rPr>
          <w:t xml:space="preserve">https://doi.org/10.1111/j.2007.0906-7590.05171.x</w:t>
        </w:r>
      </w:hyperlink>
    </w:p>
    <w:bookmarkEnd w:id="103"/>
    <w:bookmarkStart w:id="105"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104">
        <w:r>
          <w:rPr>
            <w:rStyle w:val="Hyperlink"/>
          </w:rPr>
          <w:t xml:space="preserve">https://doi.org/10.1071/WF08187</w:t>
        </w:r>
      </w:hyperlink>
    </w:p>
    <w:bookmarkEnd w:id="105"/>
    <w:bookmarkStart w:id="107"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106">
        <w:r>
          <w:rPr>
            <w:rStyle w:val="Hyperlink"/>
          </w:rPr>
          <w:t xml:space="preserve">https://doi.org/10.1007/s10584-015-1521-0</w:t>
        </w:r>
      </w:hyperlink>
    </w:p>
    <w:bookmarkEnd w:id="107"/>
    <w:bookmarkStart w:id="109" w:name="ref-giglio2016"/>
    <w:p>
      <w:pPr>
        <w:pStyle w:val="Bibliography"/>
      </w:pPr>
      <w:r>
        <w:t xml:space="preserve">Giglio, L., Schroeder, W., &amp; Justice, C. O. (2016). The collection 6</w:t>
      </w:r>
      <w:r>
        <w:t xml:space="preserve"> </w:t>
      </w:r>
      <w:r>
        <w:t xml:space="preserve">MODIS</w:t>
      </w:r>
      <w:r>
        <w:t xml:space="preserve"> </w:t>
      </w:r>
      <w:r>
        <w:t xml:space="preserve">active fire detection algorithm and fire products.</w:t>
      </w:r>
      <w:r>
        <w:t xml:space="preserve"> </w:t>
      </w:r>
      <w:r>
        <w:rPr>
          <w:i/>
          <w:iCs/>
        </w:rPr>
        <w:t xml:space="preserve">Remote Sensing of Environment</w:t>
      </w:r>
      <w:r>
        <w:t xml:space="preserve">,</w:t>
      </w:r>
      <w:r>
        <w:t xml:space="preserve"> </w:t>
      </w:r>
      <w:r>
        <w:rPr>
          <w:i/>
          <w:iCs/>
        </w:rPr>
        <w:t xml:space="preserve">178</w:t>
      </w:r>
      <w:r>
        <w:t xml:space="preserve">, 31-41.</w:t>
      </w:r>
      <w:r>
        <w:t xml:space="preserve"> </w:t>
      </w:r>
      <w:hyperlink r:id="rId108">
        <w:r>
          <w:rPr>
            <w:rStyle w:val="Hyperlink"/>
          </w:rPr>
          <w:t xml:space="preserve">https://doi.org/10.1016/j.rse.2016.02.054</w:t>
        </w:r>
      </w:hyperlink>
    </w:p>
    <w:bookmarkEnd w:id="109"/>
    <w:bookmarkStart w:id="111" w:name="ref-gorelick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r>
        <w:t xml:space="preserve"> </w:t>
      </w:r>
      <w:hyperlink r:id="rId110">
        <w:r>
          <w:rPr>
            <w:rStyle w:val="Hyperlink"/>
          </w:rPr>
          <w:t xml:space="preserve">https://doi.org/10.1016/j.rse.2017.06.031</w:t>
        </w:r>
      </w:hyperlink>
    </w:p>
    <w:bookmarkEnd w:id="111"/>
    <w:bookmarkStart w:id="113"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112">
        <w:r>
          <w:rPr>
            <w:rStyle w:val="Hyperlink"/>
          </w:rPr>
          <w:t xml:space="preserve">https://doi.org/10.1139/er-2020-0019</w:t>
        </w:r>
      </w:hyperlink>
    </w:p>
    <w:bookmarkEnd w:id="113"/>
    <w:bookmarkStart w:id="115"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114">
        <w:r>
          <w:rPr>
            <w:rStyle w:val="Hyperlink"/>
          </w:rPr>
          <w:t xml:space="preserve">https://doi.org/10.1038/ncomms8537</w:t>
        </w:r>
      </w:hyperlink>
    </w:p>
    <w:bookmarkEnd w:id="115"/>
    <w:bookmarkStart w:id="117" w:name="ref-justice2002"/>
    <w:p>
      <w:pPr>
        <w:pStyle w:val="Bibliography"/>
      </w:pPr>
      <w:r>
        <w:t xml:space="preserve">Justice, C. O., Giglio, L., Korontzi, S., Owens, J., Morisette, J. T., Roy, D. P., Descloitres, J., Alleaume, S., Petitcolin, F., &amp; Kaufman, Y. J. (2002). The</w:t>
      </w:r>
      <w:r>
        <w:t xml:space="preserve"> </w:t>
      </w:r>
      <w:r>
        <w:t xml:space="preserve">MODIS</w:t>
      </w:r>
      <w:r>
        <w:t xml:space="preserve"> </w:t>
      </w:r>
      <w:r>
        <w:t xml:space="preserve">fire products.</w:t>
      </w:r>
      <w:r>
        <w:t xml:space="preserve"> </w:t>
      </w:r>
      <w:r>
        <w:rPr>
          <w:i/>
          <w:iCs/>
        </w:rPr>
        <w:t xml:space="preserve">Remote Sensing of Environment</w:t>
      </w:r>
      <w:r>
        <w:t xml:space="preserve">,</w:t>
      </w:r>
      <w:r>
        <w:t xml:space="preserve"> </w:t>
      </w:r>
      <w:r>
        <w:rPr>
          <w:i/>
          <w:iCs/>
        </w:rPr>
        <w:t xml:space="preserve">83</w:t>
      </w:r>
      <w:r>
        <w:t xml:space="preserve">(1–2), 244-262.</w:t>
      </w:r>
      <w:r>
        <w:t xml:space="preserve"> </w:t>
      </w:r>
      <w:hyperlink r:id="rId116">
        <w:r>
          <w:rPr>
            <w:rStyle w:val="Hyperlink"/>
          </w:rPr>
          <w:t xml:space="preserve">https://doi.org/10.1016/S0034-4257(02)00076-7</w:t>
        </w:r>
      </w:hyperlink>
    </w:p>
    <w:bookmarkEnd w:id="117"/>
    <w:bookmarkStart w:id="118"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118"/>
    <w:bookmarkStart w:id="120"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119">
        <w:r>
          <w:rPr>
            <w:rStyle w:val="Hyperlink"/>
          </w:rPr>
          <w:t xml:space="preserve">https://doi.org/10.2307/1939924</w:t>
        </w:r>
      </w:hyperlink>
    </w:p>
    <w:bookmarkEnd w:id="120"/>
    <w:bookmarkStart w:id="122"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121">
        <w:r>
          <w:rPr>
            <w:rStyle w:val="Hyperlink"/>
          </w:rPr>
          <w:t xml:space="preserve">https://doi.org/10.1038/s42256-019-0138-9</w:t>
        </w:r>
      </w:hyperlink>
    </w:p>
    <w:bookmarkEnd w:id="122"/>
    <w:bookmarkStart w:id="124"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123">
        <w:r>
          <w:rPr>
            <w:rStyle w:val="Hyperlink"/>
          </w:rPr>
          <w:t xml:space="preserve">https://chaco.mapbiomas.org/</w:t>
        </w:r>
      </w:hyperlink>
      <w:r>
        <w:t xml:space="preserve">.</w:t>
      </w:r>
    </w:p>
    <w:bookmarkEnd w:id="124"/>
    <w:bookmarkStart w:id="126" w:name="ref-meyer2021"/>
    <w:p>
      <w:pPr>
        <w:pStyle w:val="Bibliography"/>
      </w:pPr>
      <w:r>
        <w:t xml:space="preserve">Meyer, H., &amp; Pebesma, E. (2021). Predicting into unknown space? Estimating the area of applicability of spatial prediction models.</w:t>
      </w:r>
      <w:r>
        <w:t xml:space="preserve"> </w:t>
      </w:r>
      <w:r>
        <w:rPr>
          <w:i/>
          <w:iCs/>
        </w:rPr>
        <w:t xml:space="preserve">Methods in Ecology and Evolution</w:t>
      </w:r>
      <w:r>
        <w:t xml:space="preserve">,</w:t>
      </w:r>
      <w:r>
        <w:t xml:space="preserve"> </w:t>
      </w:r>
      <w:r>
        <w:rPr>
          <w:i/>
          <w:iCs/>
        </w:rPr>
        <w:t xml:space="preserve">12</w:t>
      </w:r>
      <w:r>
        <w:t xml:space="preserve">(9), 1620-1633.</w:t>
      </w:r>
      <w:r>
        <w:t xml:space="preserve"> </w:t>
      </w:r>
      <w:hyperlink r:id="rId125">
        <w:r>
          <w:rPr>
            <w:rStyle w:val="Hyperlink"/>
          </w:rPr>
          <w:t xml:space="preserve">https://doi.org/10.1111/2041-210X.13650</w:t>
        </w:r>
      </w:hyperlink>
    </w:p>
    <w:bookmarkEnd w:id="126"/>
    <w:bookmarkStart w:id="128"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127">
        <w:r>
          <w:rPr>
            <w:rStyle w:val="Hyperlink"/>
          </w:rPr>
          <w:t xml:space="preserve">https://doi.org/10.5194/essd-13-4349-2021</w:t>
        </w:r>
      </w:hyperlink>
    </w:p>
    <w:bookmarkEnd w:id="128"/>
    <w:bookmarkStart w:id="130"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129">
        <w:r>
          <w:rPr>
            <w:rStyle w:val="Hyperlink"/>
          </w:rPr>
          <w:t xml:space="preserve">https://doi.org/10.1145/1102351.1102430</w:t>
        </w:r>
      </w:hyperlink>
    </w:p>
    <w:bookmarkEnd w:id="130"/>
    <w:bookmarkStart w:id="131" w:name="ref-pedregosa2011"/>
    <w:p>
      <w:pPr>
        <w:pStyle w:val="Bibliography"/>
      </w:pPr>
      <w:r>
        <w:t xml:space="preserve">Pedregosa, F., Varoquaux, G., Gramfort, A., Michel, V., Thirion, B., Grisel, O., Blondel, M., Prettenhofer, P., Weiss, R., Dubourg, V., Vanderplas, J., Passos, A., Cournapeau, D., Brucher, M., Perrot, M., &amp; Duchesnay, É. (2011). Scikit-learn: Machine Learning in</w:t>
      </w:r>
      <w:r>
        <w:t xml:space="preserve"> </w:t>
      </w:r>
      <w:r>
        <w:t xml:space="preserve">Python</w:t>
      </w:r>
      <w:r>
        <w:t xml:space="preserve">.</w:t>
      </w:r>
      <w:r>
        <w:t xml:space="preserve"> </w:t>
      </w:r>
      <w:r>
        <w:rPr>
          <w:i/>
          <w:iCs/>
        </w:rPr>
        <w:t xml:space="preserve">Journal of Machine Learning Research</w:t>
      </w:r>
      <w:r>
        <w:t xml:space="preserve">,</w:t>
      </w:r>
      <w:r>
        <w:t xml:space="preserve"> </w:t>
      </w:r>
      <w:r>
        <w:rPr>
          <w:i/>
          <w:iCs/>
        </w:rPr>
        <w:t xml:space="preserve">12</w:t>
      </w:r>
      <w:r>
        <w:t xml:space="preserve">, 2825-2830.</w:t>
      </w:r>
    </w:p>
    <w:bookmarkEnd w:id="131"/>
    <w:bookmarkStart w:id="133"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132">
        <w:r>
          <w:rPr>
            <w:rStyle w:val="Hyperlink"/>
          </w:rPr>
          <w:t xml:space="preserve">https://doi.org/10.1016/j.pecon.2021.06.005</w:t>
        </w:r>
      </w:hyperlink>
    </w:p>
    <w:bookmarkEnd w:id="133"/>
    <w:bookmarkStart w:id="1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134"/>
    <w:bookmarkStart w:id="136"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135">
        <w:r>
          <w:rPr>
            <w:rStyle w:val="Hyperlink"/>
          </w:rPr>
          <w:t xml:space="preserve">https://doi.org/10.1038/s41467-020-18321-y</w:t>
        </w:r>
      </w:hyperlink>
    </w:p>
    <w:bookmarkEnd w:id="136"/>
    <w:bookmarkStart w:id="137" w:name="ref-prokhorenkova2018"/>
    <w:p>
      <w:pPr>
        <w:pStyle w:val="Bibliography"/>
      </w:pPr>
      <w:r>
        <w:t xml:space="preserve">Prokhorenkova, L., Gusev, G., Vorobev, A., Dorogush, A. V., &amp; Gulin, A. (2018). CatBoost: unbiased boosting with categorical features.</w:t>
      </w:r>
      <w:r>
        <w:t xml:space="preserve"> </w:t>
      </w:r>
      <w:r>
        <w:rPr>
          <w:i/>
          <w:iCs/>
        </w:rPr>
        <w:t xml:space="preserve">Advances in Neural Information Processing Systems (NeurIPS)</w:t>
      </w:r>
      <w:r>
        <w:t xml:space="preserve">,</w:t>
      </w:r>
      <w:r>
        <w:t xml:space="preserve"> </w:t>
      </w:r>
      <w:r>
        <w:rPr>
          <w:i/>
          <w:iCs/>
        </w:rPr>
        <w:t xml:space="preserve">31</w:t>
      </w:r>
      <w:r>
        <w:t xml:space="preserve">, 6638-6648.</w:t>
      </w:r>
    </w:p>
    <w:bookmarkEnd w:id="137"/>
    <w:bookmarkStart w:id="139"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138">
        <w:r>
          <w:rPr>
            <w:rStyle w:val="Hyperlink"/>
          </w:rPr>
          <w:t xml:space="preserve">https://doi.org/10.1145/3299869.3320212</w:t>
        </w:r>
      </w:hyperlink>
    </w:p>
    <w:bookmarkEnd w:id="139"/>
    <w:bookmarkStart w:id="141" w:name="ref-reichstein2019"/>
    <w:p>
      <w:pPr>
        <w:pStyle w:val="Bibliography"/>
      </w:pPr>
      <w:r>
        <w:t xml:space="preserve">Reichstein, M., Camps-Valls, G., Stevens, B., Jung, M., Denzler, J., Carvalhais, N., &amp; Prabhat. (2019). Deep learning and process understanding for Earth system science.</w:t>
      </w:r>
      <w:r>
        <w:t xml:space="preserve"> </w:t>
      </w:r>
      <w:r>
        <w:rPr>
          <w:i/>
          <w:iCs/>
        </w:rPr>
        <w:t xml:space="preserve">Nature</w:t>
      </w:r>
      <w:r>
        <w:t xml:space="preserve">,</w:t>
      </w:r>
      <w:r>
        <w:t xml:space="preserve"> </w:t>
      </w:r>
      <w:r>
        <w:rPr>
          <w:i/>
          <w:iCs/>
        </w:rPr>
        <w:t xml:space="preserve">566</w:t>
      </w:r>
      <w:r>
        <w:t xml:space="preserve">(7743), 195-204.</w:t>
      </w:r>
      <w:r>
        <w:t xml:space="preserve"> </w:t>
      </w:r>
      <w:hyperlink r:id="rId140">
        <w:r>
          <w:rPr>
            <w:rStyle w:val="Hyperlink"/>
          </w:rPr>
          <w:t xml:space="preserve">https://doi.org/10.1038/s41586-019-0912-1</w:t>
        </w:r>
      </w:hyperlink>
    </w:p>
    <w:bookmarkEnd w:id="141"/>
    <w:bookmarkStart w:id="143"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42">
        <w:r>
          <w:rPr>
            <w:rStyle w:val="Hyperlink"/>
          </w:rPr>
          <w:t xml:space="preserve">https://doi.org/10.1111/ecog.02881</w:t>
        </w:r>
      </w:hyperlink>
    </w:p>
    <w:bookmarkEnd w:id="143"/>
    <w:bookmarkStart w:id="145" w:name="ref-rodrigues2014"/>
    <w:p>
      <w:pPr>
        <w:pStyle w:val="Bibliography"/>
      </w:pPr>
      <w:r>
        <w:t xml:space="preserve">Rodrigues, M., &amp; Riva, J. de la. (2014). An insight into machine-learning algorithms to model human-caused wildfire occurrence.</w:t>
      </w:r>
      <w:r>
        <w:t xml:space="preserve"> </w:t>
      </w:r>
      <w:r>
        <w:rPr>
          <w:i/>
          <w:iCs/>
        </w:rPr>
        <w:t xml:space="preserve">Environmental Modelling &amp; Software</w:t>
      </w:r>
      <w:r>
        <w:t xml:space="preserve">,</w:t>
      </w:r>
      <w:r>
        <w:t xml:space="preserve"> </w:t>
      </w:r>
      <w:r>
        <w:rPr>
          <w:i/>
          <w:iCs/>
        </w:rPr>
        <w:t xml:space="preserve">57</w:t>
      </w:r>
      <w:r>
        <w:t xml:space="preserve">, 192-201.</w:t>
      </w:r>
      <w:r>
        <w:t xml:space="preserve"> </w:t>
      </w:r>
      <w:hyperlink r:id="rId144">
        <w:r>
          <w:rPr>
            <w:rStyle w:val="Hyperlink"/>
          </w:rPr>
          <w:t xml:space="preserve">https://doi.org/10.1016/j.envsoft.2014.03.003</w:t>
        </w:r>
      </w:hyperlink>
    </w:p>
    <w:bookmarkEnd w:id="145"/>
    <w:bookmarkStart w:id="146" w:name="ref-rothermel1972"/>
    <w:p>
      <w:pPr>
        <w:pStyle w:val="Bibliography"/>
      </w:pPr>
      <w:r>
        <w:t xml:space="preserve">Rothermel, R. C. (1972).</w:t>
      </w:r>
      <w:r>
        <w:t xml:space="preserve"> </w:t>
      </w:r>
      <w:r>
        <w:rPr>
          <w:i/>
          <w:iCs/>
        </w:rPr>
        <w:t xml:space="preserve">A mathematical model for predicting fire spread in wildland fuels</w:t>
      </w:r>
      <w:r>
        <w:t xml:space="preserve"> </w:t>
      </w:r>
      <w:r>
        <w:t xml:space="preserve">(INT-115; USDA Forest Service Research Paper, pp. 1-40). Intermountain Forest; Range Experiment Station, Forest Service, U.S. Department of Agriculture.</w:t>
      </w:r>
    </w:p>
    <w:bookmarkEnd w:id="146"/>
    <w:bookmarkStart w:id="148" w:name="ref-roy2008"/>
    <w:p>
      <w:pPr>
        <w:pStyle w:val="Bibliography"/>
      </w:pPr>
      <w:r>
        <w:t xml:space="preserve">Roy, D. P., Boschetti, L., Justice, C. O., &amp; Ju, J. (2008). The Collection 5</w:t>
      </w:r>
      <w:r>
        <w:t xml:space="preserve"> </w:t>
      </w:r>
      <w:r>
        <w:t xml:space="preserve">MODIS</w:t>
      </w:r>
      <w:r>
        <w:t xml:space="preserve"> </w:t>
      </w:r>
      <w:r>
        <w:t xml:space="preserve">burned area product—Global evaluation by comparison with the Collection 4 product.</w:t>
      </w:r>
      <w:r>
        <w:t xml:space="preserve"> </w:t>
      </w:r>
      <w:r>
        <w:rPr>
          <w:i/>
          <w:iCs/>
        </w:rPr>
        <w:t xml:space="preserve">Remote Sensing of Environment</w:t>
      </w:r>
      <w:r>
        <w:t xml:space="preserve">,</w:t>
      </w:r>
      <w:r>
        <w:t xml:space="preserve"> </w:t>
      </w:r>
      <w:r>
        <w:rPr>
          <w:i/>
          <w:iCs/>
        </w:rPr>
        <w:t xml:space="preserve">112</w:t>
      </w:r>
      <w:r>
        <w:t xml:space="preserve">(9), 3690-3707.</w:t>
      </w:r>
      <w:r>
        <w:t xml:space="preserve"> </w:t>
      </w:r>
      <w:hyperlink r:id="rId147">
        <w:r>
          <w:rPr>
            <w:rStyle w:val="Hyperlink"/>
          </w:rPr>
          <w:t xml:space="preserve">https://doi.org/10.1016/j.rse.2008.05.013</w:t>
        </w:r>
      </w:hyperlink>
    </w:p>
    <w:bookmarkEnd w:id="148"/>
    <w:bookmarkStart w:id="150"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49">
        <w:r>
          <w:rPr>
            <w:rStyle w:val="Hyperlink"/>
          </w:rPr>
          <w:t xml:space="preserve">https://doi.org/10.5772/28441</w:t>
        </w:r>
      </w:hyperlink>
    </w:p>
    <w:bookmarkEnd w:id="150"/>
    <w:bookmarkStart w:id="152" w:name="ref-sayad2019"/>
    <w:p>
      <w:pPr>
        <w:pStyle w:val="Bibliography"/>
      </w:pPr>
      <w:r>
        <w:t xml:space="preserve">Sayad, Y. O., Mousannif, H., &amp; Al Moatassime, H. (2019). Predictive modeling of wildland fires: A new dataset and machine learning approach.</w:t>
      </w:r>
      <w:r>
        <w:t xml:space="preserve"> </w:t>
      </w:r>
      <w:r>
        <w:rPr>
          <w:i/>
          <w:iCs/>
        </w:rPr>
        <w:t xml:space="preserve">Fire Safety Journal</w:t>
      </w:r>
      <w:r>
        <w:t xml:space="preserve">,</w:t>
      </w:r>
      <w:r>
        <w:t xml:space="preserve"> </w:t>
      </w:r>
      <w:r>
        <w:rPr>
          <w:i/>
          <w:iCs/>
        </w:rPr>
        <w:t xml:space="preserve">104</w:t>
      </w:r>
      <w:r>
        <w:t xml:space="preserve">, 130-146.</w:t>
      </w:r>
      <w:r>
        <w:t xml:space="preserve"> </w:t>
      </w:r>
      <w:hyperlink r:id="rId151">
        <w:r>
          <w:rPr>
            <w:rStyle w:val="Hyperlink"/>
          </w:rPr>
          <w:t xml:space="preserve">https://doi.org/10.1016/j.firesaf.2019.01.006</w:t>
        </w:r>
      </w:hyperlink>
    </w:p>
    <w:bookmarkEnd w:id="152"/>
    <w:bookmarkStart w:id="154"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53">
        <w:r>
          <w:rPr>
            <w:rStyle w:val="Hyperlink"/>
          </w:rPr>
          <w:t xml:space="preserve">https://doi.org/10.1016/j.rse.2013.12.008</w:t>
        </w:r>
      </w:hyperlink>
    </w:p>
    <w:bookmarkEnd w:id="154"/>
    <w:bookmarkStart w:id="156"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55">
        <w:r>
          <w:rPr>
            <w:rStyle w:val="Hyperlink"/>
          </w:rPr>
          <w:t xml:space="preserve">http://queimadas.dgi.inpe.br</w:t>
        </w:r>
      </w:hyperlink>
    </w:p>
    <w:bookmarkEnd w:id="156"/>
    <w:bookmarkStart w:id="158"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57">
        <w:r>
          <w:rPr>
            <w:rStyle w:val="Hyperlink"/>
          </w:rPr>
          <w:t xml:space="preserve">https://doi.org/10.5558/tfc65258-4</w:t>
        </w:r>
      </w:hyperlink>
    </w:p>
    <w:bookmarkEnd w:id="158"/>
    <w:bookmarkStart w:id="160"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59">
        <w:r>
          <w:rPr>
            <w:rStyle w:val="Hyperlink"/>
          </w:rPr>
          <w:t xml:space="preserve">https://doi.org/10.2307/143141</w:t>
        </w:r>
      </w:hyperlink>
    </w:p>
    <w:bookmarkEnd w:id="160"/>
    <w:bookmarkStart w:id="162"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61">
        <w:r>
          <w:rPr>
            <w:rStyle w:val="Hyperlink"/>
          </w:rPr>
          <w:t xml:space="preserve">https://doi.org/10.1016/j.jaridenv.2014.11.009</w:t>
        </w:r>
      </w:hyperlink>
    </w:p>
    <w:bookmarkEnd w:id="162"/>
    <w:bookmarkStart w:id="163"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63"/>
    <w:bookmarkStart w:id="165" w:name="ref-willard2022"/>
    <w:p>
      <w:pPr>
        <w:pStyle w:val="Bibliography"/>
      </w:pPr>
      <w:r>
        <w:t xml:space="preserve">Willard, J., Jia, X., Xu, S., Steinbach, M., &amp; Kumar, V. (2022). Integrating Scientific Knowledge with Machine Learning for Engineering and Environmental Systems.</w:t>
      </w:r>
      <w:r>
        <w:t xml:space="preserve"> </w:t>
      </w:r>
      <w:r>
        <w:rPr>
          <w:i/>
          <w:iCs/>
        </w:rPr>
        <w:t xml:space="preserve">ACM Computing Surveys</w:t>
      </w:r>
      <w:r>
        <w:t xml:space="preserve">,</w:t>
      </w:r>
      <w:r>
        <w:t xml:space="preserve"> </w:t>
      </w:r>
      <w:r>
        <w:rPr>
          <w:i/>
          <w:iCs/>
        </w:rPr>
        <w:t xml:space="preserve">55</w:t>
      </w:r>
      <w:r>
        <w:t xml:space="preserve">(4), 1-37.</w:t>
      </w:r>
      <w:r>
        <w:t xml:space="preserve"> </w:t>
      </w:r>
      <w:hyperlink r:id="rId164">
        <w:r>
          <w:rPr>
            <w:rStyle w:val="Hyperlink"/>
          </w:rPr>
          <w:t xml:space="preserve">https://doi.org/10.1145/3514228</w:t>
        </w:r>
      </w:hyperlink>
    </w:p>
    <w:bookmarkEnd w:id="165"/>
    <w:bookmarkStart w:id="167" w:name="ref-wooster2005"/>
    <w:p>
      <w:pPr>
        <w:pStyle w:val="Bibliography"/>
      </w:pPr>
      <w:r>
        <w:t xml:space="preserve">Wooster, M. J., Roberts, G., Perry, G. L. W., &amp; Kaufman, Y. J. (2005). Retrieval of biomass combustion rates and fuel consumption from multi-spectral satellite imagery (</w:t>
      </w:r>
      <w:r>
        <w:t xml:space="preserve">FRP</w:t>
      </w:r>
      <w:r>
        <w:t xml:space="preserve">): An update.</w:t>
      </w:r>
      <w:r>
        <w:t xml:space="preserve"> </w:t>
      </w:r>
      <w:r>
        <w:rPr>
          <w:i/>
          <w:iCs/>
        </w:rPr>
        <w:t xml:space="preserve">Journal of Geophysical Research: Atmospheres</w:t>
      </w:r>
      <w:r>
        <w:t xml:space="preserve">,</w:t>
      </w:r>
      <w:r>
        <w:t xml:space="preserve"> </w:t>
      </w:r>
      <w:r>
        <w:rPr>
          <w:i/>
          <w:iCs/>
        </w:rPr>
        <w:t xml:space="preserve">110</w:t>
      </w:r>
      <w:r>
        <w:t xml:space="preserve">(D24), D24311.</w:t>
      </w:r>
      <w:r>
        <w:t xml:space="preserve"> </w:t>
      </w:r>
      <w:hyperlink r:id="rId166">
        <w:r>
          <w:rPr>
            <w:rStyle w:val="Hyperlink"/>
          </w:rPr>
          <w:t xml:space="preserve">https://doi.org/10.1029/2005JD006318</w:t>
        </w:r>
      </w:hyperlink>
    </w:p>
    <w:bookmarkEnd w:id="167"/>
    <w:bookmarkEnd w:id="168"/>
    <w:bookmarkEnd w:id="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66" Target="media/rId66.png" /><Relationship Type="http://schemas.openxmlformats.org/officeDocument/2006/relationships/image" Id="rId60" Target="media/rId60.png" /><Relationship Type="http://schemas.openxmlformats.org/officeDocument/2006/relationships/image" Id="rId54" Target="media/rId54.png" /><Relationship Type="http://schemas.openxmlformats.org/officeDocument/2006/relationships/image" Id="rId77" Target="media/rId77.png" /><Relationship Type="http://schemas.openxmlformats.org/officeDocument/2006/relationships/hyperlink" Id="rId65" Target="file:///Users/martinsanchez/Documents/Proyectos_PY/Incendios_PY/src/alerta.py" TargetMode="External" /><Relationship Type="http://schemas.openxmlformats.org/officeDocument/2006/relationships/hyperlink" Id="rId155" Target="http://queimadas.dgi.inpe.br" TargetMode="External" /><Relationship Type="http://schemas.openxmlformats.org/officeDocument/2006/relationships/hyperlink" Id="rId123" Target="https://chaco.mapbiomas.org/" TargetMode="External" /><Relationship Type="http://schemas.openxmlformats.org/officeDocument/2006/relationships/hyperlink" Id="rId106" Target="https://doi.org/10.1007/s10584-015-1521-0" TargetMode="External" /><Relationship Type="http://schemas.openxmlformats.org/officeDocument/2006/relationships/hyperlink" Id="rId116" Target="https://doi.org/10.1016/S0034-4257(02)00076-7" TargetMode="External" /><Relationship Type="http://schemas.openxmlformats.org/officeDocument/2006/relationships/hyperlink" Id="rId144" Target="https://doi.org/10.1016/j.envsoft.2014.03.003" TargetMode="External" /><Relationship Type="http://schemas.openxmlformats.org/officeDocument/2006/relationships/hyperlink" Id="rId151" Target="https://doi.org/10.1016/j.firesaf.2019.01.006" TargetMode="External" /><Relationship Type="http://schemas.openxmlformats.org/officeDocument/2006/relationships/hyperlink" Id="rId161" Target="https://doi.org/10.1016/j.jaridenv.2014.11.009" TargetMode="External" /><Relationship Type="http://schemas.openxmlformats.org/officeDocument/2006/relationships/hyperlink" Id="rId132" Target="https://doi.org/10.1016/j.pecon.2021.06.005" TargetMode="External" /><Relationship Type="http://schemas.openxmlformats.org/officeDocument/2006/relationships/hyperlink" Id="rId147" Target="https://doi.org/10.1016/j.rse.2008.05.013" TargetMode="External" /><Relationship Type="http://schemas.openxmlformats.org/officeDocument/2006/relationships/hyperlink" Id="rId153" Target="https://doi.org/10.1016/j.rse.2013.12.008" TargetMode="External" /><Relationship Type="http://schemas.openxmlformats.org/officeDocument/2006/relationships/hyperlink" Id="rId108" Target="https://doi.org/10.1016/j.rse.2016.02.054" TargetMode="External" /><Relationship Type="http://schemas.openxmlformats.org/officeDocument/2006/relationships/hyperlink" Id="rId110" Target="https://doi.org/10.1016/j.rse.2017.06.031" TargetMode="External" /><Relationship Type="http://schemas.openxmlformats.org/officeDocument/2006/relationships/hyperlink" Id="rId98" Target="https://doi.org/10.1016/j.rse.2019.02.013" TargetMode="External" /><Relationship Type="http://schemas.openxmlformats.org/officeDocument/2006/relationships/hyperlink" Id="rId166" Target="https://doi.org/10.1029/2005JD006318" TargetMode="External" /><Relationship Type="http://schemas.openxmlformats.org/officeDocument/2006/relationships/hyperlink" Id="rId114" Target="https://doi.org/10.1038/ncomms8537" TargetMode="External" /><Relationship Type="http://schemas.openxmlformats.org/officeDocument/2006/relationships/hyperlink" Id="rId135" Target="https://doi.org/10.1038/s41467-020-18321-y" TargetMode="External" /><Relationship Type="http://schemas.openxmlformats.org/officeDocument/2006/relationships/hyperlink" Id="rId140" Target="https://doi.org/10.1038/s41586-019-0912-1" TargetMode="External" /><Relationship Type="http://schemas.openxmlformats.org/officeDocument/2006/relationships/hyperlink" Id="rId90" Target="https://doi.org/10.1038/s41597-019-0312-2" TargetMode="External" /><Relationship Type="http://schemas.openxmlformats.org/officeDocument/2006/relationships/hyperlink" Id="rId121" Target="https://doi.org/10.1038/s42256-019-0138-9" TargetMode="External" /><Relationship Type="http://schemas.openxmlformats.org/officeDocument/2006/relationships/hyperlink" Id="rId104" Target="https://doi.org/10.1071/WF08187" TargetMode="External" /><Relationship Type="http://schemas.openxmlformats.org/officeDocument/2006/relationships/hyperlink" Id="rId88" Target="https://doi.org/10.1071/WF12167" TargetMode="External" /><Relationship Type="http://schemas.openxmlformats.org/officeDocument/2006/relationships/hyperlink" Id="rId100" Target="https://doi.org/10.1088/1748-9326/ab020e" TargetMode="External" /><Relationship Type="http://schemas.openxmlformats.org/officeDocument/2006/relationships/hyperlink" Id="rId125" Target="https://doi.org/10.1111/2041-210X.13650" TargetMode="External" /><Relationship Type="http://schemas.openxmlformats.org/officeDocument/2006/relationships/hyperlink" Id="rId142" Target="https://doi.org/10.1111/ecog.02881" TargetMode="External" /><Relationship Type="http://schemas.openxmlformats.org/officeDocument/2006/relationships/hyperlink" Id="rId94" Target="https://doi.org/10.1111/gcb.13521" TargetMode="External" /><Relationship Type="http://schemas.openxmlformats.org/officeDocument/2006/relationships/hyperlink" Id="rId102" Target="https://doi.org/10.1111/j.2007.0906-7590.05171.x" TargetMode="External" /><Relationship Type="http://schemas.openxmlformats.org/officeDocument/2006/relationships/hyperlink" Id="rId112" Target="https://doi.org/10.1139/er-2020-0019" TargetMode="External" /><Relationship Type="http://schemas.openxmlformats.org/officeDocument/2006/relationships/hyperlink" Id="rId129" Target="https://doi.org/10.1145/1102351.1102430" TargetMode="External" /><Relationship Type="http://schemas.openxmlformats.org/officeDocument/2006/relationships/hyperlink" Id="rId96" Target="https://doi.org/10.1145/2939672.2939785" TargetMode="External" /><Relationship Type="http://schemas.openxmlformats.org/officeDocument/2006/relationships/hyperlink" Id="rId138" Target="https://doi.org/10.1145/3299869.3320212" TargetMode="External" /><Relationship Type="http://schemas.openxmlformats.org/officeDocument/2006/relationships/hyperlink" Id="rId164" Target="https://doi.org/10.1145/3514228" TargetMode="External" /><Relationship Type="http://schemas.openxmlformats.org/officeDocument/2006/relationships/hyperlink" Id="rId159" Target="https://doi.org/10.2307/143141" TargetMode="External" /><Relationship Type="http://schemas.openxmlformats.org/officeDocument/2006/relationships/hyperlink" Id="rId119" Target="https://doi.org/10.2307/1939924" TargetMode="External" /><Relationship Type="http://schemas.openxmlformats.org/officeDocument/2006/relationships/hyperlink" Id="rId86" Target="https://doi.org/10.3390/rs10091438" TargetMode="External" /><Relationship Type="http://schemas.openxmlformats.org/officeDocument/2006/relationships/hyperlink" Id="rId92" Target="https://doi.org/10.3390/s20226442" TargetMode="External" /><Relationship Type="http://schemas.openxmlformats.org/officeDocument/2006/relationships/hyperlink" Id="rId127" Target="https://doi.org/10.5194/essd-13-4349-2021" TargetMode="External" /><Relationship Type="http://schemas.openxmlformats.org/officeDocument/2006/relationships/hyperlink" Id="rId157" Target="https://doi.org/10.5558/tfc65258-4" TargetMode="External" /><Relationship Type="http://schemas.openxmlformats.org/officeDocument/2006/relationships/hyperlink" Id="rId149" Target="https://doi.org/10.5772/28441" TargetMode="External" /><Relationship Type="http://schemas.openxmlformats.org/officeDocument/2006/relationships/hyperlink" Id="rId83"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65" Target="file:///Users/martinsanchez/Documents/Proyectos_PY/Incendios_PY/src/alerta.py" TargetMode="External" /><Relationship Type="http://schemas.openxmlformats.org/officeDocument/2006/relationships/hyperlink" Id="rId155" Target="http://queimadas.dgi.inpe.br" TargetMode="External" /><Relationship Type="http://schemas.openxmlformats.org/officeDocument/2006/relationships/hyperlink" Id="rId123" Target="https://chaco.mapbiomas.org/" TargetMode="External" /><Relationship Type="http://schemas.openxmlformats.org/officeDocument/2006/relationships/hyperlink" Id="rId106" Target="https://doi.org/10.1007/s10584-015-1521-0" TargetMode="External" /><Relationship Type="http://schemas.openxmlformats.org/officeDocument/2006/relationships/hyperlink" Id="rId116" Target="https://doi.org/10.1016/S0034-4257(02)00076-7" TargetMode="External" /><Relationship Type="http://schemas.openxmlformats.org/officeDocument/2006/relationships/hyperlink" Id="rId144" Target="https://doi.org/10.1016/j.envsoft.2014.03.003" TargetMode="External" /><Relationship Type="http://schemas.openxmlformats.org/officeDocument/2006/relationships/hyperlink" Id="rId151" Target="https://doi.org/10.1016/j.firesaf.2019.01.006" TargetMode="External" /><Relationship Type="http://schemas.openxmlformats.org/officeDocument/2006/relationships/hyperlink" Id="rId161" Target="https://doi.org/10.1016/j.jaridenv.2014.11.009" TargetMode="External" /><Relationship Type="http://schemas.openxmlformats.org/officeDocument/2006/relationships/hyperlink" Id="rId132" Target="https://doi.org/10.1016/j.pecon.2021.06.005" TargetMode="External" /><Relationship Type="http://schemas.openxmlformats.org/officeDocument/2006/relationships/hyperlink" Id="rId147" Target="https://doi.org/10.1016/j.rse.2008.05.013" TargetMode="External" /><Relationship Type="http://schemas.openxmlformats.org/officeDocument/2006/relationships/hyperlink" Id="rId153" Target="https://doi.org/10.1016/j.rse.2013.12.008" TargetMode="External" /><Relationship Type="http://schemas.openxmlformats.org/officeDocument/2006/relationships/hyperlink" Id="rId108" Target="https://doi.org/10.1016/j.rse.2016.02.054" TargetMode="External" /><Relationship Type="http://schemas.openxmlformats.org/officeDocument/2006/relationships/hyperlink" Id="rId110" Target="https://doi.org/10.1016/j.rse.2017.06.031" TargetMode="External" /><Relationship Type="http://schemas.openxmlformats.org/officeDocument/2006/relationships/hyperlink" Id="rId98" Target="https://doi.org/10.1016/j.rse.2019.02.013" TargetMode="External" /><Relationship Type="http://schemas.openxmlformats.org/officeDocument/2006/relationships/hyperlink" Id="rId166" Target="https://doi.org/10.1029/2005JD006318" TargetMode="External" /><Relationship Type="http://schemas.openxmlformats.org/officeDocument/2006/relationships/hyperlink" Id="rId114" Target="https://doi.org/10.1038/ncomms8537" TargetMode="External" /><Relationship Type="http://schemas.openxmlformats.org/officeDocument/2006/relationships/hyperlink" Id="rId135" Target="https://doi.org/10.1038/s41467-020-18321-y" TargetMode="External" /><Relationship Type="http://schemas.openxmlformats.org/officeDocument/2006/relationships/hyperlink" Id="rId140" Target="https://doi.org/10.1038/s41586-019-0912-1" TargetMode="External" /><Relationship Type="http://schemas.openxmlformats.org/officeDocument/2006/relationships/hyperlink" Id="rId90" Target="https://doi.org/10.1038/s41597-019-0312-2" TargetMode="External" /><Relationship Type="http://schemas.openxmlformats.org/officeDocument/2006/relationships/hyperlink" Id="rId121" Target="https://doi.org/10.1038/s42256-019-0138-9" TargetMode="External" /><Relationship Type="http://schemas.openxmlformats.org/officeDocument/2006/relationships/hyperlink" Id="rId104" Target="https://doi.org/10.1071/WF08187" TargetMode="External" /><Relationship Type="http://schemas.openxmlformats.org/officeDocument/2006/relationships/hyperlink" Id="rId88" Target="https://doi.org/10.1071/WF12167" TargetMode="External" /><Relationship Type="http://schemas.openxmlformats.org/officeDocument/2006/relationships/hyperlink" Id="rId100" Target="https://doi.org/10.1088/1748-9326/ab020e" TargetMode="External" /><Relationship Type="http://schemas.openxmlformats.org/officeDocument/2006/relationships/hyperlink" Id="rId125" Target="https://doi.org/10.1111/2041-210X.13650" TargetMode="External" /><Relationship Type="http://schemas.openxmlformats.org/officeDocument/2006/relationships/hyperlink" Id="rId142" Target="https://doi.org/10.1111/ecog.02881" TargetMode="External" /><Relationship Type="http://schemas.openxmlformats.org/officeDocument/2006/relationships/hyperlink" Id="rId94" Target="https://doi.org/10.1111/gcb.13521" TargetMode="External" /><Relationship Type="http://schemas.openxmlformats.org/officeDocument/2006/relationships/hyperlink" Id="rId102" Target="https://doi.org/10.1111/j.2007.0906-7590.05171.x" TargetMode="External" /><Relationship Type="http://schemas.openxmlformats.org/officeDocument/2006/relationships/hyperlink" Id="rId112" Target="https://doi.org/10.1139/er-2020-0019" TargetMode="External" /><Relationship Type="http://schemas.openxmlformats.org/officeDocument/2006/relationships/hyperlink" Id="rId129" Target="https://doi.org/10.1145/1102351.1102430" TargetMode="External" /><Relationship Type="http://schemas.openxmlformats.org/officeDocument/2006/relationships/hyperlink" Id="rId96" Target="https://doi.org/10.1145/2939672.2939785" TargetMode="External" /><Relationship Type="http://schemas.openxmlformats.org/officeDocument/2006/relationships/hyperlink" Id="rId138" Target="https://doi.org/10.1145/3299869.3320212" TargetMode="External" /><Relationship Type="http://schemas.openxmlformats.org/officeDocument/2006/relationships/hyperlink" Id="rId164" Target="https://doi.org/10.1145/3514228" TargetMode="External" /><Relationship Type="http://schemas.openxmlformats.org/officeDocument/2006/relationships/hyperlink" Id="rId159" Target="https://doi.org/10.2307/143141" TargetMode="External" /><Relationship Type="http://schemas.openxmlformats.org/officeDocument/2006/relationships/hyperlink" Id="rId119" Target="https://doi.org/10.2307/1939924" TargetMode="External" /><Relationship Type="http://schemas.openxmlformats.org/officeDocument/2006/relationships/hyperlink" Id="rId86" Target="https://doi.org/10.3390/rs10091438" TargetMode="External" /><Relationship Type="http://schemas.openxmlformats.org/officeDocument/2006/relationships/hyperlink" Id="rId92" Target="https://doi.org/10.3390/s20226442" TargetMode="External" /><Relationship Type="http://schemas.openxmlformats.org/officeDocument/2006/relationships/hyperlink" Id="rId127" Target="https://doi.org/10.5194/essd-13-4349-2021" TargetMode="External" /><Relationship Type="http://schemas.openxmlformats.org/officeDocument/2006/relationships/hyperlink" Id="rId157" Target="https://doi.org/10.5558/tfc65258-4" TargetMode="External" /><Relationship Type="http://schemas.openxmlformats.org/officeDocument/2006/relationships/hyperlink" Id="rId149" Target="https://doi.org/10.5772/28441" TargetMode="External" /><Relationship Type="http://schemas.openxmlformats.org/officeDocument/2006/relationships/hyperlink" Id="rId83"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(2015–2025)</dc:title>
  <dc:creator/>
  <dc:language>es</dc:language>
  <cp:keywords/>
  <dcterms:created xsi:type="dcterms:W3CDTF">2026-10-25T02:54:28Z</dcterms:created>
  <dcterms:modified xsi:type="dcterms:W3CDTF">2026-10-25T02:54:28Z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la predicción a 24 horas y benchmarking internacional frente a Canadian FWI e INPE</vt:lpwstr>
  </property>
  <property fmtid="{D5CDD505-2E9C-101B-9397-08002B2CF9AE}" pid="14" name="tbl-cap-location">
    <vt:lpwstr>top</vt:lpwstr>
  </property>
  <property fmtid="{D5CDD505-2E9C-101B-9397-08002B2CF9AE}" pid="15" name="toc-title">
    <vt:lpwstr>Contenido del Manuscrito</vt:lpwstr>
  </property>
</Properties>
</file>