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del error cuadrático medio de Brier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w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bookmarkStart w:id="18" w:name="Xca39a08a32cc4f39017118354ed1a3dc3c4a3b4"/>
    <w:p>
      <w:pPr>
        <w:pStyle w:val="Heading3"/>
      </w:pPr>
      <w:r>
        <w:t xml:space="preserve">Análisis de Sensibilidad del Radio del Buffer Espacial</w:t>
      </w:r>
    </w:p>
    <w:p>
      <w:pPr>
        <w:pStyle w:val="FirstParagraph"/>
      </w:pPr>
      <w:r>
        <w:t xml:space="preserve">Para evaluar la estabilidad del diseño experimental frente a la elección del radio del</w:t>
      </w:r>
      <w:r>
        <w:t xml:space="preserve"> </w:t>
      </w:r>
      <w:r>
        <w:rPr>
          <w:i/>
          <w:iCs/>
        </w:rPr>
        <w:t xml:space="preserve">dead-zone buffer</w:t>
      </w:r>
      <w:r>
        <w:t xml:space="preserve">, evaluamos el rendimiento discriminante bajo tres configuraciones de exclusión (</w:t>
      </w:r>
      <m:oMath>
        <m:r>
          <m:t>10</m:t>
        </m:r>
        <m:r>
          <m:rPr>
            <m:nor/>
            <m:sty m:val="p"/>
          </m:rPr>
          <m:t> km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30</m:t>
        </m:r>
        <m:r>
          <m:rPr>
            <m:nor/>
            <m:sty m:val="p"/>
          </m:rPr>
          <m:t> km</m:t>
        </m:r>
      </m:oMath>
      <w:r>
        <w:t xml:space="preserve">) sobre el conjunto de prueba ciego: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Radio del Buffer (</w:t>
            </w: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Espacial respecto al Semivariograma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(Ignición Chaco)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(Ignición Oriental)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(Propagación Chaco)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Sub-umbral (dentro del alcance espacial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5881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9482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Configuración Operativa Canónica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≈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nor/>
                  <m:sty m:val="p"/>
                </m:rPr>
                <m:t> km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5952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Sobre-umbral ultra-conservador (</w:t>
            </w:r>
            <m:oMath>
              <m:r>
                <m:t>h</m:t>
              </m:r>
              <m:r>
                <m:rPr>
                  <m:sty m:val="p"/>
                </m:rPr>
                <m:t>≫</m:t>
              </m:r>
              <m:r>
                <m:t>a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6014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7785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9365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Las variaciones en las métricas principales son marginales (</w:t>
      </w:r>
      <m:oMath>
        <m:r>
          <m:rPr>
            <m:sty m:val="p"/>
          </m:rPr>
          <m:t>Δ</m:t>
        </m:r>
        <m:r>
          <m:rPr>
            <m:nor/>
            <m:sty m:val="p"/>
          </m:rPr>
          <m:t>ROC-AUC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019</m:t>
        </m:r>
      </m:oMath>
      <w:r>
        <w:t xml:space="preserve">), demostrando que la superioridad de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 </w:t>
      </w:r>
      <w:r>
        <w:t xml:space="preserve">frente a los índices canónicos internacionales es un comportamiento robusto de la física del modelo y no un artefacto de la delimitación geométrica del buffer de entrenamiento.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20"/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 (obtenida con</w:t>
            </w:r>
            <w:r>
              <w:t xml:space="preserve"> </w:t>
            </w:r>
            <w:r>
              <w:rPr>
                <w:rStyle w:val="VerbatimChar"/>
              </w:rPr>
              <w:t xml:space="preserve">scripts/06_entrenar_modelos.py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min_child_samples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scale_pos_weight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num_boost_round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40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4"/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7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ARM64 (Apple M5, 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referencias-suplementarias"/>
    <w:p>
      <w:pPr>
        <w:pStyle w:val="Heading1"/>
      </w:pPr>
      <w:r>
        <w:t xml:space="preserve">Referencias Suplementarias</w:t>
      </w:r>
    </w:p>
    <w:bookmarkStart w:id="30" w:name="refs"/>
    <w:bookmarkStart w:id="29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8">
        <w:r>
          <w:rPr>
            <w:rStyle w:val="Hyperlink"/>
          </w:rPr>
          <w:t xml:space="preserve">https://doi.org/10.1016/j.rse.2013.12.008</w:t>
        </w:r>
      </w:hyperlink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8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8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2026-10-25T02:54:30Z</dcterms:created>
  <dcterms:modified xsi:type="dcterms:W3CDTF">2026-10-25T02:54:30Z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