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computational contribution is the D2 operator, the gated inference policy and a reusable evaluation harness released as open software; the learner is an implementation choice, not the novelty.</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multi-sensor VIIRS constellation (Suomi-NPP, NOAA-20 and NOAA-21) provides a comparatively consistent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both problems by formalizing three reusable computational components. The learner is intentionally replaceable: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a transferable, leakage-controlled benchmark: full FWI and INPE are tested under the same D2 protocol in the Gran Chaco, and the temporal versus spatial limits of the hybrid model are reported explicitly.</w:t>
      </w:r>
    </w:p>
    <w:p>
      <w:pPr>
        <w:pStyle w:val="BodyText"/>
      </w:pPr>
      <w:r>
        <w:t xml:space="preserve">The novelty is computational and infrastructural: D2 formalizes the target contract, gated inference defines the operational policy, the harness makes spatial, temporal, calibration and cost-loss evidence reproducible, and the software exposes the contract to other learners.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annual MapBiomas Collection 2 maps (2017–2023), joined to each row with the prior-year map;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pipeline processes 400,006 cells in 1.569 s with 2,182.1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identifies historical distance, dry-forest fraction, accessibility and seasonality as the dominant drivers in Chaco; in Oriental, historical distance and local anthropic concentration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spatial design retains 44 blocks and excludes a 20-km buffer around holdout cells during training; priors are recomputed without held-out fires. The gap between held-in and holdout performance measures spatial memorization. M3 shows a large drop in Chaco and a smaller drop in Oriental; M2 retains the best absolute discrimination in both regions. The result does not support M3 as a spatial extrapolator, and it does not make M1 the best option: M1 was a stable but lower baseline and was rejected as the operational fallback. The full M1 spatial and no-history results are in Supplementary Tables S8 and S16;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89.85 %/90.19 % for a nominal 90 % level and 95.02 %/94.56 %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contribution is a computational protocol and software infrastructure, not a new learner.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an annual MapBiomas Collection 2 series (2017–2023) joined by prior year; 2024 uses the 2023 map with lag 1 and 2025 reuses 2023 with lag 2, so the 2025 fuel state is extrapolated.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are archived under the concept DOIs reported below, and the benchmark can be extended to other subtropical regions without changing the target logic.</w:t>
      </w:r>
    </w:p>
    <w:bookmarkEnd w:id="51"/>
    <w:bookmarkStart w:id="54" w:name="data-availability"/>
    <w:p>
      <w:pPr>
        <w:pStyle w:val="Heading1"/>
      </w:pPr>
      <w:r>
        <w:t xml:space="preserve">6. Data availability</w:t>
      </w:r>
    </w:p>
    <w:p>
      <w:pPr>
        <w:pStyle w:val="FirstParagraph"/>
      </w:pPr>
      <w:r>
        <w:t xml:space="preserve">Processed data, test predictions, trained models and derived tables are available in the v2.0.0 GitHub release (</w:t>
      </w:r>
      <w:hyperlink r:id="rId52">
        <w:r>
          <w:rPr>
            <w:rStyle w:val="Hyperlink"/>
          </w:rPr>
          <w:t xml:space="preserve">https://github.com/sanchezmartin093-code/Incendios_PY/releases/tag/v2.0.0</w:t>
        </w:r>
      </w:hyperlink>
      <w:r>
        <w:t xml:space="preserve">; asset</w:t>
      </w:r>
      <w:r>
        <w:t xml:space="preserve"> </w:t>
      </w:r>
      <w:r>
        <w:rPr>
          <w:rStyle w:val="VerbatimChar"/>
        </w:rPr>
        <w:t xml:space="preserve">Incendios_PY_data_v2.0.0.zip</w:t>
      </w:r>
      <w:r>
        <w:t xml:space="preserve">)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ements"/>
    <w:p>
      <w:pPr>
        <w:pStyle w:val="Heading1"/>
      </w:pPr>
      <w:r>
        <w:t xml:space="preserve">7. Acknowledgements</w:t>
      </w:r>
    </w:p>
    <w:p>
      <w:pPr>
        <w:pStyle w:val="FirstParagraph"/>
      </w:pPr>
      <w:r>
        <w:t xml:space="preserve">We thank NASA FIRMS, the Copernicus Climate Data Store, MapBiomas and geoBoundaries for open data. The author is responsible for all interpretations and errors.</w:t>
      </w:r>
    </w:p>
    <w:bookmarkEnd w:id="55"/>
    <w:bookmarkStart w:id="56" w:name="funding"/>
    <w:p>
      <w:pPr>
        <w:pStyle w:val="Heading1"/>
      </w:pPr>
      <w:r>
        <w:t xml:space="preserve">8. 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9. 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2"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60">
        <w:r>
          <w:rPr>
            <w:rStyle w:val="Hyperlink"/>
          </w:rPr>
          <w:t xml:space="preserve">https://github.com/sanchezmartin093-code/Incendios_PY</w:t>
        </w:r>
      </w:hyperlink>
      <w:r>
        <w:br/>
      </w:r>
      <w:r>
        <w:rPr>
          <w:b/>
          <w:bCs/>
        </w:rPr>
        <w:t xml:space="preserve">Code concept DOI:</w:t>
      </w:r>
      <w:r>
        <w:t xml:space="preserve"> </w:t>
      </w:r>
      <w:hyperlink r:id="rId61">
        <w:r>
          <w:rPr>
            <w:rStyle w:val="Hyperlink"/>
          </w:rPr>
          <w:t xml:space="preserve">10.5281/zenodo.23675104</w:t>
        </w:r>
      </w:hyperlink>
      <w:r>
        <w:br/>
      </w:r>
      <w:r>
        <w:rPr>
          <w:b/>
          <w:bCs/>
        </w:rPr>
        <w:t xml:space="preserve">Data concept DOI:</w:t>
      </w:r>
      <w:r>
        <w:t xml:space="preserve"> </w:t>
      </w:r>
      <w:hyperlink r:id="rId53">
        <w:r>
          <w:rPr>
            <w:rStyle w:val="Hyperlink"/>
          </w:rPr>
          <w:t xml:space="preserve">10.5281/zenodo.23675278</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2"/>
    <w:bookmarkStart w:id="101" w:name="references"/>
    <w:p>
      <w:pPr>
        <w:pStyle w:val="Heading1"/>
      </w:pPr>
      <w:r>
        <w:t xml:space="preserve">References</w:t>
      </w:r>
    </w:p>
    <w:bookmarkStart w:id="100" w:name="refs"/>
    <w:bookmarkStart w:id="64"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3">
        <w:r>
          <w:rPr>
            <w:rStyle w:val="Hyperlink"/>
          </w:rPr>
          <w:t xml:space="preserve">https://doi.org/10.3390/rs10091438</w:t>
        </w:r>
      </w:hyperlink>
    </w:p>
    <w:bookmarkEnd w:id="64"/>
    <w:bookmarkStart w:id="66"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5">
        <w:r>
          <w:rPr>
            <w:rStyle w:val="Hyperlink"/>
          </w:rPr>
          <w:t xml:space="preserve">https://doi.org/10.3390/s20226442</w:t>
        </w:r>
      </w:hyperlink>
    </w:p>
    <w:bookmarkEnd w:id="66"/>
    <w:bookmarkStart w:id="68"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7">
        <w:r>
          <w:rPr>
            <w:rStyle w:val="Hyperlink"/>
          </w:rPr>
          <w:t xml:space="preserve">https://doi.org/10.1111/gcb.13521</w:t>
        </w:r>
      </w:hyperlink>
    </w:p>
    <w:bookmarkEnd w:id="68"/>
    <w:bookmarkStart w:id="70"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9">
        <w:r>
          <w:rPr>
            <w:rStyle w:val="Hyperlink"/>
          </w:rPr>
          <w:t xml:space="preserve">https://doi.org/10.1111/j.2007.0906-7590.05171.x</w:t>
        </w:r>
      </w:hyperlink>
    </w:p>
    <w:bookmarkEnd w:id="70"/>
    <w:bookmarkStart w:id="72"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1">
        <w:r>
          <w:rPr>
            <w:rStyle w:val="Hyperlink"/>
          </w:rPr>
          <w:t xml:space="preserve">https://doi.org/10.1071/WF08187</w:t>
        </w:r>
      </w:hyperlink>
    </w:p>
    <w:bookmarkEnd w:id="72"/>
    <w:bookmarkStart w:id="74"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3">
        <w:r>
          <w:rPr>
            <w:rStyle w:val="Hyperlink"/>
          </w:rPr>
          <w:t xml:space="preserve">https://doi.org/10.1139/er-2020-0019</w:t>
        </w:r>
      </w:hyperlink>
    </w:p>
    <w:bookmarkEnd w:id="74"/>
    <w:bookmarkStart w:id="76"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5">
        <w:r>
          <w:rPr>
            <w:rStyle w:val="Hyperlink"/>
          </w:rPr>
          <w:t xml:space="preserve">https://doi.org/10.1038/ncomms8537</w:t>
        </w:r>
      </w:hyperlink>
    </w:p>
    <w:bookmarkEnd w:id="76"/>
    <w:bookmarkStart w:id="7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7"/>
    <w:bookmarkStart w:id="79"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8">
        <w:r>
          <w:rPr>
            <w:rStyle w:val="Hyperlink"/>
          </w:rPr>
          <w:t xml:space="preserve">https://doi.org/10.2307/1939924</w:t>
        </w:r>
      </w:hyperlink>
    </w:p>
    <w:bookmarkEnd w:id="79"/>
    <w:bookmarkStart w:id="81"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0">
        <w:r>
          <w:rPr>
            <w:rStyle w:val="Hyperlink"/>
          </w:rPr>
          <w:t xml:space="preserve">https://doi.org/10.1145/1102351.1102430</w:t>
        </w:r>
      </w:hyperlink>
    </w:p>
    <w:bookmarkEnd w:id="81"/>
    <w:bookmarkStart w:id="83"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2">
        <w:r>
          <w:rPr>
            <w:rStyle w:val="Hyperlink"/>
          </w:rPr>
          <w:t xml:space="preserve">https://doi.org/10.1016/j.pecon.2021.06.005</w:t>
        </w:r>
      </w:hyperlink>
    </w:p>
    <w:bookmarkEnd w:id="83"/>
    <w:bookmarkStart w:id="8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4"/>
    <w:bookmarkStart w:id="86"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5">
        <w:r>
          <w:rPr>
            <w:rStyle w:val="Hyperlink"/>
          </w:rPr>
          <w:t xml:space="preserve">https://doi.org/10.1038/s41467-020-18321-y</w:t>
        </w:r>
      </w:hyperlink>
    </w:p>
    <w:bookmarkEnd w:id="86"/>
    <w:bookmarkStart w:id="88"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7">
        <w:r>
          <w:rPr>
            <w:rStyle w:val="Hyperlink"/>
          </w:rPr>
          <w:t xml:space="preserve">https://doi.org/10.1111/ecog.02881</w:t>
        </w:r>
      </w:hyperlink>
    </w:p>
    <w:bookmarkEnd w:id="88"/>
    <w:bookmarkStart w:id="90"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9">
        <w:r>
          <w:rPr>
            <w:rStyle w:val="Hyperlink"/>
          </w:rPr>
          <w:t xml:space="preserve">https://doi.org/10.5772/28441</w:t>
        </w:r>
      </w:hyperlink>
    </w:p>
    <w:bookmarkEnd w:id="90"/>
    <w:bookmarkStart w:id="9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1">
        <w:r>
          <w:rPr>
            <w:rStyle w:val="Hyperlink"/>
          </w:rPr>
          <w:t xml:space="preserve">http://queimadas.dgi.inpe.br</w:t>
        </w:r>
      </w:hyperlink>
    </w:p>
    <w:bookmarkEnd w:id="92"/>
    <w:bookmarkStart w:id="9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3">
        <w:r>
          <w:rPr>
            <w:rStyle w:val="Hyperlink"/>
          </w:rPr>
          <w:t xml:space="preserve">https://doi.org/10.5558/tfc65258-4</w:t>
        </w:r>
      </w:hyperlink>
    </w:p>
    <w:bookmarkEnd w:id="94"/>
    <w:bookmarkStart w:id="9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5">
        <w:r>
          <w:rPr>
            <w:rStyle w:val="Hyperlink"/>
          </w:rPr>
          <w:t xml:space="preserve">https://doi.org/10.2307/143141</w:t>
        </w:r>
      </w:hyperlink>
    </w:p>
    <w:bookmarkEnd w:id="96"/>
    <w:bookmarkStart w:id="9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7">
        <w:r>
          <w:rPr>
            <w:rStyle w:val="Hyperlink"/>
          </w:rPr>
          <w:t xml:space="preserve">https://doi.org/10.1016/j.jaridenv.2014.11.009</w:t>
        </w:r>
      </w:hyperlink>
    </w:p>
    <w:bookmarkEnd w:id="98"/>
    <w:bookmarkStart w:id="9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1" Target="http://queimadas.dgi.inpe.br" TargetMode="External" /><Relationship Type="http://schemas.openxmlformats.org/officeDocument/2006/relationships/hyperlink" Id="rId97" Target="https://doi.org/10.1016/j.jaridenv.2014.11.009" TargetMode="External" /><Relationship Type="http://schemas.openxmlformats.org/officeDocument/2006/relationships/hyperlink" Id="rId82" Target="https://doi.org/10.1016/j.pecon.2021.06.005" TargetMode="External" /><Relationship Type="http://schemas.openxmlformats.org/officeDocument/2006/relationships/hyperlink" Id="rId75" Target="https://doi.org/10.1038/ncomms8537" TargetMode="External" /><Relationship Type="http://schemas.openxmlformats.org/officeDocument/2006/relationships/hyperlink" Id="rId85" Target="https://doi.org/10.1038/s41467-020-18321-y" TargetMode="External" /><Relationship Type="http://schemas.openxmlformats.org/officeDocument/2006/relationships/hyperlink" Id="rId71" Target="https://doi.org/10.1071/WF08187" TargetMode="External" /><Relationship Type="http://schemas.openxmlformats.org/officeDocument/2006/relationships/hyperlink" Id="rId87" Target="https://doi.org/10.1111/ecog.02881" TargetMode="External" /><Relationship Type="http://schemas.openxmlformats.org/officeDocument/2006/relationships/hyperlink" Id="rId67" Target="https://doi.org/10.1111/gcb.13521" TargetMode="External" /><Relationship Type="http://schemas.openxmlformats.org/officeDocument/2006/relationships/hyperlink" Id="rId69" Target="https://doi.org/10.1111/j.2007.0906-7590.05171.x" TargetMode="External" /><Relationship Type="http://schemas.openxmlformats.org/officeDocument/2006/relationships/hyperlink" Id="rId73" Target="https://doi.org/10.1139/er-2020-0019" TargetMode="External" /><Relationship Type="http://schemas.openxmlformats.org/officeDocument/2006/relationships/hyperlink" Id="rId80" Target="https://doi.org/10.1145/1102351.1102430" TargetMode="External" /><Relationship Type="http://schemas.openxmlformats.org/officeDocument/2006/relationships/hyperlink" Id="rId9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63" Target="https://doi.org/10.3390/rs10091438" TargetMode="External" /><Relationship Type="http://schemas.openxmlformats.org/officeDocument/2006/relationships/hyperlink" Id="rId65" Target="https://doi.org/10.3390/s20226442" TargetMode="External" /><Relationship Type="http://schemas.openxmlformats.org/officeDocument/2006/relationships/hyperlink" Id="rId61"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93" Target="https://doi.org/10.5558/tfc65258-4" TargetMode="External" /><Relationship Type="http://schemas.openxmlformats.org/officeDocument/2006/relationships/hyperlink" Id="rId89"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_rels/footnotes.xml.rels><?xml version="1.0" encoding="UTF-8"?><Relationships xmlns="http://schemas.openxmlformats.org/package/2006/relationships"><Relationship Type="http://schemas.openxmlformats.org/officeDocument/2006/relationships/hyperlink" Id="rId91" Target="http://queimadas.dgi.inpe.br" TargetMode="External" /><Relationship Type="http://schemas.openxmlformats.org/officeDocument/2006/relationships/hyperlink" Id="rId97" Target="https://doi.org/10.1016/j.jaridenv.2014.11.009" TargetMode="External" /><Relationship Type="http://schemas.openxmlformats.org/officeDocument/2006/relationships/hyperlink" Id="rId82" Target="https://doi.org/10.1016/j.pecon.2021.06.005" TargetMode="External" /><Relationship Type="http://schemas.openxmlformats.org/officeDocument/2006/relationships/hyperlink" Id="rId75" Target="https://doi.org/10.1038/ncomms8537" TargetMode="External" /><Relationship Type="http://schemas.openxmlformats.org/officeDocument/2006/relationships/hyperlink" Id="rId85" Target="https://doi.org/10.1038/s41467-020-18321-y" TargetMode="External" /><Relationship Type="http://schemas.openxmlformats.org/officeDocument/2006/relationships/hyperlink" Id="rId71" Target="https://doi.org/10.1071/WF08187" TargetMode="External" /><Relationship Type="http://schemas.openxmlformats.org/officeDocument/2006/relationships/hyperlink" Id="rId87" Target="https://doi.org/10.1111/ecog.02881" TargetMode="External" /><Relationship Type="http://schemas.openxmlformats.org/officeDocument/2006/relationships/hyperlink" Id="rId67" Target="https://doi.org/10.1111/gcb.13521" TargetMode="External" /><Relationship Type="http://schemas.openxmlformats.org/officeDocument/2006/relationships/hyperlink" Id="rId69" Target="https://doi.org/10.1111/j.2007.0906-7590.05171.x" TargetMode="External" /><Relationship Type="http://schemas.openxmlformats.org/officeDocument/2006/relationships/hyperlink" Id="rId73" Target="https://doi.org/10.1139/er-2020-0019" TargetMode="External" /><Relationship Type="http://schemas.openxmlformats.org/officeDocument/2006/relationships/hyperlink" Id="rId80" Target="https://doi.org/10.1145/1102351.1102430" TargetMode="External" /><Relationship Type="http://schemas.openxmlformats.org/officeDocument/2006/relationships/hyperlink" Id="rId9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63" Target="https://doi.org/10.3390/rs10091438" TargetMode="External" /><Relationship Type="http://schemas.openxmlformats.org/officeDocument/2006/relationships/hyperlink" Id="rId65" Target="https://doi.org/10.3390/s20226442" TargetMode="External" /><Relationship Type="http://schemas.openxmlformats.org/officeDocument/2006/relationships/hyperlink" Id="rId61"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93" Target="https://doi.org/10.5558/tfc65258-4" TargetMode="External" /><Relationship Type="http://schemas.openxmlformats.org/officeDocument/2006/relationships/hyperlink" Id="rId89"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2026-10-28T00:50:40Z</dcterms:created>
  <dcterms:modified xsi:type="dcterms:W3CDTF">2026-10-28T00:50:40Z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