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Date"/>
      </w:pPr>
      <w:r>
        <w:t xml:space="preserve">2026-10-27</w:t>
      </w:r>
    </w:p>
    <w:p>
      <w:pPr>
        <w:pStyle w:val="BlockText"/>
      </w:pPr>
      <w:r>
        <w:rPr>
          <w:b/>
          <w:bCs/>
        </w:rPr>
        <w:t xml:space="preserve">Target journal:</w:t>
      </w:r>
      <w:r>
        <w:t xml:space="preserve"> </w:t>
      </w:r>
      <w:r>
        <w:rPr>
          <w:i/>
          <w:iCs/>
        </w:rPr>
        <w:t xml:space="preserve">Computers &amp; Geosciences</w:t>
      </w:r>
      <w:r>
        <w:t xml:space="preserve"> </w:t>
      </w:r>
      <w:r>
        <w:t xml:space="preserve">(Elsevier).</w:t>
      </w:r>
      <w:r>
        <w:t xml:space="preserve"> </w:t>
      </w:r>
      <w:r>
        <w:rPr>
          <w:b/>
          <w:bCs/>
        </w:rPr>
        <w:t xml:space="preserve">Article type:</w:t>
      </w:r>
      <w:r>
        <w:t xml:space="preserve"> </w:t>
      </w:r>
      <w:r>
        <w:t xml:space="preserve">research article.</w:t>
      </w:r>
      <w:r>
        <w:t xml:space="preserve"> </w:t>
      </w:r>
      <w:r>
        <w:rPr>
          <w:b/>
          <w:bCs/>
        </w:rPr>
        <w:t xml:space="preserve">Peer review:</w:t>
      </w:r>
      <w:r>
        <w:t xml:space="preserve"> </w:t>
      </w:r>
      <w:r>
        <w:t xml:space="preserve">single-anonymized.</w:t>
      </w:r>
      <w:r>
        <w:br/>
      </w:r>
      <w:r>
        <w:rPr>
          <w:b/>
          <w:bCs/>
        </w:rPr>
        <w:t xml:space="preserve">Supplementary file:</w:t>
      </w:r>
      <w:r>
        <w:t xml:space="preserve"> </w:t>
      </w:r>
      <w:r>
        <w:rPr>
          <w:rStyle w:val="VerbatimChar"/>
        </w:rPr>
        <w:t xml:space="preserve">material_suplementario.pdf</w:t>
      </w:r>
      <w:r>
        <w:t xml:space="preserve"> </w:t>
      </w:r>
      <w:r>
        <w:t xml:space="preserve">— Notes S1–S3, Tables S1–S17 and Figures S1–S3.</w:t>
      </w:r>
      <w:r>
        <w:br/>
      </w:r>
      <w:r>
        <w:rPr>
          <w:b/>
          <w:bCs/>
        </w:rPr>
        <w:t xml:space="preserve">Code:</w:t>
      </w:r>
      <w:r>
        <w:t xml:space="preserve"> </w:t>
      </w:r>
      <w:hyperlink r:id="rId9">
        <w:r>
          <w:rPr>
            <w:rStyle w:val="Hyperlink"/>
          </w:rPr>
          <w:t xml:space="preserve">github.com/sanchezmartin093-code/Incendios_PY</w:t>
        </w:r>
      </w:hyperlink>
      <w:r>
        <w:t xml:space="preserve"> </w:t>
      </w:r>
      <w:r>
        <w:t xml:space="preserve">(MIT License; code concept DOI</w:t>
      </w:r>
      <w:r>
        <w:t xml:space="preserve"> </w:t>
      </w:r>
      <w:hyperlink r:id="rId10">
        <w:r>
          <w:rPr>
            <w:rStyle w:val="Hyperlink"/>
          </w:rPr>
          <w:t xml:space="preserve">10.5281/zenodo.23675104</w:t>
        </w:r>
      </w:hyperlink>
      <w:r>
        <w:t xml:space="preserve">; GitHub release v2.0.0).</w:t>
      </w:r>
      <w:r>
        <w:br/>
      </w:r>
      <w:r>
        <w:rPr>
          <w:b/>
          <w:bCs/>
        </w:rPr>
        <w:t xml:space="preserve">Data:</w:t>
      </w:r>
      <w:r>
        <w:t xml:space="preserve"> </w:t>
      </w:r>
      <w:r>
        <w:t xml:space="preserve">processed data and test predictions are available in the v2.0.0 GitHub release under CC BY 4.0 and indexed by the data concept DOI</w:t>
      </w:r>
      <w:r>
        <w:t xml:space="preserve"> </w:t>
      </w:r>
      <w:hyperlink r:id="rId11">
        <w:r>
          <w:rPr>
            <w:rStyle w:val="Hyperlink"/>
          </w:rPr>
          <w:t xml:space="preserve">10.5281/zenodo.23675278</w:t>
        </w:r>
      </w:hyperlink>
      <w:r>
        <w:t xml:space="preserve">.</w:t>
      </w:r>
    </w:p>
    <w:bookmarkStart w:id="12" w:name="supplementary-contents"/>
    <w:p>
      <w:pPr>
        <w:pStyle w:val="Heading1"/>
      </w:pPr>
      <w:r>
        <w:t xml:space="preserve">Supplementary contents</w:t>
      </w:r>
    </w:p>
    <w:p>
      <w:pPr>
        <w:pStyle w:val="FirstParagraph"/>
      </w:pPr>
      <w:r>
        <w:t xml:space="preserve">•</w:t>
      </w:r>
      <w:r>
        <w:t xml:space="preserve"> </w:t>
      </w:r>
      <w:r>
        <w:rPr>
          <w:b/>
          <w:bCs/>
        </w:rPr>
        <w:t xml:space="preserve">Note S1:</w:t>
      </w:r>
      <w:r>
        <w:t xml:space="preserve"> </w:t>
      </w:r>
      <w:r>
        <w:t xml:space="preserve">Data, D2 target construction, quality control and sampling.</w:t>
      </w:r>
    </w:p>
    <w:p>
      <w:pPr>
        <w:pStyle w:val="BodyText"/>
      </w:pPr>
      <w:r>
        <w:t xml:space="preserve">•</w:t>
      </w:r>
      <w:r>
        <w:t xml:space="preserve"> </w:t>
      </w:r>
      <w:r>
        <w:rPr>
          <w:b/>
          <w:bCs/>
        </w:rPr>
        <w:t xml:space="preserve">Note S2:</w:t>
      </w:r>
      <w:r>
        <w:t xml:space="preserve"> </w:t>
      </w:r>
      <w:r>
        <w:t xml:space="preserve">Bounded monotonic Platt calibration and hyperparameters.</w:t>
      </w:r>
    </w:p>
    <w:p>
      <w:pPr>
        <w:pStyle w:val="BodyText"/>
      </w:pPr>
      <w:r>
        <w:t xml:space="preserve">•</w:t>
      </w:r>
      <w:r>
        <w:t xml:space="preserve"> </w:t>
      </w:r>
      <w:r>
        <w:rPr>
          <w:b/>
          <w:bCs/>
        </w:rPr>
        <w:t xml:space="preserve">Note S3:</w:t>
      </w:r>
      <w:r>
        <w:t xml:space="preserve"> </w:t>
      </w:r>
      <w:r>
        <w:t xml:space="preserve">Evaluation protocol and extended analyses.</w:t>
      </w:r>
    </w:p>
    <w:p>
      <w:pPr>
        <w:pStyle w:val="BodyText"/>
      </w:pPr>
      <w:r>
        <w:t xml:space="preserve">•</w:t>
      </w:r>
      <w:r>
        <w:t xml:space="preserve"> </w:t>
      </w:r>
      <w:r>
        <w:rPr>
          <w:b/>
          <w:bCs/>
        </w:rPr>
        <w:t xml:space="preserve">Tables S1–S17:</w:t>
      </w:r>
      <w:r>
        <w:t xml:space="preserve"> </w:t>
      </w:r>
      <w:r>
        <w:t xml:space="preserve">variable dictionary, hyperparameters, departmental results, computational profile, conformal coverage, population evaluation, paired significance, spatial blocks, lead time, sampling, full benchmark, ablation, M1 baseline, gated policy, SHAP, cost-loss and data audit.</w:t>
      </w:r>
    </w:p>
    <w:p>
      <w:pPr>
        <w:pStyle w:val="BodyText"/>
      </w:pPr>
      <w:r>
        <w:t xml:space="preserve">•</w:t>
      </w:r>
      <w:r>
        <w:t xml:space="preserve"> </w:t>
      </w:r>
      <w:r>
        <w:rPr>
          <w:b/>
          <w:bCs/>
        </w:rPr>
        <w:t xml:space="preserve">Figures S1–S3:</w:t>
      </w:r>
      <w:r>
        <w:t xml:space="preserve"> </w:t>
      </w:r>
      <w:r>
        <w:t xml:space="preserve">SHAP, ablation and cost-loss.</w:t>
      </w:r>
    </w:p>
    <w:p>
      <w:r>
        <w:pict>
          <v:rect style="width:0;height:1.5pt" o:hralign="center" o:hrstd="t" o:hr="t"/>
        </w:pict>
      </w:r>
    </w:p>
    <w:bookmarkEnd w:id="12"/>
    <w:bookmarkStart w:id="13" w:name="X83571a9a9707d876512badeb0941e1998e6ebc8"/>
    <w:p>
      <w:pPr>
        <w:pStyle w:val="Heading1"/>
      </w:pPr>
      <w:r>
        <w:t xml:space="preserve">Supplementary Note S1. Data, D2 target construction, quality control and sampling</w:t>
      </w:r>
    </w:p>
    <w:p>
      <w:pPr>
        <w:pStyle w:val="FirstParagraph"/>
      </w:pPr>
      <w:r>
        <w:t xml:space="preserve">VIIRS active-fire detections from Suomi-NPP, NOAA-20 and NOAA-21 are acquired as 375-m cross-track swaths from NASA FIRMS</w:t>
      </w:r>
      <w:r>
        <w:t xml:space="preserve"> </w:t>
      </w:r>
      <w:r>
        <w:t xml:space="preserve">(NASA FIRMS, 2026)</w:t>
      </w:r>
      <w:r>
        <w:t xml:space="preserve">.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w:t>
      </w:r>
      <w:r>
        <w:t xml:space="preserve"> </w:t>
      </w:r>
      <w:r>
        <w:t xml:space="preserve">(Muñoz-Sabater et al., 2021)</w:t>
      </w:r>
      <w:r>
        <w:t xml:space="preserve"> </w:t>
      </w:r>
      <w:r>
        <w:t xml:space="preserve">are mapped to cells with a precomputed cKDTree. The processed data archive contains test targets, probabilities, benchmark layers, sampling plans and trained artifacts, so the result tables can be regenerated without the raw multi-terabyte archive.</w:t>
      </w:r>
    </w:p>
    <w:bookmarkEnd w:id="13"/>
    <w:bookmarkStart w:id="14" w:name="Xac65a9f9facf6e781c21167027b8d7410bb4d7d"/>
    <w:p>
      <w:pPr>
        <w:pStyle w:val="Heading1"/>
      </w:pPr>
      <w:r>
        <w:t xml:space="preserve">Supplementary Note S2. Bounded monotonic Platt calibration and hyperparameters</w:t>
      </w:r>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w:t>
      </w:r>
      <w:r>
        <w:t xml:space="preserve"> </w:t>
      </w:r>
      <w:r>
        <w:t xml:space="preserve">(Ke et al., 2017)</w:t>
      </w:r>
      <w:r>
        <w:t xml:space="preserve"> </w:t>
      </w:r>
      <w:r>
        <w:t xml:space="preserve">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w:t>
      </w:r>
      <w:r>
        <w:t xml:space="preserve"> </w:t>
      </w:r>
      <w:r>
        <w:t xml:space="preserve">(Platt, 1999)</w:t>
      </w:r>
      <w:r>
        <w:t xml:space="preserve"> </w:t>
      </w:r>
      <w:r>
        <w:t xml:space="preserve">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4"/>
    <w:bookmarkStart w:id="24" w:name="Xf4ea7940dedcdf503eea2833409b971dd6744b5"/>
    <w:p>
      <w:pPr>
        <w:pStyle w:val="Heading1"/>
      </w:pPr>
      <w:r>
        <w:t xml:space="preserve">Supplementary Note S3. Evaluation protocol and extended analyses</w:t>
      </w:r>
    </w:p>
    <w:p>
      <w:pPr>
        <w:pStyle w:val="FirstParagraph"/>
      </w:pPr>
      <w:r>
        <w:t xml:space="preserve">The harness is fixed before the test is opened. It contains five components:</w:t>
      </w:r>
    </w:p>
    <w:p>
      <w:pPr>
        <w:pStyle w:val="BodyText"/>
      </w:pPr>
      <w:r>
        <w:rPr>
          <w:b/>
          <w:bCs/>
        </w:rPr>
        <w:t xml:space="preserve">(1)</w:t>
      </w:r>
      <w:r>
        <w:t xml:space="preserve"> </w:t>
      </w:r>
      <w:r>
        <w:t xml:space="preserve">A strictly temporal split: training 2018–2022, validation 2023 and test 2024–2025.</w:t>
      </w:r>
    </w:p>
    <w:p>
      <w:pPr>
        <w:pStyle w:val="BodyText"/>
      </w:pPr>
      <w:r>
        <w:rPr>
          <w:b/>
          <w:bCs/>
        </w:rPr>
        <w:t xml:space="preserve">(2)</w:t>
      </w:r>
      <w:r>
        <w:t xml:space="preserve"> </w:t>
      </w:r>
      <w:r>
        <w:t xml:space="preserve">A 50-km spatial block holdout with a 20-km buffer; priors are recomputed without held-out fires.</w:t>
      </w:r>
    </w:p>
    <w:p>
      <w:pPr>
        <w:pStyle w:val="BodyText"/>
      </w:pPr>
      <w:r>
        <w:rPr>
          <w:b/>
          <w:bCs/>
        </w:rPr>
        <w:t xml:space="preserve">(3)</w:t>
      </w:r>
      <w:r>
        <w:t xml:space="preserve"> </w:t>
      </w:r>
      <w:r>
        <w:t xml:space="preserve">A paired bootstrap grouped by date (</w:t>
      </w:r>
      <m:oMath>
        <m:r>
          <m:t>B</m:t>
        </m:r>
        <m:r>
          <m:rPr>
            <m:sty m:val="p"/>
          </m:rPr>
          <m:t>=</m:t>
        </m:r>
        <m:r>
          <m:t>1</m:t>
        </m:r>
        <m:r>
          <m:t> </m:t>
        </m:r>
        <m:r>
          <m:t>000</m:t>
        </m:r>
      </m:oMath>
      <w:r>
        <w:t xml:space="preserve">) for confidence intervals and differences against FWI</w:t>
      </w:r>
      <w:r>
        <w:t xml:space="preserve"> </w:t>
      </w:r>
      <w:r>
        <w:t xml:space="preserve">(Van Wagner, 1987)</w:t>
      </w:r>
      <w:r>
        <w:t xml:space="preserve"> </w:t>
      </w:r>
      <w:r>
        <w:t xml:space="preserve">and INPE</w:t>
      </w:r>
      <w:r>
        <w:t xml:space="preserve"> </w:t>
      </w:r>
      <w:r>
        <w:t xml:space="preserve">(Setzer et al., 2019)</w:t>
      </w:r>
      <w:r>
        <w:t xml:space="preserve">.</w:t>
      </w:r>
    </w:p>
    <w:p>
      <w:pPr>
        <w:pStyle w:val="BodyText"/>
      </w:pPr>
      <w:r>
        <w:rPr>
          <w:b/>
          <w:bCs/>
        </w:rPr>
        <w:t xml:space="preserve">(4)</w:t>
      </w:r>
      <w:r>
        <w:t xml:space="preserve"> </w:t>
      </w:r>
      <w:r>
        <w:t xml:space="preserve">A lead-time analysis using t-1 weather to quantify the nowcast-to-forecast gap.</w:t>
      </w:r>
    </w:p>
    <w:p>
      <w:pPr>
        <w:pStyle w:val="BodyText"/>
      </w:pPr>
      <w:r>
        <w:rPr>
          <w:b/>
          <w:bCs/>
        </w:rPr>
        <w:t xml:space="preserve">(5)</w:t>
      </w:r>
      <w:r>
        <w:t xml:space="preserve"> </w:t>
      </w:r>
      <w:r>
        <w:t xml:space="preserve">Population-level, conformal and cost-loss analyses.</w:t>
      </w:r>
    </w:p>
    <w:p>
      <w:pPr>
        <w:pStyle w:val="BodyText"/>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1 000. Because four main comparisons are made against FWI and INPE, the significance statements are a conservative screening result rather than multiplicity-adjusted inference. The bootstrap resolution is 0.001.</w:t>
      </w:r>
    </w:p>
    <w:p>
      <w:pPr>
        <w:pStyle w:val="BodyText"/>
      </w:pPr>
      <w:r>
        <w:t xml:space="preserve">The full benchmark is in Table S11, paired significance in Table S7, the complete spatial block results in Table S8 and the lead-time results in Table S9.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p>
      <w:r>
        <w:pict>
          <v:rect style="width:0;height:1.5pt" o:hralign="center" o:hrstd="t" o:hr="t"/>
        </w:pict>
      </w:r>
    </w:p>
    <w:p>
      <w:pPr>
        <w:pStyle w:val="FirstParagraph"/>
      </w:pPr>
      <w:r>
        <w:t xml:space="preserve">The 1-km² grid is the modeling unit. Fuel fractions come from annual MapBiomas Collection 2 maps (2017–2023), joined to each row with the prior-year map; 2024 uses 2023 with lag 1 and 2025 reuses 2023 with lag 2</w:t>
      </w:r>
      <w:r>
        <w:t xml:space="preserve"> </w:t>
      </w:r>
      <w:r>
        <w:t xml:space="preserve">(MapBiomas Chaco, 2023)</w:t>
      </w:r>
      <w:r>
        <w:t xml:space="preserve">.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44 variables in the Chaco and 45 in the Oriental Region; M2 contains 35 and M1 contains 24.</w:t>
      </w:r>
    </w:p>
    <w:p>
      <w:pPr>
        <w:pStyle w:val="BodyText"/>
      </w:pPr>
      <w:r>
        <w:rPr>
          <w:b/>
          <w:bCs/>
        </w:rPr>
        <w:t xml:space="preserve">Table S1.</w:t>
      </w:r>
      <w:r>
        <w:t xml:space="preserve"> </w:t>
      </w:r>
      <w:r>
        <w:t xml:space="preserve">Variable dictionary and physical role of the predictors.</w:t>
      </w:r>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BodyText"/>
      </w:pPr>
      <w:r>
        <w:rPr>
          <w:b/>
          <w:bCs/>
        </w:rPr>
        <w:t xml:space="preserve">Table S2.</w:t>
      </w:r>
      <w:r>
        <w:t xml:space="preserve"> </w:t>
      </w:r>
      <w:r>
        <w:t xml:space="preserve">Operational and ablation hyperparameters.</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The values were generated by</w:t>
      </w:r>
      <w:r>
        <w:t xml:space="preserve"> </w:t>
      </w:r>
      <w:r>
        <w:rPr>
          <w:rStyle w:val="VerbatimChar"/>
        </w:rPr>
        <w:t xml:space="preserve">scripts/14_auditoria_suplementaria.py</w:t>
      </w:r>
      <w:r>
        <w:t xml:space="preserve">.</w:t>
      </w:r>
    </w:p>
    <w:p>
      <w:pPr>
        <w:pStyle w:val="BodyText"/>
      </w:pPr>
      <w:r>
        <w:rPr>
          <w:b/>
          <w:bCs/>
        </w:rPr>
        <w:t xml:space="preserve">Table S3.</w:t>
      </w:r>
      <w:r>
        <w:t xml:space="preserve"> </w:t>
      </w:r>
      <w:r>
        <w:t xml:space="preserve">D2 test performance by department.</w:t>
      </w:r>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has only eight test fires; its department-level metrics are reported for completeness and should not be interpreted as stable estimates.</w:t>
      </w:r>
    </w:p>
    <w:p>
      <w:pPr>
        <w:pStyle w:val="BodyText"/>
      </w:pPr>
      <w:r>
        <w:t xml:space="preserve">The profile was measured on macOS ARM64; x86_64 was not measured. The point-in-polygon row is a reference for 50 000 points and is not used at inference.</w:t>
      </w:r>
    </w:p>
    <w:p>
      <w:pPr>
        <w:pStyle w:val="BodyText"/>
      </w:pPr>
      <w:r>
        <w:rPr>
          <w:b/>
          <w:bCs/>
        </w:rPr>
        <w:t xml:space="preserve">Table S4.</w:t>
      </w:r>
      <w:r>
        <w:t xml:space="preserve"> </w:t>
      </w:r>
      <w:r>
        <w:t xml:space="preserve">Stage-level profile for 2024-09-09.</w:t>
      </w:r>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2.40000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1.03800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0.03700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3.47400</w:t>
            </w:r>
          </w:p>
        </w:tc>
        <w:tc>
          <w:tcPr/>
          <w:p>
            <w:pPr>
              <w:pStyle w:val="Compact"/>
              <w:jc w:val="right"/>
            </w:pPr>
            <w:r>
              <w:t xml:space="preserve">2 212.9</w:t>
            </w:r>
          </w:p>
        </w:tc>
        <w:tc>
          <w:tcPr/>
          <w:p>
            <w:pPr>
              <w:pStyle w:val="Compact"/>
            </w:pPr>
            <w:r>
              <w:t xml:space="preserve">ARM64; x86_64 not measured</w:t>
            </w:r>
          </w:p>
        </w:tc>
      </w:tr>
    </w:tbl>
    <w:p>
      <w:pPr>
        <w:pStyle w:val="BodyText"/>
      </w:pPr>
      <w:r>
        <w:rPr>
          <w:b/>
          <w:bCs/>
        </w:rPr>
        <w:t xml:space="preserve">Table S5.</w:t>
      </w:r>
      <w:r>
        <w:t xml:space="preserve"> </w:t>
      </w:r>
      <w:r>
        <w:t xml:space="preserve">Empirical conformal coverage. These values are not a formal guarantee under temporal shift.</w:t>
      </w:r>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0.3552</w:t>
            </w:r>
          </w:p>
        </w:tc>
        <w:tc>
          <w:tcPr/>
          <w:p>
            <w:pPr>
              <w:pStyle w:val="Compact"/>
              <w:jc w:val="right"/>
            </w:pPr>
            <w:r>
              <w:t xml:space="preserve">90.17 %</w:t>
            </w:r>
          </w:p>
        </w:tc>
        <w:tc>
          <w:tcPr/>
          <w:p>
            <w:pPr>
              <w:pStyle w:val="Compact"/>
              <w:jc w:val="right"/>
            </w:pPr>
            <w:r>
              <w:t xml:space="preserve">0.8394</w:t>
            </w:r>
          </w:p>
        </w:tc>
        <w:tc>
          <w:tcPr/>
          <w:p>
            <w:pPr>
              <w:pStyle w:val="Compact"/>
              <w:jc w:val="right"/>
            </w:pPr>
            <w:r>
              <w:t xml:space="preserve">95.32 %</w:t>
            </w:r>
          </w:p>
        </w:tc>
      </w:tr>
      <w:tr>
        <w:tc>
          <w:tcPr/>
          <w:p>
            <w:pPr>
              <w:pStyle w:val="Compact"/>
            </w:pPr>
            <w:r>
              <w:t xml:space="preserve">Oriental</w:t>
            </w:r>
          </w:p>
        </w:tc>
        <w:tc>
          <w:tcPr/>
          <w:p>
            <w:pPr>
              <w:pStyle w:val="Compact"/>
              <w:jc w:val="right"/>
            </w:pPr>
            <w:r>
              <w:t xml:space="preserve">0.3583</w:t>
            </w:r>
          </w:p>
        </w:tc>
        <w:tc>
          <w:tcPr/>
          <w:p>
            <w:pPr>
              <w:pStyle w:val="Compact"/>
              <w:jc w:val="right"/>
            </w:pPr>
            <w:r>
              <w:t xml:space="preserve">90.31 %</w:t>
            </w:r>
          </w:p>
        </w:tc>
        <w:tc>
          <w:tcPr/>
          <w:p>
            <w:pPr>
              <w:pStyle w:val="Compact"/>
              <w:jc w:val="right"/>
            </w:pPr>
            <w:r>
              <w:t xml:space="preserve">0.8637</w:t>
            </w:r>
          </w:p>
        </w:tc>
        <w:tc>
          <w:tcPr/>
          <w:p>
            <w:pPr>
              <w:pStyle w:val="Compact"/>
              <w:jc w:val="right"/>
            </w:pPr>
            <w:r>
              <w:t xml:space="preserve">94.79 %</w:t>
            </w:r>
          </w:p>
        </w:tc>
      </w:tr>
    </w:tbl>
    <w:p>
      <w:pPr>
        <w:pStyle w:val="BodyText"/>
      </w:pPr>
      <w:r>
        <w:t xml:space="preserve">Population metrics apply prior correction from the case-control sample to the population denominator. Population precision is the relevant operational quantity, not case-control precision.</w:t>
      </w:r>
    </w:p>
    <w:p>
      <w:pPr>
        <w:pStyle w:val="BodyText"/>
      </w:pPr>
      <w:r>
        <w:rPr>
          <w:b/>
          <w:bCs/>
        </w:rPr>
        <w:t xml:space="preserve">Table S6.</w:t>
      </w:r>
      <w:r>
        <w:t xml:space="preserve"> </w:t>
      </w:r>
      <w:r>
        <w:t xml:space="preserve">Population-level evaluation with prevalence correction (retrospective 2024–2025 test).</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ignicion</w:t>
            </w:r>
          </w:p>
        </w:tc>
        <w:tc>
          <w:tcPr/>
          <w:p>
            <w:pPr>
              <w:pStyle w:val="Compact"/>
            </w:pPr>
            <w:r>
              <w:t xml:space="preserve">M3_ignicion_hibrida</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w:t>
            </w:r>
          </w:p>
        </w:tc>
        <w:tc>
          <w:tcPr/>
          <w:p>
            <w:pPr>
              <w:pStyle w:val="Compact"/>
            </w:pPr>
            <w:r>
              <w:t xml:space="preserve">27.304</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ignicion</w:t>
            </w:r>
          </w:p>
        </w:tc>
        <w:tc>
          <w:tcPr/>
          <w:p>
            <w:pPr>
              <w:pStyle w:val="Compact"/>
            </w:pPr>
            <w:r>
              <w:t xml:space="preserve">M2_ignicion_base</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w:t>
            </w:r>
          </w:p>
        </w:tc>
        <w:tc>
          <w:tcPr/>
          <w:p>
            <w:pPr>
              <w:pStyle w:val="Compact"/>
            </w:pPr>
            <w:r>
              <w:t xml:space="preserve">24.589</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propagacion</w:t>
            </w:r>
          </w:p>
        </w:tc>
        <w:tc>
          <w:tcPr/>
          <w:p>
            <w:pPr>
              <w:pStyle w:val="Compact"/>
            </w:pPr>
            <w:r>
              <w:t xml:space="preserve">M2_propagacion_tactica</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w:t>
            </w:r>
          </w:p>
        </w:tc>
        <w:tc>
          <w:tcPr/>
          <w:p>
            <w:pPr>
              <w:pStyle w:val="Compact"/>
            </w:pPr>
            <w:r>
              <w:t xml:space="preserve">50.652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33748163</w:t>
            </w:r>
          </w:p>
        </w:tc>
        <w:tc>
          <w:tcPr/>
          <w:p>
            <w:pPr>
              <w:pStyle w:val="Compact"/>
            </w:pPr>
            <w:r>
              <w:t xml:space="preserve">52405</w:t>
            </w:r>
          </w:p>
        </w:tc>
      </w:tr>
      <w:tr>
        <w:tc>
          <w:tcPr/>
          <w:p>
            <w:pPr>
              <w:pStyle w:val="Compact"/>
            </w:pPr>
            <w:r>
              <w:t xml:space="preserve">Oriental</w:t>
            </w:r>
          </w:p>
        </w:tc>
        <w:tc>
          <w:tcPr/>
          <w:p>
            <w:pPr>
              <w:pStyle w:val="Compact"/>
            </w:pPr>
            <w:r>
              <w:t xml:space="preserve">ignicion</w:t>
            </w:r>
          </w:p>
        </w:tc>
        <w:tc>
          <w:tcPr/>
          <w:p>
            <w:pPr>
              <w:pStyle w:val="Compact"/>
            </w:pPr>
            <w:r>
              <w:t xml:space="preserve">M3_ignicion_hibrida</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w:t>
            </w:r>
          </w:p>
        </w:tc>
        <w:tc>
          <w:tcPr/>
          <w:p>
            <w:pPr>
              <w:pStyle w:val="Compact"/>
            </w:pPr>
            <w:r>
              <w:t xml:space="preserve">20.731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ignicion</w:t>
            </w:r>
          </w:p>
        </w:tc>
        <w:tc>
          <w:tcPr/>
          <w:p>
            <w:pPr>
              <w:pStyle w:val="Compact"/>
            </w:pPr>
            <w:r>
              <w:t xml:space="preserve">M2_ignicion_base</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w:t>
            </w:r>
          </w:p>
        </w:tc>
        <w:tc>
          <w:tcPr/>
          <w:p>
            <w:pPr>
              <w:pStyle w:val="Compact"/>
            </w:pPr>
            <w:r>
              <w:t xml:space="preserve">22.106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propagacion</w:t>
            </w:r>
          </w:p>
        </w:tc>
        <w:tc>
          <w:tcPr/>
          <w:p>
            <w:pPr>
              <w:pStyle w:val="Compact"/>
            </w:pPr>
            <w:r>
              <w:t xml:space="preserve">M2_propagacion_tactica</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w:t>
            </w:r>
          </w:p>
        </w:tc>
        <w:tc>
          <w:tcPr/>
          <w:p>
            <w:pPr>
              <w:pStyle w:val="Compact"/>
            </w:pPr>
            <w:r>
              <w:t xml:space="preserve">18.771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37235186</w:t>
            </w:r>
          </w:p>
        </w:tc>
        <w:tc>
          <w:tcPr/>
          <w:p>
            <w:pPr>
              <w:pStyle w:val="Compact"/>
            </w:pPr>
            <w:r>
              <w:t xml:space="preserve">78269</w:t>
            </w:r>
          </w:p>
        </w:tc>
      </w:tr>
    </w:tbl>
    <w:p>
      <w:pPr>
        <w:pStyle w:val="BodyText"/>
      </w:pPr>
      <w:r>
        <w:t xml:space="preserve">Ign. = ignition; Prop. = propagation. M2 is the baseline ignition model in the ignition task and the tactical propagation model in the propagation task; M3 is the hybrid ignition model.</w:t>
      </w:r>
    </w:p>
    <w:p>
      <w:pPr>
        <w:pStyle w:val="BodyText"/>
      </w:pPr>
      <w:r>
        <w:rPr>
          <w:b/>
          <w:bCs/>
        </w:rPr>
        <w:t xml:space="preserve">Table S7.</w:t>
      </w:r>
      <w:r>
        <w:t xml:space="preserve"> </w:t>
      </w:r>
      <w:r>
        <w:t xml:space="preserve">Paired ROC-AUC differences against FWI and INPE, grouped by date (retrospective 2024–2025 test).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value</w:t>
            </w:r>
          </w:p>
        </w:tc>
        <w:tc>
          <w:tcPr/>
          <w:p>
            <w:pPr>
              <w:pStyle w:val="Compact"/>
            </w:pPr>
            <w:r>
              <w:t xml:space="preserve">Bootstrap replicates</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0.1970</w:t>
            </w:r>
          </w:p>
        </w:tc>
        <w:tc>
          <w:tcPr/>
          <w:p>
            <w:pPr>
              <w:pStyle w:val="Compact"/>
            </w:pPr>
            <w:r>
              <w:t xml:space="preserve">0.001</w:t>
            </w:r>
          </w:p>
        </w:tc>
        <w:tc>
          <w:tcPr/>
          <w:p>
            <w:pPr>
              <w:pStyle w:val="Compact"/>
            </w:pPr>
            <w:r>
              <w:t xml:space="preserve">1000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0.2544</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0.2848</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0.2633</w:t>
            </w:r>
          </w:p>
        </w:tc>
        <w:tc>
          <w:tcPr/>
          <w:p>
            <w:pPr>
              <w:pStyle w:val="Compact"/>
            </w:pPr>
            <w:r>
              <w:t xml:space="preserve">0.001</w:t>
            </w:r>
          </w:p>
        </w:tc>
        <w:tc>
          <w:tcPr/>
          <w:p>
            <w:pPr>
              <w:pStyle w:val="Compact"/>
            </w:pPr>
            <w:r>
              <w:t xml:space="preserve">1000</w:t>
            </w:r>
          </w:p>
        </w:tc>
      </w:tr>
    </w:tbl>
    <w:p>
      <w:pPr>
        <w:pStyle w:val="BodyText"/>
      </w:pPr>
      <w:r>
        <w:t xml:space="preserve">The comparison uses B = 1,000 grouped-by-date bootstrap replicates. Values are retrospective diagnostics, not a blind confirmation.</w:t>
      </w:r>
    </w:p>
    <w:p>
      <w:pPr>
        <w:pStyle w:val="BodyText"/>
      </w:pPr>
      <w:r>
        <w:rPr>
          <w:b/>
          <w:bCs/>
        </w:rPr>
        <w:t xml:space="preserve">Table S8.</w:t>
      </w:r>
      <w:r>
        <w:t xml:space="preserve"> </w:t>
      </w:r>
      <w:r>
        <w:t xml:space="preserve">Full spatial block results on 2023 development blocks.</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M1_biofisico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2337</w:t>
            </w:r>
          </w:p>
        </w:tc>
        <w:tc>
          <w:tcPr/>
          <w:p>
            <w:pPr>
              <w:pStyle w:val="Compact"/>
            </w:pPr>
            <w:r>
              <w:t xml:space="preserve">1286</w:t>
            </w:r>
          </w:p>
        </w:tc>
      </w:tr>
      <w:tr>
        <w:tc>
          <w:tcPr/>
          <w:p>
            <w:pPr>
              <w:pStyle w:val="Compact"/>
            </w:pPr>
            <w:r>
              <w:t xml:space="preserve">Chaco</w:t>
            </w:r>
          </w:p>
        </w:tc>
        <w:tc>
          <w:tcPr/>
          <w:p>
            <w:pPr>
              <w:pStyle w:val="Compact"/>
            </w:pPr>
            <w:r>
              <w:t xml:space="preserve">M1_biofisico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8423</w:t>
            </w:r>
          </w:p>
        </w:tc>
        <w:tc>
          <w:tcPr/>
          <w:p>
            <w:pPr>
              <w:pStyle w:val="Compact"/>
            </w:pPr>
            <w:r>
              <w:t xml:space="preserve">5477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3033</w:t>
            </w:r>
          </w:p>
        </w:tc>
        <w:tc>
          <w:tcPr/>
          <w:p>
            <w:pPr>
              <w:pStyle w:val="Compact"/>
            </w:pPr>
            <w:r>
              <w:t xml:space="preserve">5571</w:t>
            </w:r>
          </w:p>
        </w:tc>
      </w:tr>
      <w:tr>
        <w:tc>
          <w:tcPr/>
          <w:p>
            <w:pPr>
              <w:pStyle w:val="Compact"/>
            </w:pPr>
            <w:r>
              <w:t xml:space="preserve">Chaco</w:t>
            </w:r>
          </w:p>
        </w:tc>
        <w:tc>
          <w:tcPr/>
          <w:p>
            <w:pPr>
              <w:pStyle w:val="Compact"/>
            </w:pPr>
            <w:r>
              <w:t xml:space="preserve">M3_hibrido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1743</w:t>
            </w:r>
          </w:p>
        </w:tc>
      </w:tr>
      <w:tr>
        <w:tc>
          <w:tcPr/>
          <w:p>
            <w:pPr>
              <w:pStyle w:val="Compact"/>
            </w:pPr>
            <w:r>
              <w:t xml:space="preserve">Chaco</w:t>
            </w:r>
          </w:p>
        </w:tc>
        <w:tc>
          <w:tcPr/>
          <w:p>
            <w:pPr>
              <w:pStyle w:val="Compact"/>
            </w:pPr>
            <w:r>
              <w:t xml:space="preserve">M3_hibrido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0.0750</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6189</w:t>
            </w:r>
          </w:p>
        </w:tc>
        <w:tc>
          <w:tcPr/>
          <w:p>
            <w:pPr>
              <w:pStyle w:val="Compact"/>
            </w:pPr>
            <w:r>
              <w:t xml:space="preserve">4735</w:t>
            </w:r>
          </w:p>
        </w:tc>
      </w:tr>
      <w:tr>
        <w:tc>
          <w:tcPr/>
          <w:p>
            <w:pPr>
              <w:pStyle w:val="Compact"/>
            </w:pPr>
            <w:r>
              <w:t xml:space="preserve">Oriental</w:t>
            </w:r>
          </w:p>
        </w:tc>
        <w:tc>
          <w:tcPr/>
          <w:p>
            <w:pPr>
              <w:pStyle w:val="Compact"/>
            </w:pPr>
            <w:r>
              <w:t xml:space="preserve">M1_biofisico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1703</w:t>
            </w:r>
          </w:p>
        </w:tc>
        <w:tc>
          <w:tcPr/>
          <w:p>
            <w:pPr>
              <w:pStyle w:val="Compact"/>
            </w:pPr>
            <w:r>
              <w:t xml:space="preserve">1607</w:t>
            </w:r>
          </w:p>
        </w:tc>
      </w:tr>
      <w:tr>
        <w:tc>
          <w:tcPr/>
          <w:p>
            <w:pPr>
              <w:pStyle w:val="Compact"/>
            </w:pPr>
            <w:r>
              <w:t xml:space="preserve">Oriental</w:t>
            </w:r>
          </w:p>
        </w:tc>
        <w:tc>
          <w:tcPr/>
          <w:p>
            <w:pPr>
              <w:pStyle w:val="Compact"/>
            </w:pPr>
            <w:r>
              <w:t xml:space="preserve">M1_biofisico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4190</w:t>
            </w:r>
          </w:p>
        </w:tc>
        <w:tc>
          <w:tcPr/>
          <w:p>
            <w:pPr>
              <w:pStyle w:val="Compact"/>
            </w:pPr>
            <w:r>
              <w:t xml:space="preserve">4941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4794</w:t>
            </w:r>
          </w:p>
        </w:tc>
        <w:tc>
          <w:tcPr/>
          <w:p>
            <w:pPr>
              <w:pStyle w:val="Compact"/>
            </w:pPr>
            <w:r>
              <w:t xml:space="preserve">4577</w:t>
            </w:r>
          </w:p>
        </w:tc>
      </w:tr>
      <w:tr>
        <w:tc>
          <w:tcPr/>
          <w:p>
            <w:pPr>
              <w:pStyle w:val="Compact"/>
            </w:pPr>
            <w:r>
              <w:t xml:space="preserve">Oriental</w:t>
            </w:r>
          </w:p>
        </w:tc>
        <w:tc>
          <w:tcPr/>
          <w:p>
            <w:pPr>
              <w:pStyle w:val="Compact"/>
            </w:pPr>
            <w:r>
              <w:t xml:space="preserve">M3_hibrido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1995</w:t>
            </w:r>
          </w:p>
        </w:tc>
      </w:tr>
      <w:tr>
        <w:tc>
          <w:tcPr/>
          <w:p>
            <w:pPr>
              <w:pStyle w:val="Compact"/>
            </w:pPr>
            <w:r>
              <w:t xml:space="preserve">Oriental</w:t>
            </w:r>
          </w:p>
        </w:tc>
        <w:tc>
          <w:tcPr/>
          <w:p>
            <w:pPr>
              <w:pStyle w:val="Compact"/>
            </w:pPr>
            <w:r>
              <w:t xml:space="preserve">M3_hibrido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3028</w:t>
            </w:r>
          </w:p>
        </w:tc>
        <w:tc>
          <w:tcPr/>
          <w:p>
            <w:pPr>
              <w:pStyle w:val="Compact"/>
            </w:pPr>
            <w:r>
              <w:t xml:space="preserve">4934</w:t>
            </w:r>
          </w:p>
        </w:tc>
      </w:tr>
    </w:tbl>
    <w:p>
      <w:pPr>
        <w:pStyle w:val="BodyText"/>
      </w:pPr>
      <w:r>
        <w:t xml:space="preserve">M1 = biophysical only; M2 = macro-anchor baseline; M3 = multiscale socio-ecological hybrid. Holdout = 50-km spatial block; Held-in = reference cells not excluded from training. The confirmation holdout is not used here.</w:t>
      </w:r>
    </w:p>
    <w:p>
      <w:pPr>
        <w:pStyle w:val="BodyText"/>
      </w:pPr>
      <w:r>
        <w:rPr>
          <w:b/>
          <w:bCs/>
        </w:rPr>
        <w:t xml:space="preserve">Table S9.</w:t>
      </w:r>
      <w:r>
        <w:t xml:space="preserve"> </w:t>
      </w:r>
      <w:r>
        <w:t xml:space="preserve">Evaluation with t-1 weather (24-h anticipation) on 2023 validation.</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M1_biofisico_t1</w:t>
            </w:r>
          </w:p>
        </w:tc>
        <w:tc>
          <w:tcPr/>
          <w:p>
            <w:pPr>
              <w:pStyle w:val="Compact"/>
            </w:pPr>
            <w:r>
              <w:t xml:space="preserve">97383</w:t>
            </w:r>
          </w:p>
        </w:tc>
        <w:tc>
          <w:tcPr/>
          <w:p>
            <w:pPr>
              <w:pStyle w:val="Compact"/>
            </w:pPr>
            <w:r>
              <w:t xml:space="preserve">8853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97383</w:t>
            </w:r>
          </w:p>
        </w:tc>
        <w:tc>
          <w:tcPr/>
          <w:p>
            <w:pPr>
              <w:pStyle w:val="Compact"/>
            </w:pPr>
            <w:r>
              <w:t xml:space="preserve">8853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M3_hibrido_t1</w:t>
            </w:r>
          </w:p>
        </w:tc>
        <w:tc>
          <w:tcPr/>
          <w:p>
            <w:pPr>
              <w:pStyle w:val="Compact"/>
            </w:pPr>
            <w:r>
              <w:t xml:space="preserve">97383</w:t>
            </w:r>
          </w:p>
        </w:tc>
        <w:tc>
          <w:tcPr/>
          <w:p>
            <w:pPr>
              <w:pStyle w:val="Compact"/>
            </w:pPr>
            <w:r>
              <w:t xml:space="preserve">8853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M1_biofisico_t1</w:t>
            </w:r>
          </w:p>
        </w:tc>
        <w:tc>
          <w:tcPr/>
          <w:p>
            <w:pPr>
              <w:pStyle w:val="Compact"/>
            </w:pPr>
            <w:r>
              <w:t xml:space="preserve">91124</w:t>
            </w:r>
          </w:p>
        </w:tc>
        <w:tc>
          <w:tcPr/>
          <w:p>
            <w:pPr>
              <w:pStyle w:val="Compact"/>
            </w:pPr>
            <w:r>
              <w:t xml:space="preserve">8284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91124</w:t>
            </w:r>
          </w:p>
        </w:tc>
        <w:tc>
          <w:tcPr/>
          <w:p>
            <w:pPr>
              <w:pStyle w:val="Compact"/>
            </w:pPr>
            <w:r>
              <w:t xml:space="preserve">8284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M3_hibrido_t1</w:t>
            </w:r>
          </w:p>
        </w:tc>
        <w:tc>
          <w:tcPr/>
          <w:p>
            <w:pPr>
              <w:pStyle w:val="Compact"/>
            </w:pPr>
            <w:r>
              <w:t xml:space="preserve">91124</w:t>
            </w:r>
          </w:p>
        </w:tc>
        <w:tc>
          <w:tcPr/>
          <w:p>
            <w:pPr>
              <w:pStyle w:val="Compact"/>
            </w:pPr>
            <w:r>
              <w:t xml:space="preserve">8284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Table S10.</w:t>
      </w:r>
      <w:r>
        <w:t xml:space="preserve"> </w:t>
      </w:r>
      <w:r>
        <w:t xml:space="preserve">D2 sampling counts and class ratios.</w:t>
      </w:r>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The full benchmark includes M2, propagation, FWI, INPE and the climatological baseline. FWI and INPE are normalized indices, not calibrated probabilities.</w:t>
      </w:r>
    </w:p>
    <w:p>
      <w:pPr>
        <w:pStyle w:val="BodyText"/>
      </w:pPr>
      <w:r>
        <w:rPr>
          <w:b/>
          <w:bCs/>
        </w:rPr>
        <w:t xml:space="preserve">Table S11.</w:t>
      </w:r>
      <w:r>
        <w:t xml:space="preserve"> </w:t>
      </w:r>
      <w:r>
        <w:t xml:space="preserve">Full benchmark on the retrospective 2024–2025 test.</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9960</w:t>
            </w:r>
          </w:p>
        </w:tc>
      </w:tr>
      <w:tr>
        <w:tc>
          <w:tcPr/>
          <w:p>
            <w:pPr>
              <w:pStyle w:val="Compact"/>
            </w:pPr>
            <w:r>
              <w:t xml:space="preserve">Chaco</w:t>
            </w:r>
          </w:p>
        </w:tc>
        <w:tc>
          <w:tcPr/>
          <w:p>
            <w:pPr>
              <w:pStyle w:val="Compact"/>
            </w:pPr>
            <w:r>
              <w:t xml:space="preserve">ignicion</w:t>
            </w:r>
          </w:p>
        </w:tc>
        <w:tc>
          <w:tcPr/>
          <w:p>
            <w:pPr>
              <w:pStyle w:val="Compact"/>
            </w:pPr>
            <w:r>
              <w:t xml:space="preserve">Incendios_PY (Ignición Base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8773</w:t>
            </w:r>
          </w:p>
        </w:tc>
      </w:tr>
      <w:tr>
        <w:tc>
          <w:tcPr/>
          <w:p>
            <w:pPr>
              <w:pStyle w:val="Compact"/>
            </w:pPr>
            <w:r>
              <w:t xml:space="preserve">Chaco</w:t>
            </w:r>
          </w:p>
        </w:tc>
        <w:tc>
          <w:tcPr/>
          <w:p>
            <w:pPr>
              <w:pStyle w:val="Compact"/>
            </w:pPr>
            <w:r>
              <w:t xml:space="preserve">ignicion</w:t>
            </w:r>
          </w:p>
        </w:tc>
        <w:tc>
          <w:tcPr/>
          <w:p>
            <w:pPr>
              <w:pStyle w:val="Compact"/>
            </w:pPr>
            <w:r>
              <w:t xml:space="preserve">Canadian FWI completo</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0.0928</w:t>
            </w:r>
          </w:p>
        </w:tc>
        <w:tc>
          <w:tcPr/>
          <w:p>
            <w:pPr>
              <w:pStyle w:val="Compact"/>
            </w:pPr>
            <w:r>
              <w:t xml:space="preserve">0.9608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ignicion</w:t>
            </w:r>
          </w:p>
        </w:tc>
        <w:tc>
          <w:tcPr/>
          <w:p>
            <w:pPr>
              <w:pStyle w:val="Compact"/>
            </w:pPr>
            <w:r>
              <w:t xml:space="preserve">INPE Risco de Fogo</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0.1172</w:t>
            </w:r>
          </w:p>
        </w:tc>
        <w:tc>
          <w:tcPr/>
          <w:p>
            <w:pPr>
              <w:pStyle w:val="Compact"/>
            </w:pPr>
            <w:r>
              <w:t xml:space="preserve">0.1257</w:t>
            </w:r>
          </w:p>
        </w:tc>
        <w:tc>
          <w:tcPr/>
          <w:p>
            <w:pPr>
              <w:pStyle w:val="Compact"/>
            </w:pPr>
            <w:r>
              <w:t xml:space="preserve">0.1188</w:t>
            </w:r>
          </w:p>
        </w:tc>
        <w:tc>
          <w:tcPr/>
          <w:p>
            <w:pPr>
              <w:pStyle w:val="Compact"/>
            </w:pPr>
            <w:r>
              <w:t xml:space="preserve">15207</w:t>
            </w:r>
          </w:p>
        </w:tc>
      </w:tr>
      <w:tr>
        <w:tc>
          <w:tcPr/>
          <w:p>
            <w:pPr>
              <w:pStyle w:val="Compact"/>
            </w:pPr>
            <w:r>
              <w:t xml:space="preserve">Chaco</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5353</w:t>
            </w:r>
          </w:p>
        </w:tc>
      </w:tr>
      <w:tr>
        <w:tc>
          <w:tcPr/>
          <w:p>
            <w:pPr>
              <w:pStyle w:val="Compact"/>
            </w:pPr>
            <w:r>
              <w:t xml:space="preserve">Chaco</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Base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10075</w:t>
            </w:r>
          </w:p>
        </w:tc>
      </w:tr>
      <w:tr>
        <w:tc>
          <w:tcPr/>
          <w:p>
            <w:pPr>
              <w:pStyle w:val="Compact"/>
            </w:pPr>
            <w:r>
              <w:t xml:space="preserve">Oriental</w:t>
            </w:r>
          </w:p>
        </w:tc>
        <w:tc>
          <w:tcPr/>
          <w:p>
            <w:pPr>
              <w:pStyle w:val="Compact"/>
            </w:pPr>
            <w:r>
              <w:t xml:space="preserve">ignicion</w:t>
            </w:r>
          </w:p>
        </w:tc>
        <w:tc>
          <w:tcPr/>
          <w:p>
            <w:pPr>
              <w:pStyle w:val="Compact"/>
            </w:pPr>
            <w:r>
              <w:t xml:space="preserve">Canadian FWI completo</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0.1076</w:t>
            </w:r>
          </w:p>
        </w:tc>
        <w:tc>
          <w:tcPr/>
          <w:p>
            <w:pPr>
              <w:pStyle w:val="Compact"/>
            </w:pPr>
            <w:r>
              <w:t xml:space="preserve">0.3899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ignicion</w:t>
            </w:r>
          </w:p>
        </w:tc>
        <w:tc>
          <w:tcPr/>
          <w:p>
            <w:pPr>
              <w:pStyle w:val="Compact"/>
            </w:pPr>
            <w:r>
              <w:t xml:space="preserve">INPE Risco de Fogo</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0.0924</w:t>
            </w:r>
          </w:p>
        </w:tc>
        <w:tc>
          <w:tcPr/>
          <w:p>
            <w:pPr>
              <w:pStyle w:val="Compact"/>
            </w:pPr>
            <w:r>
              <w:t xml:space="preserve">0.7947</w:t>
            </w:r>
          </w:p>
        </w:tc>
        <w:tc>
          <w:tcPr/>
          <w:p>
            <w:pPr>
              <w:pStyle w:val="Compact"/>
            </w:pPr>
            <w:r>
              <w:t xml:space="preserve">0.1123</w:t>
            </w:r>
          </w:p>
        </w:tc>
        <w:tc>
          <w:tcPr/>
          <w:p>
            <w:pPr>
              <w:pStyle w:val="Compact"/>
            </w:pPr>
            <w:r>
              <w:t xml:space="preserve">141802</w:t>
            </w:r>
          </w:p>
        </w:tc>
      </w:tr>
      <w:tr>
        <w:tc>
          <w:tcPr/>
          <w:p>
            <w:pPr>
              <w:pStyle w:val="Compact"/>
            </w:pPr>
            <w:r>
              <w:t xml:space="preserve">Oriental</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8351</w:t>
            </w:r>
          </w:p>
        </w:tc>
      </w:tr>
      <w:tr>
        <w:tc>
          <w:tcPr/>
          <w:p>
            <w:pPr>
              <w:pStyle w:val="Compact"/>
            </w:pPr>
            <w:r>
              <w:t xml:space="preserve">Oriental</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Table S12.</w:t>
      </w:r>
      <w:r>
        <w:t xml:space="preserve"> </w:t>
      </w:r>
      <w:r>
        <w:t xml:space="preserve">Controlled ablation of M1, M2 and M3 on the retrospective 2024–2025 test.</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9.28</w:t>
            </w:r>
          </w:p>
        </w:tc>
        <w:tc>
          <w:tcPr/>
          <w:p>
            <w:pPr>
              <w:pStyle w:val="Compact"/>
            </w:pPr>
            <w:r>
              <w:t xml:space="preserve">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11.72</w:t>
            </w:r>
          </w:p>
        </w:tc>
        <w:tc>
          <w:tcPr/>
          <w:p>
            <w:pPr>
              <w:pStyle w:val="Compact"/>
            </w:pPr>
            <w:r>
              <w:t xml:space="preserve">12.57</w:t>
            </w:r>
          </w:p>
        </w:tc>
        <w:tc>
          <w:tcPr/>
          <w:p>
            <w:pPr>
              <w:pStyle w:val="Compact"/>
            </w:pPr>
            <w:r>
              <w:t xml:space="preserve">0.1188</w:t>
            </w:r>
          </w:p>
        </w:tc>
        <w:tc>
          <w:tcPr/>
          <w:p>
            <w:pPr>
              <w:pStyle w:val="Compact"/>
            </w:pPr>
            <w:r>
              <w:t xml:space="preserve">15207</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10.76</w:t>
            </w:r>
          </w:p>
        </w:tc>
        <w:tc>
          <w:tcPr/>
          <w:p>
            <w:pPr>
              <w:pStyle w:val="Compact"/>
            </w:pPr>
            <w:r>
              <w:t xml:space="preserve">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79.47</w:t>
            </w:r>
          </w:p>
        </w:tc>
        <w:tc>
          <w:tcPr/>
          <w:p>
            <w:pPr>
              <w:pStyle w:val="Compact"/>
            </w:pPr>
            <w:r>
              <w:t xml:space="preserve">0.1123</w:t>
            </w:r>
          </w:p>
        </w:tc>
        <w:tc>
          <w:tcPr/>
          <w:p>
            <w:pPr>
              <w:pStyle w:val="Compact"/>
            </w:pPr>
            <w:r>
              <w:t xml:space="preserve">141802</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Table S13.</w:t>
      </w:r>
      <w:r>
        <w:t xml:space="preserve"> </w:t>
      </w:r>
      <w:r>
        <w:t xml:space="preserve">Mean absolute TreeSHAP values for the hybrid ignition model.</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0.488547</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w:t>
            </w:r>
          </w:p>
        </w:tc>
        <w:tc>
          <w:tcPr/>
          <w:p>
            <w:pPr>
              <w:pStyle w:val="Compact"/>
              <w:jc w:val="right"/>
            </w:pPr>
            <w:r>
              <w:t xml:space="preserve">0.138441</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0.077683</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0.062769</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0.062013</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0.021952</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0.021775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doy_cos</w:t>
            </w:r>
          </w:p>
        </w:tc>
        <w:tc>
          <w:tcPr/>
          <w:p>
            <w:pPr>
              <w:pStyle w:val="Compact"/>
              <w:jc w:val="right"/>
            </w:pPr>
            <w:r>
              <w:t xml:space="preserve">0.018402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borde_bosque_agro_pct</w:t>
            </w:r>
          </w:p>
        </w:tc>
        <w:tc>
          <w:tcPr/>
          <w:p>
            <w:pPr>
              <w:pStyle w:val="Compact"/>
            </w:pPr>
            <w:r>
              <w:t xml:space="preserve">Forest–agriculture edge fraction (%)</w:t>
            </w:r>
          </w:p>
        </w:tc>
        <w:tc>
          <w:tcPr/>
          <w:p>
            <w:pPr>
              <w:pStyle w:val="Compact"/>
              <w:jc w:val="right"/>
            </w:pPr>
            <w:r>
              <w:t xml:space="preserve">0.014573</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precipitacion_mm</w:t>
            </w:r>
          </w:p>
        </w:tc>
        <w:tc>
          <w:tcPr/>
          <w:p>
            <w:pPr>
              <w:pStyle w:val="Compact"/>
            </w:pPr>
            <w:r>
              <w:t xml:space="preserve">Daily rainfall (mm)</w:t>
            </w:r>
          </w:p>
        </w:tc>
        <w:tc>
          <w:tcPr/>
          <w:p>
            <w:pPr>
              <w:pStyle w:val="Compact"/>
              <w:jc w:val="right"/>
            </w:pPr>
            <w:r>
              <w:t xml:space="preserve">0.011608</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0.222959</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0.201239</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pPr>
            <w:r>
              <w:t xml:space="preserve">Annual agriculture cover (%)</w:t>
            </w:r>
          </w:p>
        </w:tc>
        <w:tc>
          <w:tcPr/>
          <w:p>
            <w:pPr>
              <w:pStyle w:val="Compact"/>
              <w:jc w:val="right"/>
            </w:pPr>
            <w:r>
              <w:t xml:space="preserve">0.166784</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0.101604</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0.090960</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Flooded grassland / estero cover (%)</w:t>
            </w:r>
          </w:p>
        </w:tc>
        <w:tc>
          <w:tcPr/>
          <w:p>
            <w:pPr>
              <w:pStyle w:val="Compact"/>
              <w:jc w:val="right"/>
            </w:pPr>
            <w:r>
              <w:t xml:space="preserve">0.070122</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0.056753</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riesgo_estero_seco</w:t>
            </w:r>
          </w:p>
        </w:tc>
        <w:tc>
          <w:tcPr/>
          <w:p>
            <w:pPr>
              <w:pStyle w:val="Compact"/>
            </w:pPr>
            <w:r>
              <w:t xml:space="preserve">Dry estero risk (wetland × deficit)</w:t>
            </w:r>
          </w:p>
        </w:tc>
        <w:tc>
          <w:tcPr/>
          <w:p>
            <w:pPr>
              <w:pStyle w:val="Compact"/>
              <w:jc w:val="right"/>
            </w:pPr>
            <w:r>
              <w:t xml:space="preserve">0.048684</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 / natural grassland cover (%)</w:t>
            </w:r>
          </w:p>
        </w:tc>
        <w:tc>
          <w:tcPr/>
          <w:p>
            <w:pPr>
              <w:pStyle w:val="Compact"/>
              <w:jc w:val="right"/>
            </w:pPr>
            <w:r>
              <w:t xml:space="preserve">0.043830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0.033324</w:t>
            </w:r>
          </w:p>
        </w:tc>
        <w:tc>
          <w:tcPr/>
          <w:p>
            <w:pPr>
              <w:pStyle w:val="Compact"/>
              <w:jc w:val="right"/>
            </w:pPr>
            <w:r>
              <w:t xml:space="preserve">10</w:t>
            </w:r>
          </w:p>
        </w:tc>
      </w:tr>
    </w:tbl>
    <w:p>
      <w:pPr>
        <w:pStyle w:val="CaptionedFigure"/>
      </w:pPr>
      <w:r>
        <w:drawing>
          <wp:inline>
            <wp:extent cx="8252460" cy="3610451"/>
            <wp:effectExtent b="0" l="0" r="0" t="0"/>
            <wp:docPr descr="Figure S1. TreeSHAP comparison for the hybrid ignition model. The two regions use separate models and feature sets." title="" id="16" name="Picture"/>
            <a:graphic>
              <a:graphicData uri="http://schemas.openxmlformats.org/drawingml/2006/picture">
                <pic:pic>
                  <pic:nvPicPr>
                    <pic:cNvPr descr="figuras/supp_fig01_shap.png" id="17" name="Picture"/>
                    <pic:cNvPicPr>
                      <a:picLocks noChangeArrowheads="1" noChangeAspect="1"/>
                    </pic:cNvPicPr>
                  </pic:nvPicPr>
                  <pic:blipFill>
                    <a:blip r:embed="rId15"/>
                    <a:stretch>
                      <a:fillRect/>
                    </a:stretch>
                  </pic:blipFill>
                  <pic:spPr bwMode="auto">
                    <a:xfrm>
                      <a:off x="0" y="0"/>
                      <a:ext cx="8252460" cy="3610451"/>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TreeSHAP comparison for the hybrid ignition model. The two regions use separate models and feature sets.</w:t>
      </w:r>
    </w:p>
    <w:p>
      <w:pPr>
        <w:pStyle w:val="BodyText"/>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 TP, FP and FN are expressed as fractions of the population; rows with</w:t>
      </w:r>
      <w:r>
        <w:t xml:space="preserve"> </w:t>
      </w:r>
      <m:oMath>
        <m:r>
          <m:t>V</m:t>
        </m:r>
        <m:r>
          <m:rPr>
            <m:sty m:val="p"/>
          </m:rPr>
          <m:t>(</m:t>
        </m:r>
        <m:r>
          <m:t>α</m:t>
        </m:r>
        <m:r>
          <m:rPr>
            <m:sty m:val="p"/>
          </m:rPr>
          <m:t>)</m:t>
        </m:r>
        <m:r>
          <m:rPr>
            <m:sty m:val="p"/>
          </m:rPr>
          <m:t>=</m:t>
        </m:r>
        <m:r>
          <m:t>0</m:t>
        </m:r>
      </m:oMath>
      <w:r>
        <w:t xml:space="preserve"> </w:t>
      </w:r>
      <w:r>
        <w:t xml:space="preserve">are retained for completeness. M2 = baseline ignition model in the ignition task and tactical propagation model in the propagation task; M3 = hybrid ignition model.</w:t>
      </w:r>
    </w:p>
    <w:p>
      <w:pPr>
        <w:pStyle w:val="BodyText"/>
      </w:pPr>
      <w:r>
        <w:rPr>
          <w:b/>
          <w:bCs/>
        </w:rPr>
        <w:t xml:space="preserve">Table S14.</w:t>
      </w:r>
      <w:r>
        <w:t xml:space="preserve"> </w:t>
      </w:r>
      <w:r>
        <w:t xml:space="preserve">Cost-loss values by region, task, model and</w:t>
      </w:r>
      <w:r>
        <w:t xml:space="preserve"> </w:t>
      </w:r>
      <m:oMath>
        <m:r>
          <m:t>α</m:t>
        </m:r>
      </m:oMath>
      <w:r>
        <w:t xml:space="preserve">.</w:t>
      </w:r>
    </w:p>
    <w:tbl>
      <w:tblPr>
        <w:tblStyle w:val="Table"/>
        <w:tblW w:type="pct" w:w="5000"/>
        <w:tblLayout w:type="fixed"/>
        <w:tblLook w:firstRow="1" w:lastRow="0" w:firstColumn="0" w:lastColumn="0" w:noHBand="0" w:noVBand="0" w:val="0020"/>
      </w:tblPr>
      <w:tblGrid>
        <w:gridCol w:w="1056"/>
        <w:gridCol w:w="633"/>
        <w:gridCol w:w="1056"/>
        <w:gridCol w:w="739"/>
        <w:gridCol w:w="844"/>
        <w:gridCol w:w="844"/>
        <w:gridCol w:w="844"/>
        <w:gridCol w:w="844"/>
        <w:gridCol w:w="1056"/>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r>
                <m:t>α</m:t>
              </m:r>
            </m:oMath>
            <w:r>
              <w:t xml:space="preserve">​</w:t>
            </w:r>
          </w:p>
        </w:tc>
        <w:tc>
          <w:tcPr/>
          <w:p>
            <w:pPr>
              <w:pStyle w:val="Compact"/>
              <w:jc w:val="right"/>
            </w:pPr>
            <m:oMath>
              <m:r>
                <m:t>V</m:t>
              </m:r>
              <m:r>
                <m:rPr>
                  <m:sty m:val="p"/>
                </m:rPr>
                <m:t>(</m:t>
              </m:r>
              <m:r>
                <m:t>α</m:t>
              </m:r>
              <m:r>
                <m:rPr>
                  <m:sty m:val="p"/>
                </m:rPr>
                <m:t>)</m:t>
              </m:r>
            </m:oMath>
            <w:r>
              <w:t xml:space="preserve">​</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CaptionedFigure"/>
      </w:pPr>
      <w:r>
        <w:drawing>
          <wp:inline>
            <wp:extent cx="6949440" cy="5460274"/>
            <wp:effectExtent b="0" l="0" r="0" t="0"/>
            <wp:docPr descr="Figure S2. Controlled ablation under the D2 test. The figure complements Table S12." title="" id="19" name="Picture"/>
            <a:graphic>
              <a:graphicData uri="http://schemas.openxmlformats.org/drawingml/2006/picture">
                <pic:pic>
                  <pic:nvPicPr>
                    <pic:cNvPr descr="figuras/supp_fig02_ablacion.png" id="20" name="Picture"/>
                    <pic:cNvPicPr>
                      <a:picLocks noChangeArrowheads="1" noChangeAspect="1"/>
                    </pic:cNvPicPr>
                  </pic:nvPicPr>
                  <pic:blipFill>
                    <a:blip r:embed="rId18"/>
                    <a:stretch>
                      <a:fillRect/>
                    </a:stretch>
                  </pic:blipFill>
                  <pic:spPr bwMode="auto">
                    <a:xfrm>
                      <a:off x="0" y="0"/>
                      <a:ext cx="6949440" cy="5460274"/>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Controlled ablation under the D2 test. The figure complements Table S12.</w:t>
      </w:r>
    </w:p>
    <w:p>
      <w:pPr>
        <w:pStyle w:val="CaptionedFigure"/>
      </w:pPr>
      <w:r>
        <w:drawing>
          <wp:inline>
            <wp:extent cx="8252460" cy="3292454"/>
            <wp:effectExtent b="0" l="0" r="0" t="0"/>
            <wp:docPr descr="Figure S3. Cost-loss curves. The propagation panel uses the full \alpha range; the ignition panel is truncated at \alpha=0.006 because the decision value is zero or negligible at larger values. The figure complements Table S14." title="" id="22" name="Picture"/>
            <a:graphic>
              <a:graphicData uri="http://schemas.openxmlformats.org/drawingml/2006/picture">
                <pic:pic>
                  <pic:nvPicPr>
                    <pic:cNvPr descr="figuras/supp_fig03_cost_loss.png" id="23" name="Picture"/>
                    <pic:cNvPicPr>
                      <a:picLocks noChangeArrowheads="1" noChangeAspect="1"/>
                    </pic:cNvPicPr>
                  </pic:nvPicPr>
                  <pic:blipFill>
                    <a:blip r:embed="rId21"/>
                    <a:stretch>
                      <a:fillRect/>
                    </a:stretch>
                  </pic:blipFill>
                  <pic:spPr bwMode="auto">
                    <a:xfrm>
                      <a:off x="0" y="0"/>
                      <a:ext cx="8252460" cy="3292454"/>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Cost-loss curves.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p>
    <w:p>
      <w:pPr>
        <w:pStyle w:val="BodyText"/>
      </w:pPr>
      <w:r>
        <w:rPr>
          <w:b/>
          <w:bCs/>
        </w:rPr>
        <w:t xml:space="preserve">Table S15.</w:t>
      </w:r>
      <w:r>
        <w:t xml:space="preserve"> </w:t>
      </w:r>
      <w:r>
        <w:t xml:space="preserve">Data audit log generated by the repository checks.</w:t>
      </w:r>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r>
        <w:rPr>
          <w:b/>
          <w:bCs/>
        </w:rPr>
        <w:t xml:space="preserve">Table S16.</w:t>
      </w:r>
      <w:r>
        <w:t xml:space="preserve"> </w:t>
      </w:r>
      <w:r>
        <w:t xml:space="preserve">M1 biophysical baseline on 2023 validation.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Evaluation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all cells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all cells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is a diagnostic biophysical baseline and was not used operationally. Spatial block results are in Table S8, lead-time results in Table S9, and the retrospective 2024–2025 ablation in Table S12.</w:t>
      </w:r>
    </w:p>
    <w:p>
      <w:pPr>
        <w:pStyle w:val="BodyText"/>
      </w:pPr>
      <w:r>
        <w:rPr>
          <w:b/>
          <w:bCs/>
        </w:rPr>
        <w:t xml:space="preserve">Table S17.</w:t>
      </w:r>
      <w:r>
        <w:t xml:space="preserve"> </w:t>
      </w:r>
      <w:r>
        <w:t xml:space="preserve">Operational gated M3/M2 policy on the retrospective 2024–2025 test. M3 is used where</w:t>
      </w:r>
      <w:r>
        <w:t xml:space="preserve"> </w:t>
      </w:r>
      <w:r>
        <w:rPr>
          <w:rStyle w:val="VerbatimChar"/>
        </w:rPr>
        <w:t xml:space="preserve">freq_hist_1km &gt; 0</w:t>
      </w:r>
      <w:r>
        <w:t xml:space="preserve">; M2 where it is zero. The F0.5 cutoff was selected on 2023 validation and frozen.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Region</w:t>
            </w:r>
          </w:p>
        </w:tc>
        <w:tc>
          <w:tcPr/>
          <w:p>
            <w:pPr>
              <w:pStyle w:val="Compact"/>
              <w:jc w:val="left"/>
            </w:pPr>
            <w:r>
              <w:t xml:space="preserve">Policy</w:t>
            </w:r>
          </w:p>
        </w:tc>
        <w:tc>
          <w:tcPr/>
          <w:p>
            <w:pPr>
              <w:pStyle w:val="Compact"/>
              <w:jc w:val="left"/>
            </w:pPr>
            <w:r>
              <w:t xml:space="preserve">ROC-AUC [95 % CI]</w:t>
            </w:r>
          </w:p>
        </w:tc>
        <w:tc>
          <w:tcPr/>
          <w:p>
            <w:pPr>
              <w:pStyle w:val="Compact"/>
              <w:jc w:val="right"/>
            </w:pPr>
            <w:r>
              <w:t xml:space="preserve">PR-AUC</w:t>
            </w:r>
          </w:p>
        </w:tc>
        <w:tc>
          <w:tcPr/>
          <w:p>
            <w:pPr>
              <w:pStyle w:val="Compact"/>
              <w:jc w:val="right"/>
            </w:pPr>
            <w:r>
              <w:t xml:space="preserve">Precision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0.8035 [0.799–0.809]</w:t>
            </w:r>
          </w:p>
        </w:tc>
        <w:tc>
          <w:tcPr/>
          <w:p>
            <w:pPr>
              <w:pStyle w:val="Compact"/>
              <w:jc w:val="right"/>
            </w:pPr>
            <w:r>
              <w:t xml:space="preserve">0.2843</w:t>
            </w:r>
          </w:p>
        </w:tc>
        <w:tc>
          <w:tcPr/>
          <w:p>
            <w:pPr>
              <w:pStyle w:val="Compact"/>
              <w:jc w:val="right"/>
            </w:pPr>
            <w:r>
              <w:t xml:space="preserve">32.70</w:t>
            </w:r>
          </w:p>
        </w:tc>
        <w:tc>
          <w:tcPr/>
          <w:p>
            <w:pPr>
              <w:pStyle w:val="Compact"/>
              <w:jc w:val="right"/>
            </w:pPr>
            <w:r>
              <w:t xml:space="preserve">30.87</w:t>
            </w:r>
          </w:p>
        </w:tc>
        <w:tc>
          <w:tcPr/>
          <w:p>
            <w:pPr>
              <w:pStyle w:val="Compact"/>
              <w:jc w:val="right"/>
            </w:pPr>
            <w:r>
              <w:t xml:space="preserve">0.3232</w:t>
            </w:r>
          </w:p>
        </w:tc>
        <w:tc>
          <w:tcPr/>
          <w:p>
            <w:pPr>
              <w:pStyle w:val="Compact"/>
              <w:jc w:val="right"/>
            </w:pPr>
            <w:r>
              <w:t xml:space="preserve">10,200</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0.7502 [0.744–0.756]</w:t>
            </w:r>
          </w:p>
        </w:tc>
        <w:tc>
          <w:tcPr/>
          <w:p>
            <w:pPr>
              <w:pStyle w:val="Compact"/>
              <w:jc w:val="right"/>
            </w:pPr>
            <w:r>
              <w:t xml:space="preserve">0.2327</w:t>
            </w:r>
          </w:p>
        </w:tc>
        <w:tc>
          <w:tcPr/>
          <w:p>
            <w:pPr>
              <w:pStyle w:val="Compact"/>
              <w:jc w:val="right"/>
            </w:pPr>
            <w:r>
              <w:t xml:space="preserve">30.15</w:t>
            </w:r>
          </w:p>
        </w:tc>
        <w:tc>
          <w:tcPr/>
          <w:p>
            <w:pPr>
              <w:pStyle w:val="Compact"/>
              <w:jc w:val="right"/>
            </w:pPr>
            <w:r>
              <w:t xml:space="preserve">18.55</w:t>
            </w:r>
          </w:p>
        </w:tc>
        <w:tc>
          <w:tcPr/>
          <w:p>
            <w:pPr>
              <w:pStyle w:val="Compact"/>
              <w:jc w:val="right"/>
            </w:pPr>
            <w:r>
              <w:t xml:space="preserve">0.2679</w:t>
            </w:r>
          </w:p>
        </w:tc>
        <w:tc>
          <w:tcPr/>
          <w:p>
            <w:pPr>
              <w:pStyle w:val="Compact"/>
              <w:jc w:val="right"/>
            </w:pPr>
            <w:r>
              <w:t xml:space="preserve">7,811</w:t>
            </w:r>
          </w:p>
        </w:tc>
      </w:tr>
    </w:tbl>
    <w:p>
      <w:pPr>
        <w:pStyle w:val="BodyText"/>
      </w:pPr>
      <w:r>
        <w:t xml:space="preserve">Population-level metrics after prior correction: Chaco ROC-AUC 0.8081, PR-AUC 0.0009, precision 0.077 %, recall 30.873 %, F0.5 0.0010; Oriental ROC-AUC 0.7598, PR-AUC 0.0019, precision 0.210 %, recall 18.546 %, F0.5 0.0026. Cutoffs: Chaco 0.2218 sample / 0.000436 population; Oriental 0.2186 sample / 0.001158 population.</w:t>
      </w:r>
    </w:p>
    <w:bookmarkEnd w:id="24"/>
    <w:bookmarkStart w:id="25" w:name="data-availability"/>
    <w:p>
      <w:pPr>
        <w:pStyle w:val="Heading1"/>
      </w:pPr>
      <w:r>
        <w:t xml:space="preserve">Data availability</w:t>
      </w:r>
    </w:p>
    <w:p>
      <w:pPr>
        <w:pStyle w:val="FirstParagraph"/>
      </w:pPr>
      <w:r>
        <w:t xml:space="preserve">Processed data, test predictions, trained models and derived tables are available in the v2.0.0 GitHub release under CC BY 4.0 and indexed by the data concept DOI</w:t>
      </w:r>
      <w:r>
        <w:t xml:space="preserve"> </w:t>
      </w:r>
      <w:hyperlink r:id="rId11">
        <w:r>
          <w:rPr>
            <w:rStyle w:val="Hyperlink"/>
          </w:rPr>
          <w:t xml:space="preserve">10.5281/zenodo.23675278</w:t>
        </w:r>
      </w:hyperlink>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 The archived test targets and probabilities are sufficient to regenerate every table and figure in this supplement without downloading the raw multi-terabyte archive.</w:t>
      </w:r>
    </w:p>
    <w:bookmarkEnd w:id="25"/>
    <w:bookmarkStart w:id="26" w:name="computer-code-availability"/>
    <w:p>
      <w:pPr>
        <w:pStyle w:val="Heading1"/>
      </w:pPr>
      <w:r>
        <w:t xml:space="preserve">Computer code availability</w:t>
      </w:r>
    </w:p>
    <w:p>
      <w:pPr>
        <w:pStyle w:val="FirstParagraph"/>
      </w:pPr>
      <w:r>
        <w:rPr>
          <w:b/>
          <w:bCs/>
        </w:rPr>
        <w:t xml:space="preserve">Name:</w:t>
      </w:r>
      <w:r>
        <w:t xml:space="preserve"> </w:t>
      </w:r>
      <w:r>
        <w:rPr>
          <w:rStyle w:val="VerbatimChar"/>
        </w:rPr>
        <w:t xml:space="preserve">Incendios_PY</w:t>
      </w:r>
      <w:r>
        <w:br/>
      </w:r>
      <w:r>
        <w:rPr>
          <w:b/>
          <w:bCs/>
        </w:rPr>
        <w:t xml:space="preserve">Developer and contact:</w:t>
      </w:r>
      <w:r>
        <w:t xml:space="preserve"> </w:t>
      </w:r>
      <w:r>
        <w:t xml:space="preserve">Martín Sánchez Insfrán,</w:t>
      </w:r>
      <w:r>
        <w:t xml:space="preserve"> </w:t>
      </w:r>
      <w:r>
        <w:rPr>
          <w:rStyle w:val="VerbatimChar"/>
        </w:rPr>
        <w:t xml:space="preserve">sanchez.martin093@gmail.com</w:t>
      </w:r>
      <w:r>
        <w:br/>
      </w:r>
      <w:r>
        <w:rPr>
          <w:b/>
          <w:bCs/>
        </w:rPr>
        <w:t xml:space="preserve">Year first available:</w:t>
      </w:r>
      <w:r>
        <w:t xml:space="preserve"> </w:t>
      </w:r>
      <w:r>
        <w:t xml:space="preserve">2026</w:t>
      </w:r>
      <w:r>
        <w:br/>
      </w:r>
      <w:r>
        <w:rPr>
          <w:b/>
          <w:bCs/>
        </w:rPr>
        <w:t xml:space="preserve">Hardware:</w:t>
      </w:r>
      <w:r>
        <w:t xml:space="preserve"> </w:t>
      </w:r>
      <w:r>
        <w:t xml:space="preserve">x86_64 or ARM64, at least 8 GB RAM</w:t>
      </w:r>
      <w:r>
        <w:br/>
      </w:r>
      <w:r>
        <w:rPr>
          <w:b/>
          <w:bCs/>
        </w:rPr>
        <w:t xml:space="preserve">Operating system:</w:t>
      </w:r>
      <w:r>
        <w:t xml:space="preserve"> </w:t>
      </w:r>
      <w:r>
        <w:t xml:space="preserve">macOS 13+, Linux Ubuntu 22.04+, Windows 11 with WSL2</w:t>
      </w:r>
      <w:r>
        <w:br/>
      </w:r>
      <w:r>
        <w:rPr>
          <w:b/>
          <w:bCs/>
        </w:rPr>
        <w:t xml:space="preserve">Language:</w:t>
      </w:r>
      <w:r>
        <w:t xml:space="preserve"> </w:t>
      </w:r>
      <w:r>
        <w:t xml:space="preserve">Python 3.12+; Polars, DuckDB and NumPy for vectorized operations; LightGBM C++ backend</w:t>
      </w:r>
      <w:r>
        <w:br/>
      </w:r>
      <w:r>
        <w:rPr>
          <w:b/>
          <w:bCs/>
        </w:rPr>
        <w:t xml:space="preserve">Dependencies:</w:t>
      </w:r>
      <w:r>
        <w:t xml:space="preserve"> </w:t>
      </w:r>
      <w:r>
        <w:t xml:space="preserve">pinned in</w:t>
      </w:r>
      <w:r>
        <w:t xml:space="preserve"> </w:t>
      </w:r>
      <w:r>
        <w:rPr>
          <w:rStyle w:val="VerbatimChar"/>
        </w:rPr>
        <w:t xml:space="preserve">requirements-lock.txt</w:t>
      </w:r>
      <w:r>
        <w:br/>
      </w:r>
      <w:r>
        <w:rPr>
          <w:b/>
          <w:bCs/>
        </w:rPr>
        <w:t xml:space="preserve">License:</w:t>
      </w:r>
      <w:r>
        <w:t xml:space="preserve"> </w:t>
      </w:r>
      <w:r>
        <w:t xml:space="preserve">MIT</w:t>
      </w:r>
      <w:r>
        <w:br/>
      </w:r>
      <w:r>
        <w:rPr>
          <w:b/>
          <w:bCs/>
        </w:rPr>
        <w:t xml:space="preserve">Repository:</w:t>
      </w:r>
      <w:r>
        <w:t xml:space="preserve"> </w:t>
      </w:r>
      <w:hyperlink r:id="rId9">
        <w:r>
          <w:rPr>
            <w:rStyle w:val="Hyperlink"/>
          </w:rPr>
          <w:t xml:space="preserve">https://github.com/sanchezmartin093-code/Incendios_PY</w:t>
        </w:r>
      </w:hyperlink>
      <w:r>
        <w:br/>
      </w:r>
      <w:r>
        <w:rPr>
          <w:b/>
          <w:bCs/>
        </w:rPr>
        <w:t xml:space="preserve">Code concept DOI:</w:t>
      </w:r>
      <w:r>
        <w:t xml:space="preserve"> </w:t>
      </w:r>
      <w:hyperlink r:id="rId10">
        <w:r>
          <w:rPr>
            <w:rStyle w:val="Hyperlink"/>
          </w:rPr>
          <w:t xml:space="preserve">10.5281/zenodo.23675104</w:t>
        </w:r>
      </w:hyperlink>
      <w:r>
        <w:br/>
      </w:r>
      <w:r>
        <w:rPr>
          <w:b/>
          <w:bCs/>
        </w:rPr>
        <w:t xml:space="preserve">Tests:</w:t>
      </w:r>
      <w:r>
        <w:t xml:space="preserve"> </w:t>
      </w:r>
      <w:r>
        <w:t xml:space="preserve">76 tests pass with</w:t>
      </w:r>
      <w:r>
        <w:t xml:space="preserve"> </w:t>
      </w:r>
      <w:r>
        <w:rPr>
          <w:rStyle w:val="VerbatimChar"/>
        </w:rPr>
        <w:t xml:space="preserve">python -m pytest -q tests</w:t>
      </w:r>
      <w:r>
        <w:t xml:space="preserve">. The repository includes a README in English, installation and usage instructions, a user guide, and the scripts required to reproduce the main results.</w:t>
      </w:r>
    </w:p>
    <w:bookmarkEnd w:id="26"/>
    <w:bookmarkStart w:id="41" w:name="references"/>
    <w:p>
      <w:pPr>
        <w:pStyle w:val="Heading1"/>
      </w:pPr>
      <w:r>
        <w:t xml:space="preserve">References</w:t>
      </w:r>
    </w:p>
    <w:bookmarkStart w:id="40" w:name="refs"/>
    <w:bookmarkStart w:id="2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27"/>
    <w:bookmarkStart w:id="2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28">
        <w:r>
          <w:rPr>
            <w:rStyle w:val="Hyperlink"/>
          </w:rPr>
          <w:t xml:space="preserve">https://chaco.mapbiomas.org/</w:t>
        </w:r>
      </w:hyperlink>
      <w:r>
        <w:t xml:space="preserve">.</w:t>
      </w:r>
    </w:p>
    <w:bookmarkEnd w:id="29"/>
    <w:bookmarkStart w:id="3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30">
        <w:r>
          <w:rPr>
            <w:rStyle w:val="Hyperlink"/>
          </w:rPr>
          <w:t xml:space="preserve">https://doi.org/10.5194/essd-13-4349-2021</w:t>
        </w:r>
      </w:hyperlink>
    </w:p>
    <w:bookmarkEnd w:id="31"/>
    <w:bookmarkStart w:id="33" w:name="ref-nasa_firms"/>
    <w:p>
      <w:pPr>
        <w:pStyle w:val="Bibliography"/>
      </w:pPr>
      <w:r>
        <w:t xml:space="preserve">NASA FIRMS. (2026).</w:t>
      </w:r>
      <w:r>
        <w:t xml:space="preserve"> </w:t>
      </w:r>
      <w:r>
        <w:rPr>
          <w:i/>
          <w:iCs/>
        </w:rPr>
        <w:t xml:space="preserve">Fire information for resource management system (</w:t>
      </w:r>
      <w:r>
        <w:rPr>
          <w:i/>
          <w:iCs/>
        </w:rPr>
        <w:t xml:space="preserve">FIRMS</w:t>
      </w:r>
      <w:r>
        <w:rPr>
          <w:i/>
          <w:iCs/>
        </w:rPr>
        <w:t xml:space="preserve">)</w:t>
      </w:r>
      <w:r>
        <w:t xml:space="preserve">.</w:t>
      </w:r>
      <w:r>
        <w:t xml:space="preserve"> </w:t>
      </w:r>
      <w:hyperlink r:id="rId32">
        <w:r>
          <w:rPr>
            <w:rStyle w:val="Hyperlink"/>
          </w:rPr>
          <w:t xml:space="preserve">https://firms.modaps.eosdis.nasa.gov/</w:t>
        </w:r>
      </w:hyperlink>
      <w:r>
        <w:t xml:space="preserve">.</w:t>
      </w:r>
    </w:p>
    <w:bookmarkEnd w:id="33"/>
    <w:bookmarkStart w:id="3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34"/>
    <w:bookmarkStart w:id="3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5">
        <w:r>
          <w:rPr>
            <w:rStyle w:val="Hyperlink"/>
          </w:rPr>
          <w:t xml:space="preserve">https://doi.org/10.1016/j.rse.2013.12.008</w:t>
        </w:r>
      </w:hyperlink>
    </w:p>
    <w:bookmarkEnd w:id="36"/>
    <w:bookmarkStart w:id="3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37">
        <w:r>
          <w:rPr>
            <w:rStyle w:val="Hyperlink"/>
          </w:rPr>
          <w:t xml:space="preserve">http://queimadas.dgi.inpe.br</w:t>
        </w:r>
      </w:hyperlink>
    </w:p>
    <w:bookmarkEnd w:id="38"/>
    <w:bookmarkStart w:id="3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39"/>
    <w:bookmarkEnd w:id="40"/>
    <w:bookmarkEnd w:id="41"/>
    <w:sectPr>
      <w:footnotePr>
        <w:numRestart w:val="eachSect"/>
      </w:footnotePr>
      <w:pgSz w:h="12240" w:orient="landscape" w:w="158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b/>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keepLines/>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A reproducible computational framework for decoupled wildfire ignition and propagation benchmarking in the Gran Chaco (2018–2025)</dc:title>
  <dc:creator/>
  <dc:language>en</dc:language>
  <cp:keywords/>
  <dcterms:created xsi:type="dcterms:W3CDTF">2026-10-28T01:32:19Z</dcterms:created>
  <dcterms:modified xsi:type="dcterms:W3CDTF">2026-10-28T01:32:19Z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2026-10-27</vt:lpwstr>
  </property>
  <property fmtid="{D5CDD505-2E9C-101B-9397-08002B2CF9AE}" pid="6" name="fig-cap-location">
    <vt:lpwstr>bottom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D2 target construction, calibration, evaluation protocol, extended tables and figures</vt:lpwstr>
  </property>
  <property fmtid="{D5CDD505-2E9C-101B-9397-08002B2CF9AE}" pid="12" name="toc-title">
    <vt:lpwstr>Table of contents</vt:lpwstr>
  </property>
</Properties>
</file>