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Un marco computacional reproducible para el desacoplamiento y benchmarking de ignición y propagación de incendios en el Gran Chaco (2018–2025)</w:t>
      </w:r>
    </w:p>
    <w:p>
      <w:pPr>
        <w:pStyle w:val="Date"/>
      </w:pPr>
      <w:r>
        <w:t xml:space="preserve">2026-10-27</w:t>
      </w:r>
    </w:p>
    <w:bookmarkStart w:id="11"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Un marco computacional reproducible para el desacoplamiento y benchmarking de ignición y propagación de incendios en el Gran Chaco (2018–2025)</w:t>
      </w:r>
    </w:p>
    <w:p>
      <w:pPr>
        <w:pStyle w:val="Compact"/>
        <w:numPr>
          <w:ilvl w:val="0"/>
          <w:numId w:val="1001"/>
        </w:numPr>
      </w:pPr>
      <w:r>
        <w:rPr>
          <w:b/>
          <w:bCs/>
        </w:rPr>
        <w:t xml:space="preserve">Subtítulo (Español):</w:t>
      </w:r>
      <w:r>
        <w:br/>
      </w:r>
      <w:r>
        <w:rPr>
          <w:i/>
          <w:iCs/>
        </w:rPr>
        <w:t xml:space="preserve">Targets D2, inferencia con gating y fallback M2/M3, y benchmark abierto frente a Canadian FWI e INPE Risco de Fogo</w:t>
      </w:r>
    </w:p>
    <w:p>
      <w:pPr>
        <w:pStyle w:val="Compact"/>
        <w:numPr>
          <w:ilvl w:val="0"/>
          <w:numId w:val="1001"/>
        </w:numPr>
      </w:pPr>
      <w:r>
        <w:rPr>
          <w:b/>
          <w:bCs/>
        </w:rPr>
        <w:t xml:space="preserve">Title (English):</w:t>
      </w:r>
      <w:r>
        <w:br/>
      </w:r>
      <w:r>
        <w:rPr>
          <w:i/>
          <w:iCs/>
        </w:rPr>
        <w:t xml:space="preserve">A Reproducible Computational Framework for Decoupled Wildfire Ignition and Propagation Benchmarking in the Gran Chaco (2018–2025)</w:t>
      </w:r>
    </w:p>
    <w:p>
      <w:pPr>
        <w:pStyle w:val="Compact"/>
        <w:numPr>
          <w:ilvl w:val="0"/>
          <w:numId w:val="1001"/>
        </w:numPr>
      </w:pPr>
      <w:r>
        <w:rPr>
          <w:b/>
          <w:bCs/>
        </w:rPr>
        <w:t xml:space="preserve">Subtitle (English):</w:t>
      </w:r>
      <w:r>
        <w:br/>
      </w:r>
      <w:r>
        <w:rPr>
          <w:i/>
          <w:iCs/>
        </w:rPr>
        <w:t xml:space="preserve">D2 Targets, M3/M2 Inference and an Open Benchmark Against Canadian FWI and INPE</w:t>
      </w:r>
    </w:p>
    <w:p>
      <w:pPr>
        <w:pStyle w:val="Compact"/>
        <w:numPr>
          <w:ilvl w:val="0"/>
          <w:numId w:val="1001"/>
        </w:numPr>
      </w:pPr>
      <w:r>
        <w:rPr>
          <w:b/>
          <w:bCs/>
        </w:rPr>
        <w:t xml:space="preserve">Título Corto / Running Head:</w:t>
      </w:r>
      <w:r>
        <w:br/>
      </w:r>
      <w:r>
        <w:rPr>
          <w:i/>
          <w:iCs/>
        </w:rPr>
        <w:t xml:space="preserve">Reproducible Decoupled Wildfire Benchmarking in the Gran Chaco</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Revisión de un solo anonimizado (</w:t>
      </w:r>
      <w:r>
        <w:rPr>
          <w:i/>
          <w:iCs/>
        </w:rPr>
        <w:t xml:space="preserve">Single-Anonymized Peer Review</w:t>
      </w:r>
      <w:r>
        <w:t xml:space="preserve">, política de C&amp;G)</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pPr>
        <w:pStyle w:val="Compact"/>
        <w:numPr>
          <w:ilvl w:val="0"/>
          <w:numId w:val="1001"/>
        </w:numPr>
      </w:pPr>
      <w:r>
        <w:rPr>
          <w:b/>
          <w:bCs/>
        </w:rPr>
        <w:t xml:space="preserve">Manuscrito en HTML / Manuscript in HTML:</w:t>
      </w:r>
      <w:r>
        <w:br/>
      </w:r>
      <w:hyperlink r:id="rId9">
        <w:r>
          <w:rPr>
            <w:rStyle w:val="Hyperlink"/>
          </w:rPr>
          <w:t xml:space="preserve">Abrir el manuscrito en HTML</w:t>
        </w:r>
      </w:hyperlink>
    </w:p>
    <w:p>
      <w:pPr>
        <w:pStyle w:val="Compact"/>
        <w:numPr>
          <w:ilvl w:val="0"/>
          <w:numId w:val="1001"/>
        </w:numPr>
      </w:pPr>
      <w:r>
        <w:rPr>
          <w:b/>
          <w:bCs/>
        </w:rPr>
        <w:t xml:space="preserve">Material Suplementario en HTML / Supplementary Material in HTML:</w:t>
      </w:r>
      <w:r>
        <w:br/>
      </w:r>
      <w:hyperlink r:id="rId10">
        <w:r>
          <w:rPr>
            <w:rStyle w:val="Hyperlink"/>
          </w:rPr>
          <w:t xml:space="preserve">Abrir el material suplementario</w:t>
        </w:r>
      </w:hyperlink>
    </w:p>
    <w:p>
      <w:r>
        <w:pict>
          <v:rect style="width:0;height:1.5pt" o:hralign="center" o:hrstd="t" o:hr="t"/>
        </w:pict>
      </w:r>
    </w:p>
    <w:bookmarkEnd w:id="11"/>
    <w:bookmarkStart w:id="13"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2">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3"/>
    <w:bookmarkStart w:id="14"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D2 formally separates primary ignition from tactical fire spread.</w:t>
      </w:r>
      <w:r>
        <w:t xml:space="preserve"> </w:t>
      </w:r>
      <w:r>
        <w:t xml:space="preserve">(61 chars)</w:t>
      </w:r>
    </w:p>
    <w:p>
      <w:pPr>
        <w:pStyle w:val="Compact"/>
        <w:numPr>
          <w:ilvl w:val="0"/>
          <w:numId w:val="1004"/>
        </w:numPr>
      </w:pPr>
      <w:r>
        <w:rPr>
          <w:b/>
          <w:bCs/>
        </w:rPr>
        <w:t xml:space="preserve">Gated M3/M2 inference links calibration, spatial blocks and cost-loss.</w:t>
      </w:r>
      <w:r>
        <w:t xml:space="preserve"> </w:t>
      </w:r>
      <w:r>
        <w:t xml:space="preserve">(69 chars)</w:t>
      </w:r>
    </w:p>
    <w:p>
      <w:pPr>
        <w:pStyle w:val="Compact"/>
        <w:numPr>
          <w:ilvl w:val="0"/>
          <w:numId w:val="1004"/>
        </w:numPr>
      </w:pPr>
      <w:r>
        <w:rPr>
          <w:b/>
          <w:bCs/>
        </w:rPr>
        <w:t xml:space="preserve">M3 beats full Canadian FWI and INPE under the same retrospective D2 test.</w:t>
      </w:r>
      <w:r>
        <w:t xml:space="preserve"> </w:t>
      </w:r>
      <w:r>
        <w:t xml:space="preserve">(71 chars)</w:t>
      </w:r>
    </w:p>
    <w:p>
      <w:pPr>
        <w:pStyle w:val="Compact"/>
        <w:numPr>
          <w:ilvl w:val="0"/>
          <w:numId w:val="1004"/>
        </w:numPr>
      </w:pPr>
      <w:r>
        <w:rPr>
          <w:b/>
          <w:bCs/>
        </w:rPr>
        <w:t xml:space="preserve">Spatial block holdout shows where the hybrid model does not transfer.</w:t>
      </w:r>
      <w:r>
        <w:t xml:space="preserve"> </w:t>
      </w:r>
      <w:r>
        <w:t xml:space="preserve">(70 chars)</w:t>
      </w:r>
    </w:p>
    <w:p>
      <w:pPr>
        <w:pStyle w:val="Compact"/>
        <w:numPr>
          <w:ilvl w:val="0"/>
          <w:numId w:val="1004"/>
        </w:numPr>
      </w:pPr>
      <w:r>
        <w:rPr>
          <w:b/>
          <w:bCs/>
        </w:rPr>
        <w:t xml:space="preserve">National inference runs in 3.47 s and 2.21 GB peak RAM on ARM64.</w:t>
      </w:r>
      <w:r>
        <w:t xml:space="preserve"> </w:t>
      </w:r>
      <w:r>
        <w:t xml:space="preserve">(62 chars)</w:t>
      </w:r>
    </w:p>
    <w:p>
      <w:r>
        <w:pict>
          <v:rect style="width:0;height:1.5pt" o:hralign="center" o:hrstd="t" o:hr="t"/>
        </w:pict>
      </w:r>
    </w:p>
    <w:bookmarkEnd w:id="14"/>
    <w:bookmarkStart w:id="18" w:name="resumen-gráfico-graphical-abstract"/>
    <w:p>
      <w:pPr>
        <w:pStyle w:val="Heading1"/>
      </w:pPr>
      <w:r>
        <w:t xml:space="preserve">4. Resumen Gráfico / Graphical Abstract</w:t>
      </w:r>
    </w:p>
    <w:p>
      <w:pPr>
        <w:pStyle w:val="FirstParagraph"/>
      </w:pPr>
      <w:r>
        <w:drawing>
          <wp:inline>
            <wp:extent cx="5334000" cy="2116996"/>
            <wp:effectExtent b="0" l="0" r="0" t="0"/>
            <wp:docPr descr="" title="" id="16" name="Picture"/>
            <a:graphic>
              <a:graphicData uri="http://schemas.openxmlformats.org/drawingml/2006/picture">
                <pic:pic>
                  <pic:nvPicPr>
                    <pic:cNvPr descr="figuras/graphical_abstract.png" id="17" name="Picture"/>
                    <pic:cNvPicPr>
                      <a:picLocks noChangeArrowheads="1" noChangeAspect="1"/>
                    </pic:cNvPicPr>
                  </pic:nvPicPr>
                  <pic:blipFill>
                    <a:blip r:embed="rId15"/>
                    <a:stretch>
                      <a:fillRect/>
                    </a:stretch>
                  </pic:blipFill>
                  <pic:spPr bwMode="auto">
                    <a:xfrm>
                      <a:off x="0" y="0"/>
                      <a:ext cx="5334000" cy="2116996"/>
                    </a:xfrm>
                    <a:prstGeom prst="rect">
                      <a:avLst/>
                    </a:prstGeom>
                    <a:noFill/>
                    <a:ln w="9525">
                      <a:noFill/>
                      <a:headEnd/>
                      <a:tailEnd/>
                    </a:ln>
                  </pic:spPr>
                </pic:pic>
              </a:graphicData>
            </a:graphic>
          </wp:inline>
        </w:drawing>
      </w:r>
    </w:p>
    <w:p>
      <w:pPr>
        <w:pStyle w:val="BodyText"/>
      </w:pPr>
      <w:r>
        <w:rPr>
          <w:b/>
          <w:bCs/>
        </w:rPr>
        <w:t xml:space="preserve">Graphical abstract.</w:t>
      </w:r>
      <w:r>
        <w:t xml:space="preserve"> </w:t>
      </w:r>
      <w:r>
        <w:t xml:space="preserve">Decoupled D2 targets, M3/M2 inference, causal t-1 propagation and a retrospective benchmark against FWI and INPE. The visual uses only current, traceable results.</w:t>
      </w:r>
    </w:p>
    <w:p>
      <w:r>
        <w:pict>
          <v:rect style="width:0;height:1.5pt" o:hralign="center" o:hrstd="t" o:hr="t"/>
        </w:pict>
      </w:r>
    </w:p>
    <w:bookmarkEnd w:id="18"/>
    <w:bookmarkStart w:id="21" w:name="resumen-abstract-keywords"/>
    <w:p>
      <w:pPr>
        <w:pStyle w:val="Heading1"/>
      </w:pPr>
      <w:r>
        <w:t xml:space="preserve">5. Resumen / Abstract &amp; Keywords</w:t>
      </w:r>
    </w:p>
    <w:bookmarkStart w:id="19" w:name="resumen-español"/>
    <w:p>
      <w:pPr>
        <w:pStyle w:val="Heading3"/>
      </w:pPr>
      <w:r>
        <w:t xml:space="preserve">Resumen (Español)</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Incendios forestales; GeoAI; reproducibilidad; validación espacial; LightGBM; Gran Chaco.</w:t>
      </w:r>
    </w:p>
    <w:p>
      <w:r>
        <w:pict>
          <v:rect style="width:0;height:1.5pt" o:hralign="center" o:hrstd="t" o:hr="t"/>
        </w:pict>
      </w:r>
    </w:p>
    <w:bookmarkEnd w:id="19"/>
    <w:bookmarkStart w:id="20" w:name="abstract-english"/>
    <w:p>
      <w:pPr>
        <w:pStyle w:val="Heading3"/>
      </w:pPr>
      <w:r>
        <w:t xml:space="preserve">Abstract (English)</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p>
      <w:r>
        <w:pict>
          <v:rect style="width:0;height:1.5pt" o:hralign="center" o:hrstd="t" o:hr="t"/>
        </w:pict>
      </w:r>
    </w:p>
    <w:bookmarkEnd w:id="20"/>
    <w:bookmarkEnd w:id="21"/>
    <w:bookmarkStart w:id="34" w:name="Xc3df9541fd9aa2ebc242b360f3fcbbede422e9d"/>
    <w:p>
      <w:pPr>
        <w:pStyle w:val="Heading1"/>
      </w:pPr>
      <w:r>
        <w:t xml:space="preserve">6. Declaraciones Obligatorias de Elsevier / Declarations</w:t>
      </w:r>
    </w:p>
    <w:bookmarkStart w:id="25"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2">
        <w:r>
          <w:rPr>
            <w:rStyle w:val="Hyperlink"/>
          </w:rPr>
          <w:t xml:space="preserve">https://github.com/sanchezmartin093-code/Incendios_PY</w:t>
        </w:r>
      </w:hyperlink>
    </w:p>
    <w:p>
      <w:pPr>
        <w:pStyle w:val="Compact"/>
        <w:numPr>
          <w:ilvl w:val="0"/>
          <w:numId w:val="1005"/>
        </w:numPr>
      </w:pPr>
      <w:r>
        <w:rPr>
          <w:b/>
          <w:bCs/>
        </w:rPr>
        <w:t xml:space="preserve">Versión del release:</w:t>
      </w:r>
      <w:r>
        <w:t xml:space="preserve"> </w:t>
      </w:r>
      <w:r>
        <w:t xml:space="preserve">2.0.0 (2026-10-27)</w:t>
      </w:r>
    </w:p>
    <w:p>
      <w:pPr>
        <w:pStyle w:val="Compact"/>
        <w:numPr>
          <w:ilvl w:val="0"/>
          <w:numId w:val="1005"/>
        </w:numPr>
      </w:pPr>
      <w:r>
        <w:rPr>
          <w:b/>
          <w:bCs/>
        </w:rPr>
        <w:t xml:space="preserve">DOI conceptual del Código:</w:t>
      </w:r>
      <w:r>
        <w:t xml:space="preserve"> </w:t>
      </w:r>
      <w:hyperlink r:id="rId23">
        <w:r>
          <w:rPr>
            <w:rStyle w:val="Hyperlink"/>
          </w:rPr>
          <w:t xml:space="preserve">10.5281/zenodo.23675104</w:t>
        </w:r>
      </w:hyperlink>
    </w:p>
    <w:p>
      <w:pPr>
        <w:pStyle w:val="Compact"/>
        <w:numPr>
          <w:ilvl w:val="0"/>
          <w:numId w:val="1005"/>
        </w:numPr>
      </w:pPr>
      <w:r>
        <w:rPr>
          <w:b/>
          <w:bCs/>
        </w:rPr>
        <w:t xml:space="preserve">DOI conceptual de los Datos:</w:t>
      </w:r>
      <w:r>
        <w:t xml:space="preserve"> </w:t>
      </w:r>
      <w:hyperlink r:id="rId24">
        <w:r>
          <w:rPr>
            <w:rStyle w:val="Hyperlink"/>
          </w:rPr>
          <w:t xml:space="preserve">10.5281/zenodo.23675278</w:t>
        </w:r>
      </w:hyperlink>
    </w:p>
    <w:bookmarkEnd w:id="25"/>
    <w:bookmarkStart w:id="30"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6">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Climate Data Store (CDS) ERA5-Land reanalysis (</w:t>
      </w:r>
      <w:hyperlink r:id="rId27">
        <w:r>
          <w:rPr>
            <w:rStyle w:val="Hyperlink"/>
          </w:rPr>
          <w:t xml:space="preserve">cds.climate.copernicus.eu</w:t>
        </w:r>
      </w:hyperlink>
      <w:r>
        <w:t xml:space="preserve">) procesado mediante pipeline nativo ECMWF CDS API (</w:t>
      </w:r>
      <w:r>
        <w:rPr>
          <w:rStyle w:val="VerbatimChar"/>
        </w:rPr>
        <w:t xml:space="preserve">src/clima_cds.py</w:t>
      </w:r>
      <w:r>
        <w:t xml:space="preserve">).</w:t>
      </w:r>
      <w:r>
        <w:t xml:space="preserve"> </w:t>
      </w:r>
      <w:r>
        <w:t xml:space="preserve">3.</w:t>
      </w:r>
      <w:r>
        <w:t xml:space="preserve"> </w:t>
      </w:r>
      <w:r>
        <w:rPr>
          <w:b/>
          <w:bCs/>
        </w:rPr>
        <w:t xml:space="preserve">Cobertura vegetal y biomas:</w:t>
      </w:r>
      <w:r>
        <w:t xml:space="preserve"> </w:t>
      </w:r>
      <w:r>
        <w:t xml:space="preserve">objetivo MapBiomas Chaco y Bosque Atlántico; se usan mapas anuales de MapBiomas Colección 2 (2017–2023), unidos por año previo.</w:t>
      </w:r>
      <w:r>
        <w:t xml:space="preserve"> </w:t>
      </w:r>
      <w:r>
        <w:t xml:space="preserve">4.</w:t>
      </w:r>
      <w:r>
        <w:t xml:space="preserve"> </w:t>
      </w:r>
      <w:r>
        <w:rPr>
          <w:b/>
          <w:bCs/>
        </w:rPr>
        <w:t xml:space="preserve">Pérdida de cobertura arbórea:</w:t>
      </w:r>
      <w:r>
        <w:t xml:space="preserve"> </w:t>
      </w:r>
      <w:r>
        <w:t xml:space="preserve">Hansen Global Forest Change GFC-2025 v1.13 (</w:t>
      </w:r>
      <w:hyperlink r:id="rId28">
        <w:r>
          <w:rPr>
            <w:rStyle w:val="Hyperlink"/>
          </w:rPr>
          <w:t xml:space="preserve">earthenginepartners.appspot.com</w:t>
        </w:r>
      </w:hyperlink>
      <w:r>
        <w:t xml:space="preserve">).</w:t>
      </w:r>
      <w:r>
        <w:t xml:space="preserve"> </w:t>
      </w:r>
      <w:r>
        <w:t xml:space="preserve">5.</w:t>
      </w:r>
      <w:r>
        <w:t xml:space="preserve"> </w:t>
      </w:r>
      <w:r>
        <w:rPr>
          <w:b/>
          <w:bCs/>
        </w:rPr>
        <w:t xml:space="preserve">Límites cartográficos nacionales:</w:t>
      </w:r>
      <w:r>
        <w:t xml:space="preserve"> </w:t>
      </w:r>
      <w:r>
        <w:t xml:space="preserve">Marco geoBoundaries ADM0 y ADM1 (</w:t>
      </w:r>
      <w:hyperlink r:id="rId29">
        <w:r>
          <w:rPr>
            <w:rStyle w:val="Hyperlink"/>
          </w:rPr>
          <w:t xml:space="preserve">geoboundaries.org</w:t>
        </w:r>
      </w:hyperlink>
      <w:r>
        <w:t xml:space="preserve">).</w:t>
      </w:r>
      <w:r>
        <w:br/>
      </w:r>
      <w:r>
        <w:t xml:space="preserve">Los datasets consolidados y procesados no se versionan en git; se documentan con hashes en</w:t>
      </w:r>
      <w:r>
        <w:t xml:space="preserve"> </w:t>
      </w:r>
      <w:r>
        <w:rPr>
          <w:rStyle w:val="VerbatimChar"/>
        </w:rPr>
        <w:t xml:space="preserve">fuentes/MANIFIESTO_DATOS_v3.csv</w:t>
      </w:r>
      <w:r>
        <w:t xml:space="preserve"> </w:t>
      </w:r>
      <w:r>
        <w:t xml:space="preserve">y están disponibles en el release v2.0.0 de GitHub bajo licencia CC BY 4.0, además del DOI conceptual de datos (</w:t>
      </w:r>
      <w:hyperlink r:id="rId24">
        <w:r>
          <w:rPr>
            <w:rStyle w:val="Hyperlink"/>
          </w:rPr>
          <w:t xml:space="preserve">10.5281/zenodo.23675278</w:t>
        </w:r>
      </w:hyperlink>
      <w:r>
        <w:t xml:space="preserve">).</w:t>
      </w:r>
    </w:p>
    <w:bookmarkEnd w:id="30"/>
    <w:bookmarkStart w:id="31"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31"/>
    <w:bookmarkStart w:id="32"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32"/>
    <w:bookmarkStart w:id="33"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27" Target="https://cds.climate.copernicus.eu/" TargetMode="External" /><Relationship Type="http://schemas.openxmlformats.org/officeDocument/2006/relationships/hyperlink" Id="rId23" Target="https://doi.org/10.5281/zenodo.23675104" TargetMode="External" /><Relationship Type="http://schemas.openxmlformats.org/officeDocument/2006/relationships/hyperlink" Id="rId24" Target="https://doi.org/10.5281/zenodo.23675278" TargetMode="External" /><Relationship Type="http://schemas.openxmlformats.org/officeDocument/2006/relationships/hyperlink" Id="rId26" Target="https://firms.modaps.eosdis.nasa.gov/" TargetMode="External" /><Relationship Type="http://schemas.openxmlformats.org/officeDocument/2006/relationships/hyperlink" Id="rId22" Target="https://github.com/sanchezmartin093-code/Incendios_PY" TargetMode="External" /><Relationship Type="http://schemas.openxmlformats.org/officeDocument/2006/relationships/hyperlink" Id="rId12" Target="https://orcid.org/0000-0003-4138-9668" TargetMode="External" /><Relationship Type="http://schemas.openxmlformats.org/officeDocument/2006/relationships/hyperlink" Id="rId28" Target="https://storage.googleapis.com/earthenginepartners-hansen/GFC-2025-v1.13/" TargetMode="External" /><Relationship Type="http://schemas.openxmlformats.org/officeDocument/2006/relationships/hyperlink" Id="rId29" Target="https://www.geoboundaries.org/" TargetMode="External" /><Relationship Type="http://schemas.openxmlformats.org/officeDocument/2006/relationships/hyperlink" Id="rId9" Target="manuscrito.html" TargetMode="External" /><Relationship Type="http://schemas.openxmlformats.org/officeDocument/2006/relationships/hyperlink" Id="rId10" Target="material_suplementario.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ds.climate.copernicus.eu/" TargetMode="External" /><Relationship Type="http://schemas.openxmlformats.org/officeDocument/2006/relationships/hyperlink" Id="rId23" Target="https://doi.org/10.5281/zenodo.23675104" TargetMode="External" /><Relationship Type="http://schemas.openxmlformats.org/officeDocument/2006/relationships/hyperlink" Id="rId24" Target="https://doi.org/10.5281/zenodo.23675278" TargetMode="External" /><Relationship Type="http://schemas.openxmlformats.org/officeDocument/2006/relationships/hyperlink" Id="rId26" Target="https://firms.modaps.eosdis.nasa.gov/" TargetMode="External" /><Relationship Type="http://schemas.openxmlformats.org/officeDocument/2006/relationships/hyperlink" Id="rId22" Target="https://github.com/sanchezmartin093-code/Incendios_PY" TargetMode="External" /><Relationship Type="http://schemas.openxmlformats.org/officeDocument/2006/relationships/hyperlink" Id="rId12" Target="https://orcid.org/0000-0003-4138-9668" TargetMode="External" /><Relationship Type="http://schemas.openxmlformats.org/officeDocument/2006/relationships/hyperlink" Id="rId28" Target="https://storage.googleapis.com/earthenginepartners-hansen/GFC-2025-v1.13/" TargetMode="External" /><Relationship Type="http://schemas.openxmlformats.org/officeDocument/2006/relationships/hyperlink" Id="rId29" Target="https://www.geoboundaries.org/" TargetMode="External" /><Relationship Type="http://schemas.openxmlformats.org/officeDocument/2006/relationships/hyperlink" Id="rId9" Target="manuscrito.html" TargetMode="External" /><Relationship Type="http://schemas.openxmlformats.org/officeDocument/2006/relationships/hyperlink" Id="rId10" Target="material_suplementari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2026-10-28T01:32:17Z</dcterms:created>
  <dcterms:modified xsi:type="dcterms:W3CDTF">2026-10-28T01:32:17Z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date-modified">
    <vt:lpwstr>2026-10-27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Un marco computacional reproducible para el desacoplamiento y benchmarking de ignición y propagación de incendios en el Gran Chaco (2018–2025)</vt:lpwstr>
  </property>
  <property fmtid="{D5CDD505-2E9C-101B-9397-08002B2CF9AE}" pid="10" name="toc-title">
    <vt:lpwstr>Tabla de contenidos</vt:lpwstr>
  </property>
</Properties>
</file>