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2026-10-24</w:t>
      </w:r>
    </w:p>
    <w:bookmarkStart w:id="11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M1/M3,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Gated M3/M1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Manuscrito en HTML / Manuscript in HTML:</w:t>
      </w:r>
      <w:r>
        <w:br/>
      </w:r>
      <w:hyperlink r:id="rId9">
        <w:r>
          <w:rPr>
            <w:rStyle w:val="Hyperlink"/>
          </w:rPr>
          <w:t xml:space="preserve">Abrir el manuscrito en HTML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 Suplementario en HTML / Supplementary Material in HTML:</w:t>
      </w:r>
      <w:r>
        <w:br/>
      </w:r>
      <w:hyperlink r:id="rId10">
        <w:r>
          <w:rPr>
            <w:rStyle w:val="Hyperlink"/>
          </w:rPr>
          <w:t xml:space="preserve">Abrir el material suplementario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3"/>
    <w:bookmarkStart w:id="14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4"/>
    <w:bookmarkStart w:id="18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534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as/graphical_abstrac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gated M3/M1 inference, causal t-1 propagation and a blind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8"/>
    <w:bookmarkStart w:id="21" w:name="resumen-abstract-keywords"/>
    <w:p>
      <w:pPr>
        <w:pStyle w:val="Heading1"/>
      </w:pPr>
      <w:r>
        <w:t xml:space="preserve">5. Resumen / Abstract &amp; Keywords</w:t>
      </w:r>
    </w:p>
    <w:bookmarkStart w:id="19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fugas espaciales y una limitada transferibilidad de los índices boreales a biomas subtropicales. Presentamos un marco computacional reproducible que separa ignición primaria y propagación táctica y hace explícitos la construcción de targets, la inferencia con gating y el protocolo de evaluación. La definición D2 exige que la ignición no tenga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en 25 km ni fuego en la misma celda en 10 días; la propagación se evalúa dentro de 25 km de un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gating biofísico elimina celdas no combustibles o húmedas; un modelo híbrido LightGBM 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 predice ignición sin variables de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con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como fallback para celdas sin historia; la propagación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pipeline</w:t>
      </w:r>
      <w:r>
        <w:t xml:space="preserve"> </w:t>
      </w:r>
      <w:r>
        <w:rPr>
          <w:i/>
          <w:iCs/>
        </w:rPr>
        <w:t xml:space="preserve">zero-copy</w:t>
      </w:r>
      <w:r>
        <w:t xml:space="preserve"> </w:t>
      </w:r>
      <w:r>
        <w:t xml:space="preserve">en Polars/DuckDB evalúa 400.006 celdas de 1 km², y un harness reproducible combina bootstrap agrupado por fecha, bloques espaciales de 50 km, lead-time y cost-loss. En test ciego 2024–2025 (1.813.966 celdas-día-tarea),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alcanza ROC-AUC 0,7851/0,7485 (Chaco/Oriental), frente a 0,5185/0,5569 del FWI completo y 0,5386/0,4994 del INPE; la propagación alcanza 0,8989/0,7799. La precisión poblacional de ignición es solo 0,062 %/0,206 %, por lo que el sistema es un nowcast y herramienta de priorización, no una alerta autónoma.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pierde transferibilidad espacial (0,6243/0,5754), mientras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 más robusto (0,6338/0,6176), lo que motiva el fallback. Código y datos están archivados con DOI. La contribución es un protocolo computacional y un benchmark reproducible, no un nuevo algoritmo de</w:t>
      </w:r>
      <w:r>
        <w:t xml:space="preserve"> </w:t>
      </w:r>
      <w:r>
        <w:rPr>
          <w:i/>
          <w:iCs/>
        </w:rPr>
        <w:t xml:space="preserve">boosting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9"/>
    <w:bookmarkStart w:id="20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present a reproducible computational framework that separates primary ignition from tactical propagation and makes target construction, gated inference and evaluation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M1 as a fallback for cells without fire history; propagation uses a causal t-1 kernel. A zero-copy Polars/DuckDB pipeline scores 400,006 1-km² cells, and a reproducible harness combines grouped-by-date bootstrap, 50-km spatial blocks, lead-time and cost-loss analyses. In the 2024–2025 held-out test (1,813,966 task cell-days), M3 reaches ROC-AUC 0.7851/0.7485 (Chaco/Oriental), versus 0.5185/0.5569 for full Canadian FWI and 0.5386/0.4994 for INPE; propagation reaches 0.8989/0.7799. Population-level ignition precision is only 0.062 %/0.206 %, so the system is a nowcast and prioritisation tool, not a stand-alone warning system. M3 loses spatial transferability (0.6243/0.5754), whereas M1 is more robust (0.6338/0.6176), motivating the fallback. Code and data are archived with DOIs. The contribution is a reproducible computational protocol and benchmark, not a new boosting algorithm.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5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2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del Código:</w:t>
      </w:r>
      <w:r>
        <w:t xml:space="preserve"> </w:t>
      </w:r>
      <w:hyperlink r:id="rId23">
        <w:r>
          <w:rPr>
            <w:rStyle w:val="Hyperlink"/>
          </w:rPr>
          <w:t xml:space="preserve">10.5281/zenodo.23675105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 los Datos:</w:t>
      </w:r>
      <w:r>
        <w:t xml:space="preserve"> </w:t>
      </w:r>
      <w:hyperlink r:id="rId24">
        <w:r>
          <w:rPr>
            <w:rStyle w:val="Hyperlink"/>
          </w:rPr>
          <w:t xml:space="preserve">10.5281/zenodo.23675279</w:t>
        </w:r>
      </w:hyperlink>
    </w:p>
    <w:bookmarkEnd w:id="25"/>
    <w:bookmarkStart w:id="29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6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7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8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están archivados en Zenodo bajo licencia CC BY 4.0:</w:t>
      </w:r>
      <w:r>
        <w:t xml:space="preserve"> </w:t>
      </w:r>
      <w:hyperlink r:id="rId24">
        <w:r>
          <w:rPr>
            <w:rStyle w:val="Hyperlink"/>
          </w:rPr>
          <w:t xml:space="preserve">10.5281/zenodo.23675279</w:t>
        </w:r>
      </w:hyperlink>
      <w:r>
        <w:t xml:space="preserve">.</w:t>
      </w:r>
    </w:p>
    <w:bookmarkEnd w:id="29"/>
    <w:bookmarkStart w:id="30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30"/>
    <w:bookmarkStart w:id="31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1"/>
    <w:bookmarkStart w:id="32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5" TargetMode="External" /><Relationship Type="http://schemas.openxmlformats.org/officeDocument/2006/relationships/hyperlink" Id="rId24" Target="https://doi.org/10.5281/zenodo.23675279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5" TargetMode="External" /><Relationship Type="http://schemas.openxmlformats.org/officeDocument/2006/relationships/hyperlink" Id="rId24" Target="https://doi.org/10.5281/zenodo.23675279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2026-10-26T21:37:56Z</dcterms:created>
  <dcterms:modified xsi:type="dcterms:W3CDTF">2026-10-26T21:37:56Z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