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Desacoplando el Peligro Biofísico de Ignición y la Propagación Táctica de Incendios Forestales en el Gran Chaco mediante GeoAI Multiescala (2015–2025)</w:t>
      </w:r>
    </w:p>
    <w:p>
      <w:pPr>
        <w:pStyle w:val="Subtitle"/>
      </w:pPr>
      <w:r>
        <w:t xml:space="preserve">Un marco computacional reproducible de dos etapas para la predicción a 24 horas y benchmarking internacional frente a Canadian FWI e INPE</w:t>
      </w:r>
    </w:p>
    <w:p>
      <w:pPr>
        <w:pStyle w:val="Date"/>
      </w:pPr>
      <w:r>
        <w:t xml:space="preserve">2026-10-24</w:t>
      </w:r>
    </w:p>
    <w:sdt>
      <w:sdtPr>
        <w:docPartObj>
          <w:docPartGallery w:val="Table of Contents"/>
          <w:docPartUnique/>
        </w:docPartObj>
      </w:sdtPr>
      <w:sdtContent>
        <w:p>
          <w:pPr>
            <w:pStyle w:val="TOCHeading"/>
          </w:pPr>
          <w:r>
            <w:t xml:space="preserve">Contenido del Manuscrito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 — Categorías:</w:t>
      </w:r>
      <w:r>
        <w:t xml:space="preserve"> </w:t>
      </w:r>
      <w:r>
        <w:rPr>
          <w:i/>
          <w:iCs/>
        </w:rPr>
        <w:t xml:space="preserve">Computer Science Applications</w:t>
      </w:r>
      <w:r>
        <w:t xml:space="preserve"> </w:t>
      </w:r>
      <w:r>
        <w:t xml:space="preserve">&amp;</w:t>
      </w:r>
      <w:r>
        <w:t xml:space="preserve"> </w:t>
      </w:r>
      <w:r>
        <w:rPr>
          <w:i/>
          <w:iCs/>
        </w:rPr>
        <w:t xml:space="preserve">Earth and Planetary Sciences</w:t>
      </w:r>
      <w:r>
        <w:br/>
      </w:r>
      <w:r>
        <w:rPr>
          <w:b/>
          <w:bCs/>
        </w:rPr>
        <w:t xml:space="preserve">Autor(es):</w:t>
      </w:r>
      <w:r>
        <w:t xml:space="preserve"> </w:t>
      </w:r>
      <w:r>
        <w:t xml:space="preserve">[Información de autoría, afiliaciones y enlaces de repositorios institucionales anonimizados para revisión por pares doble ciego]</w:t>
      </w:r>
    </w:p>
    <w:p>
      <w:r>
        <w:pict>
          <v:rect style="width:0;height:1.5pt" o:hralign="center" o:hrstd="t" o:hr="t"/>
        </w:pict>
      </w:r>
    </w:p>
    <w:bookmarkStart w:id="9" w:name="resumen"/>
    <w:p>
      <w:pPr>
        <w:pStyle w:val="Heading1"/>
      </w:pPr>
      <w:r>
        <w:t xml:space="preserve">Resumen</w:t>
      </w:r>
    </w:p>
    <w:p>
      <w:pPr>
        <w:pStyle w:val="FirstParagraph"/>
      </w:pPr>
      <w:r>
        <w:t xml:space="preserve">La predicción operativa de incendios forestales mediante aprendizaje automático en geociencias enfrenta con frecuencia dos fallas metodológicas críticas: el sesgo de atajo espacial (</w:t>
      </w:r>
      <w:r>
        <w:rPr>
          <w:i/>
          <w:iCs/>
        </w:rPr>
        <w:t xml:space="preserve">spatial shortcut learning</w:t>
      </w:r>
      <w:r>
        <w:t xml:space="preserve">) derivado de la fuerte autocorrelación de las plumas de fuego continuas, y la incapacidad de los índices climáticos canónicos boreales (como el</w:t>
      </w:r>
      <w:r>
        <w:t xml:space="preserve"> </w:t>
      </w:r>
      <w:r>
        <w:rPr>
          <w:i/>
          <w:iCs/>
        </w:rPr>
        <w:t xml:space="preserve">Canadian Forest Fire Weather Index</w:t>
      </w:r>
      <w:r>
        <w:t xml:space="preserve">, FWI) para capturar la desecación de biomas subtropicales con déficit hídrico extremo, como el Gran Chaco sudamericano. En este trabajo presentamos</w:t>
      </w:r>
      <w:r>
        <w:t xml:space="preserve"> </w:t>
      </w:r>
      <w:r>
        <w:rPr>
          <w:rStyle w:val="VerbatimChar"/>
        </w:rPr>
        <w:t xml:space="preserve">Incendios_PY</w:t>
      </w:r>
      <w:r>
        <w:t xml:space="preserve">, una arquitectura computacional GeoAI multiescala y desacoplada para la República del Paraguay (</w:t>
      </w:r>
      <m:oMath>
        <m:r>
          <m:t>400.006</m:t>
        </m:r>
      </m:oMath>
      <w:r>
        <w:t xml:space="preserve"> </w:t>
      </w:r>
      <w:r>
        <w:t xml:space="preserve">celdas soberanas a resolución de</w:t>
      </w:r>
      <w:r>
        <w:t xml:space="preserve"> </w:t>
      </w:r>
      <m:oMath>
        <m:r>
          <m:t>1</m:t>
        </m:r>
        <m:sSup>
          <m:e>
            <m:r>
              <m:rPr>
                <m:nor/>
                <m:sty m:val="p"/>
              </m:rPr>
              <m:t> km</m:t>
            </m:r>
          </m:e>
          <m:sup>
            <m:r>
              <m:t>2</m:t>
            </m:r>
          </m:sup>
        </m:sSup>
      </m:oMath>
      <w:r>
        <w:t xml:space="preserve">), diseñada sobre un horizonte decenal (2015–2025). El marco computacional implementa un filtrado biofísico de primera etapa (</w:t>
      </w:r>
      <w:r>
        <w:rPr>
          <w:i/>
          <w:iCs/>
        </w:rPr>
        <w:t xml:space="preserve">Two-Stage Bio-physical Gating</w:t>
      </w:r>
      <w:r>
        <w:t xml:space="preserve">) que condiciona la inferencia al déficit de presión de vapor (</w:t>
      </w:r>
      <m:oMath>
        <m:r>
          <m:t>V</m:t>
        </m:r>
        <m:r>
          <m:t>P</m:t>
        </m:r>
        <m:r>
          <m:t>D</m:t>
        </m:r>
        <m:r>
          <m:rPr>
            <m:sty m:val="p"/>
          </m:rPr>
          <m:t>≥</m:t>
        </m:r>
        <m:r>
          <m:t>0</m:t>
        </m:r>
        <m:r>
          <m:rPr>
            <m:sty m:val="p"/>
          </m:rPr>
          <m:t>,</m:t>
        </m:r>
        <m:r>
          <m:t>8</m:t>
        </m:r>
        <m:r>
          <m:rPr>
            <m:nor/>
            <m:sty m:val="p"/>
          </m:rPr>
          <m:t> kPa</m:t>
        </m:r>
      </m:oMath>
      <w:r>
        <w:t xml:space="preserve">), días secos consecutivos (</w:t>
      </w:r>
      <m:oMath>
        <m:r>
          <m:t>C</m:t>
        </m:r>
        <m:r>
          <m:t>D</m:t>
        </m:r>
        <m:r>
          <m:t>D</m:t>
        </m:r>
      </m:oMath>
      <w:r>
        <w:t xml:space="preserve">) y lluvia acumulada en 48 horas (</w:t>
      </w:r>
      <m:oMath>
        <m:r>
          <m:rPr>
            <m:sty m:val="p"/>
          </m:rPr>
          <m:t>&lt;</m:t>
        </m:r>
        <m:r>
          <m:t>10</m:t>
        </m:r>
        <m:r>
          <m:rPr>
            <m:nor/>
            <m:sty m:val="p"/>
          </m:rPr>
          <m:t> mm</m:t>
        </m:r>
      </m:oMath>
      <w:r>
        <w:t xml:space="preserve">), reduciendo la superficie evaluada en un 92 % sin pérdida de sensibilidad. Para neutralizar el aprendizaje de atajos espaciales espurios, desacoplamos analíticamente dos modelos diferenciados: (1)</w:t>
      </w:r>
      <w:r>
        <w:t xml:space="preserve"> </w:t>
      </w:r>
      <w:r>
        <w:rPr>
          <w:b/>
          <w:bCs/>
        </w:rPr>
        <w:t xml:space="preserve">Ignición Primaria Física</w:t>
      </w:r>
      <w:r>
        <w:t xml:space="preserve">, basado exclusivamente en interacciones meteorológicas no lineales, cobertura MapBiomas (30 m) y gradientes de ecotono; y (2)</w:t>
      </w:r>
      <w:r>
        <w:t xml:space="preserve"> </w:t>
      </w:r>
      <w:r>
        <w:rPr>
          <w:b/>
          <w:bCs/>
        </w:rPr>
        <w:t xml:space="preserve">Propagación Táctica</w:t>
      </w:r>
      <w:r>
        <w:t xml:space="preserve">, gobernado por un kernel causal espacial de contagio a retardo</w:t>
      </w:r>
      <w:r>
        <w:t xml:space="preserve"> </w:t>
      </w:r>
      <m:oMath>
        <m:r>
          <m:t>t</m:t>
        </m:r>
        <m:r>
          <m:rPr>
            <m:sty m:val="p"/>
          </m:rPr>
          <m:t>−</m:t>
        </m:r>
        <m:r>
          <m:t>1</m:t>
        </m:r>
      </m:oMath>
      <w:r>
        <w:t xml:space="preserve"> </w:t>
      </w:r>
      <w:r>
        <w:t xml:space="preserve">alimentado por anomalías térmicas VIIRS (375 m). La validación espaciotemporal rigurosa —bajo partición</w:t>
      </w:r>
      <w:r>
        <w:t xml:space="preserve"> </w:t>
      </w:r>
      <w:r>
        <w:rPr>
          <w:i/>
          <w:iCs/>
        </w:rPr>
        <w:t xml:space="preserve">out-of-time</w:t>
      </w:r>
      <w:r>
        <w:t xml:space="preserve"> </w:t>
      </w:r>
      <w:r>
        <w:t xml:space="preserve">multianual y una zona muerta de exclusión espacial (</w:t>
      </w:r>
      <w:r>
        <w:rPr>
          <w:i/>
          <w:iCs/>
        </w:rPr>
        <w:t xml:space="preserve">dead-zone buffer</w:t>
      </w:r>
      <w:r>
        <w:t xml:space="preserve">) de 20 km— demuestra una superioridad estadística sistemática frente a los sistemas canónicos internacionales: la capa de ignición supera al Canadian FWI (ROC-AUC 0,771 vs. 0,389) y al INPE Risco de Fogo (0,399) en la Región Oriental, mientras que la capa de propagación alcanza una precisión del 97,71 % con solo 3 falsos positivos en el Chaco. Implementado en un motor analítico</w:t>
      </w:r>
      <w:r>
        <w:t xml:space="preserve"> </w:t>
      </w:r>
      <w:r>
        <w:rPr>
          <w:i/>
          <w:iCs/>
        </w:rPr>
        <w:t xml:space="preserve">zero-copy</w:t>
      </w:r>
      <w:r>
        <w:t xml:space="preserve"> </w:t>
      </w:r>
      <w:r>
        <w:t xml:space="preserve">(DuckDB y Polars), el servicio evalúa el territorio nacional completo en 0,75 segundos en procesadores ARM64 estándar, garantizando soberanía operativa y reproducibilidad algorítmica para servicios de alerta temprana.</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9"/>
    <w:bookmarkStart w:id="10" w:name="abstract"/>
    <w:p>
      <w:pPr>
        <w:pStyle w:val="Heading1"/>
      </w:pPr>
      <w:r>
        <w:t xml:space="preserve">Abstract</w:t>
      </w:r>
    </w:p>
    <w:p>
      <w:pPr>
        <w:pStyle w:val="FirstParagraph"/>
      </w:pPr>
      <w:r>
        <w:t xml:space="preserve">Operational wildfire forecasting via machine learning in geosciences frequently suffers from two major methodological limitations: spatial shortcut learning induced by the strong autocorrelation of ongoing thermal plumes, and the failure of canonical boreal fire danger rating indices (such as the Canadian FWI) in moisture-limited subtropical biomes like the South American Gran Chaco. Here, we present</w:t>
      </w:r>
      <w:r>
        <w:t xml:space="preserve"> </w:t>
      </w:r>
      <w:r>
        <w:rPr>
          <w:rStyle w:val="VerbatimChar"/>
        </w:rPr>
        <w:t xml:space="preserve">Incendios_PY</w:t>
      </w:r>
      <w:r>
        <w:t xml:space="preserve">, an open-source, decoupled GeoAI computational framework for the Republic of Paraguay (</w:t>
      </w:r>
      <m:oMath>
        <m:r>
          <m:t>400</m:t>
        </m:r>
        <m:r>
          <m:rPr>
            <m:sty m:val="p"/>
          </m:rPr>
          <m:t>,</m:t>
        </m:r>
        <m:r>
          <m:t>006</m:t>
        </m:r>
      </m:oMath>
      <w:r>
        <w:t xml:space="preserve"> </w:t>
      </w:r>
      <w:r>
        <w:t xml:space="preserve">sovereign</w:t>
      </w:r>
      <w:r>
        <w:t xml:space="preserve"> </w:t>
      </w:r>
      <m:oMath>
        <m:r>
          <m:t>1</m:t>
        </m:r>
        <m:sSup>
          <m:e>
            <m:r>
              <m:rPr>
                <m:nor/>
                <m:sty m:val="p"/>
              </m:rPr>
              <m:t>-km</m:t>
            </m:r>
          </m:e>
          <m:sup>
            <m:r>
              <m:t>2</m:t>
            </m:r>
          </m:sup>
        </m:sSup>
      </m:oMath>
      <w:r>
        <w:t xml:space="preserve"> </w:t>
      </w:r>
      <w:r>
        <w:t xml:space="preserve">grid cells) designed over a decadal observation horizon (2015–2025). The architecture incorporates a first-stage biophysical gating mechanism conditioned on vapor pressure deficit thresholds (</w:t>
      </w:r>
      <m:oMath>
        <m:r>
          <m:t>V</m:t>
        </m:r>
        <m:r>
          <m:t>P</m:t>
        </m:r>
        <m:r>
          <m:t>D</m:t>
        </m:r>
        <m:r>
          <m:rPr>
            <m:sty m:val="p"/>
          </m:rPr>
          <m:t>≥</m:t>
        </m:r>
        <m:r>
          <m:t>0.8</m:t>
        </m:r>
        <m:r>
          <m:rPr>
            <m:nor/>
            <m:sty m:val="p"/>
          </m:rPr>
          <m:t> kPa</m:t>
        </m:r>
      </m:oMath>
      <w:r>
        <w:t xml:space="preserve">), consecutive dry days (</w:t>
      </w:r>
      <m:oMath>
        <m:r>
          <m:t>C</m:t>
        </m:r>
        <m:r>
          <m:t>D</m:t>
        </m:r>
        <m:r>
          <m:t>D</m:t>
        </m:r>
      </m:oMath>
      <w:r>
        <w:t xml:space="preserve">), and antecedent 48-hour rainfall (</w:t>
      </w:r>
      <m:oMath>
        <m:r>
          <m:rPr>
            <m:sty m:val="p"/>
          </m:rPr>
          <m:t>&lt;</m:t>
        </m:r>
        <m:r>
          <m:t>10</m:t>
        </m:r>
        <m:r>
          <m:rPr>
            <m:nor/>
            <m:sty m:val="p"/>
          </m:rPr>
          <m:t> mm</m:t>
        </m:r>
      </m:oMath>
      <w:r>
        <w:t xml:space="preserve">), filtering 92% of national grid cells without compromising detection sensitivity. To eradicate spatial persistence shortcuts, we decoupled the task into two specialized models: (1)</w:t>
      </w:r>
      <w:r>
        <w:t xml:space="preserve"> </w:t>
      </w:r>
      <w:r>
        <w:rPr>
          <w:b/>
          <w:bCs/>
        </w:rPr>
        <w:t xml:space="preserve">Pure Biophysical Ignition</w:t>
      </w:r>
      <w:r>
        <w:t xml:space="preserve">, modeled strictly on non-linear meteorological-fuel interactions and ecotone edge gradients without fire-history lags;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detections. Rigorous spatial validation—utilizing multiannual out-of-time holdouts and an explicit 20-km dead-zone spatial exclusion buffer—demonstrates that the biophysical ignition model outperforms both the Canadian FWI (ROC-AUC 0.771 vs. 0.389) and INPE’s Risco de Fogo (0.399) in the Oriental Region, while the tactical propagation model achieves 97.71% precision with only 3 false positives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0"/>
    <w:bookmarkStart w:id="11" w:name="introducción"/>
    <w:p>
      <w:pPr>
        <w:pStyle w:val="Heading1"/>
      </w:pPr>
      <w:r>
        <w:t xml:space="preserve">1. 1. Introducción</w:t>
      </w:r>
    </w:p>
    <w:p>
      <w:pPr>
        <w:pStyle w:val="FirstParagraph"/>
      </w:pPr>
      <w:r>
        <w:t xml:space="preserve">Los incendios de vegetación en el Cono Sur de América del Sur representan una de las principales amenazas para la conservación biológica, la estabilidad climática regional y la salud pública</w:t>
      </w:r>
      <w:r>
        <w:t xml:space="preserve"> </w:t>
      </w:r>
      <w:r>
        <w:t xml:space="preserve">(Baumann et al., 2017; Jolly et al., 2015)</w:t>
      </w:r>
      <w:r>
        <w:t xml:space="preserve">. La región del</w:t>
      </w:r>
      <w:r>
        <w:t xml:space="preserve"> </w:t>
      </w:r>
      <w:r>
        <w:rPr>
          <w:b/>
          <w:bCs/>
        </w:rPr>
        <w:t xml:space="preserve">Gran Chaco Americano</w:t>
      </w:r>
      <w:r>
        <w:t xml:space="preserve"> </w:t>
      </w:r>
      <w:r>
        <w:t xml:space="preserve">—el segundo bioma boscoso más extenso del continente tras la Amazonía— experimenta tasas aceleradas de deforestación y cambio de uso de suelo asociadas a la expansión agrícola y ganadera</w:t>
      </w:r>
      <w:r>
        <w:t xml:space="preserve"> </w:t>
      </w:r>
      <w:r>
        <w:t xml:space="preserve">(Vallejos et al., 2015)</w:t>
      </w:r>
      <w:r>
        <w:t xml:space="preserve">. En este contexto, el uso del fuego como herramienta de limpieza de campos, combinado con sequías sinópticas prolongadas y temperaturas que superan rutinariamente los</w:t>
      </w:r>
      <w:r>
        <w:t xml:space="preserve"> </w:t>
      </w:r>
      <m:oMath>
        <m:sSup>
          <m:e>
            <m:r>
              <m:t>42</m:t>
            </m:r>
          </m:e>
          <m:sup>
            <m:r>
              <m:rPr>
                <m:sty m:val="p"/>
              </m:rPr>
              <m:t>∘</m:t>
            </m:r>
          </m:sup>
        </m:sSup>
        <m:r>
          <m:rPr>
            <m:nor/>
            <m:sty m:val="p"/>
          </m:rPr>
          <m:t>C</m:t>
        </m:r>
      </m:oMath>
      <w:r>
        <w:t xml:space="preserve">, genera incendios incontrolados de escala catastrófica, como los eventos récord observados en 2019, 2020 y 2024.</w:t>
      </w:r>
    </w:p>
    <w:p>
      <w:pPr>
        <w:pStyle w:val="BodyText"/>
      </w:pPr>
      <w:r>
        <w:t xml:space="preserve">A nivel internacional, la estimación del peligro de incendios se ha sustentado tradicionalmente en sistemas empíricos semi-mecanicistas formulados hace décadas. Entre ellos, el sistema canadiense</w:t>
      </w:r>
      <w:r>
        <w:t xml:space="preserve"> </w:t>
      </w:r>
      <w:r>
        <w:rPr>
          <w:i/>
          <w:iCs/>
        </w:rPr>
        <w:t xml:space="preserve">Forest Fire Weather Index</w:t>
      </w:r>
      <w:r>
        <w:t xml:space="preserve"> </w:t>
      </w:r>
      <w:r>
        <w:t xml:space="preserve">(FWI)</w:t>
      </w:r>
      <w:r>
        <w:t xml:space="preserve"> </w:t>
      </w:r>
      <w:r>
        <w:t xml:space="preserve">(Stocks et al., 1989; Van Wagner, 1987)</w:t>
      </w:r>
      <w:r>
        <w:t xml:space="preserve"> </w:t>
      </w:r>
      <w:r>
        <w:t xml:space="preserve">constituye el estándar operativo adoptado por el sistema europeo EFFIS (</w:t>
      </w:r>
      <w:r>
        <w:rPr>
          <w:i/>
          <w:iCs/>
        </w:rPr>
        <w:t xml:space="preserve">European Forest Fire Information System</w:t>
      </w:r>
      <w:r>
        <w:t xml:space="preserve">) y por la plataforma global GWIS</w:t>
      </w:r>
      <w:r>
        <w:t xml:space="preserve"> </w:t>
      </w:r>
      <w:r>
        <w:t xml:space="preserve">(San-Miguel-Ayanz et al., 2012)</w:t>
      </w:r>
      <w:r>
        <w:t xml:space="preserve">. De forma paralela, en Sudamérica el</w:t>
      </w:r>
      <w:r>
        <w:t xml:space="preserve"> </w:t>
      </w:r>
      <w:r>
        <w:rPr>
          <w:i/>
          <w:iCs/>
        </w:rPr>
        <w:t xml:space="preserve">Instituto Nacional de Pesquisas Espaciais</w:t>
      </w:r>
      <w:r>
        <w:t xml:space="preserve"> </w:t>
      </w:r>
      <w:r>
        <w:t xml:space="preserve">(INPE) de Brasil desarrolló el índice</w:t>
      </w:r>
      <w:r>
        <w:t xml:space="preserve"> </w:t>
      </w:r>
      <w:r>
        <w:rPr>
          <w:i/>
          <w:iCs/>
        </w:rPr>
        <w:t xml:space="preserve">Risco de Fogo</w:t>
      </w:r>
      <w:r>
        <w:t xml:space="preserve"> </w:t>
      </w:r>
      <w:r>
        <w:t xml:space="preserve">(Setzer et al., 2019)</w:t>
      </w:r>
      <w:r>
        <w:t xml:space="preserve">, ampliamente utilizado por las agencias ambientales de Paraguay (MADES e INFONA). Sin embargo, estos índices canónicos fueron calibrados predominantemente para coníferas boreales templadas o para el Cerrado brasileño, exhibiendo graves deficiencias de calibración cuando se extrapolan al régimen hídrico semiárido del Chaco Seco o a la transición con el Bosque Atlántico húmedo.</w:t>
      </w:r>
    </w:p>
    <w:p>
      <w:pPr>
        <w:pStyle w:val="BodyText"/>
      </w:pPr>
      <w:r>
        <w:t xml:space="preserve">El advenimiento del aprendizaje automático (</w:t>
      </w:r>
      <w:r>
        <w:rPr>
          <w:i/>
          <w:iCs/>
        </w:rPr>
        <w:t xml:space="preserve">Machine Learning</w:t>
      </w:r>
      <w:r>
        <w:t xml:space="preserve">) y la inteligencia artificial geoespacial (</w:t>
      </w:r>
      <w:r>
        <w:rPr>
          <w:i/>
          <w:iCs/>
        </w:rPr>
        <w:t xml:space="preserve">GeoAI</w:t>
      </w:r>
      <w:r>
        <w:t xml:space="preserve">) ha impulsado una proliferación de modelos basados en árboles potenciados por gradiente (GBDT) y redes neuronales profundas para la predicción de fuegos</w:t>
      </w:r>
      <w:r>
        <w:t xml:space="preserve"> </w:t>
      </w:r>
      <w:r>
        <w:t xml:space="preserve">(Chen &amp; Guestrin, 2016; Ke et al., 2017)</w:t>
      </w:r>
      <w:r>
        <w:t xml:space="preserve">. No obstante, una revisión crítica de la literatura revela dos patologías metodológicas persistentes:</w:t>
      </w:r>
    </w:p>
    <w:p>
      <w:pPr>
        <w:pStyle w:val="Compact"/>
        <w:numPr>
          <w:ilvl w:val="0"/>
          <w:numId w:val="1001"/>
        </w:numPr>
      </w:pPr>
      <w:r>
        <w:rPr>
          <w:b/>
          <w:bCs/>
        </w:rPr>
        <w:t xml:space="preserve">La trampa del atajo espacial (</w:t>
      </w:r>
      <w:r>
        <w:rPr>
          <w:b/>
          <w:bCs/>
          <w:i/>
          <w:iCs/>
        </w:rPr>
        <w:t xml:space="preserve">Spatial Shortcut Learning</w:t>
      </w:r>
      <w:r>
        <w:rPr>
          <w:b/>
          <w:bCs/>
        </w:rPr>
        <w:t xml:space="preserve">) y la fuga de datos (</w:t>
      </w:r>
      <w:r>
        <w:rPr>
          <w:b/>
          <w:bCs/>
          <w:i/>
          <w:iCs/>
        </w:rPr>
        <w:t xml:space="preserve">Data Leakage</w:t>
      </w:r>
      <w:r>
        <w:rPr>
          <w:b/>
          <w:bCs/>
        </w:rPr>
        <w:t xml:space="preserve">):</w:t>
      </w:r>
      <w:r>
        <w:br/>
      </w:r>
      <w:r>
        <w:t xml:space="preserve">Cuando un modelo de machine learning incluye variables espaciales autorregresivas contiguas (distancia al fuego del día anterior, densidad local de focos térmicos) sin desacoplar el origen del evento, el algoritmo aprende que</w:t>
      </w:r>
      <w:r>
        <w:t xml:space="preserve"> </w:t>
      </w:r>
      <w:r>
        <w:rPr>
          <w:i/>
          <w:iCs/>
        </w:rPr>
        <w:t xml:space="preserve">“si hay fuego al lado, hoy habrá fuego”</w:t>
      </w:r>
      <w:r>
        <w:t xml:space="preserve">. Aunque esto genera métricas de validación infladas artificialmente (ROC-AUC</w:t>
      </w:r>
      <w:r>
        <w:t xml:space="preserve"> </w:t>
      </w:r>
      <m:oMath>
        <m:r>
          <m:rPr>
            <m:sty m:val="p"/>
          </m:rPr>
          <m:t>&gt;</m:t>
        </m:r>
        <m:r>
          <m:t>0</m:t>
        </m:r>
        <m:r>
          <m:rPr>
            <m:sty m:val="p"/>
          </m:rPr>
          <m:t>,</m:t>
        </m:r>
        <m:r>
          <m:t>95</m:t>
        </m:r>
      </m:oMath>
      <w:r>
        <w:t xml:space="preserve">), el modelo se vuelve completamente ciego ante</w:t>
      </w:r>
      <w:r>
        <w:t xml:space="preserve"> </w:t>
      </w:r>
      <w:r>
        <w:rPr>
          <w:b/>
          <w:bCs/>
        </w:rPr>
        <w:t xml:space="preserve">igniciones primarias espontáneas o antrópicas nuevas</w:t>
      </w:r>
      <w:r>
        <w:t xml:space="preserve"> </w:t>
      </w:r>
      <w:r>
        <w:t xml:space="preserve">en zonas de alto estrés hídrico donde ayer no había fuego</w:t>
      </w:r>
      <w:r>
        <w:t xml:space="preserve"> </w:t>
      </w:r>
      <w:r>
        <w:t xml:space="preserve">(Ploton et al., 2020; Roberts et al., 2017)</w:t>
      </w:r>
      <w:r>
        <w:t xml:space="preserve">.</w:t>
      </w:r>
    </w:p>
    <w:p>
      <w:pPr>
        <w:pStyle w:val="Compact"/>
        <w:numPr>
          <w:ilvl w:val="0"/>
          <w:numId w:val="1001"/>
        </w:numPr>
      </w:pPr>
      <w:r>
        <w:rPr>
          <w:b/>
          <w:bCs/>
        </w:rPr>
        <w:t xml:space="preserve">La ineficiencia computacional para la alerta operativa diaria:</w:t>
      </w:r>
      <w:r>
        <w:br/>
      </w:r>
      <w:r>
        <w:t xml:space="preserve">Muchos modelos académicos dependen de flujos de trabajo fragmentados en software SIG de escritorio o rutinas pesadas de geoprocesamiento espacial, lo que impide su ejecución automatizada y reproducible a escala de país a resolución de 1 km² en cuestión de segundos.</w:t>
      </w:r>
    </w:p>
    <w:p>
      <w:pPr>
        <w:pStyle w:val="FirstParagraph"/>
      </w:pPr>
      <w:r>
        <w:t xml:space="preserve">Para resolver estas limitaciones, este artículo presenta el diseño, formulación matemática y evaluación del sistema computacional</w:t>
      </w:r>
      <w:r>
        <w:t xml:space="preserve"> </w:t>
      </w:r>
      <w:r>
        <w:rPr>
          <w:rStyle w:val="VerbatimChar"/>
        </w:rPr>
        <w:t xml:space="preserve">Incendios_PY</w:t>
      </w:r>
      <w:r>
        <w:t xml:space="preserve">. Las contribuciones fundamentales de este trabajo son:</w:t>
      </w:r>
    </w:p>
    <w:p>
      <w:pPr>
        <w:pStyle w:val="Compact"/>
        <w:numPr>
          <w:ilvl w:val="0"/>
          <w:numId w:val="1002"/>
        </w:numPr>
      </w:pPr>
      <w:r>
        <w:rPr>
          <w:b/>
          <w:bCs/>
        </w:rPr>
        <w:t xml:space="preserve">Arquitectura Dual Desacoplada:</w:t>
      </w:r>
      <w:r>
        <w:t xml:space="preserve"> </w:t>
      </w:r>
      <w:r>
        <w:t xml:space="preserve">Separamos formalmente la tarea predictiva en dos capas ortogonales: un modelo de</w:t>
      </w:r>
      <w:r>
        <w:t xml:space="preserve"> </w:t>
      </w:r>
      <w:r>
        <w:rPr>
          <w:b/>
          <w:bCs/>
        </w:rPr>
        <w:t xml:space="preserve">Ignición Primaria Física</w:t>
      </w:r>
      <w:r>
        <w:t xml:space="preserve"> </w:t>
      </w:r>
      <w:r>
        <w:t xml:space="preserve">(libre de variables históricas de contagio</w:t>
      </w:r>
      <w:r>
        <w:t xml:space="preserve"> </w:t>
      </w:r>
      <m:oMath>
        <m:r>
          <m:t>t</m:t>
        </m:r>
        <m:r>
          <m:rPr>
            <m:sty m:val="p"/>
          </m:rPr>
          <m:t>−</m:t>
        </m:r>
        <m:r>
          <m:t>1</m:t>
        </m:r>
      </m:oMath>
      <w:r>
        <w:t xml:space="preserve">) y un modelo de</w:t>
      </w:r>
      <w:r>
        <w:t xml:space="preserve"> </w:t>
      </w:r>
      <w:r>
        <w:rPr>
          <w:b/>
          <w:bCs/>
        </w:rPr>
        <w:t xml:space="preserve">Propagación Táctica Local</w:t>
      </w:r>
      <w:r>
        <w:t xml:space="preserve"> </w:t>
      </w:r>
      <w:r>
        <w:t xml:space="preserve">(gobernado por dinámica física de avance del frente de llama).</w:t>
      </w:r>
    </w:p>
    <w:p>
      <w:pPr>
        <w:pStyle w:val="Compact"/>
        <w:numPr>
          <w:ilvl w:val="0"/>
          <w:numId w:val="1002"/>
        </w:numPr>
      </w:pPr>
      <w:r>
        <w:rPr>
          <w:b/>
          <w:bCs/>
        </w:rPr>
        <w:t xml:space="preserve">Filtrado Biofísico de Primera Etapa (</w:t>
      </w:r>
      <w:r>
        <w:rPr>
          <w:b/>
          <w:bCs/>
          <w:i/>
          <w:iCs/>
        </w:rPr>
        <w:t xml:space="preserve">Two-Stage Gating</w:t>
      </w:r>
      <w:r>
        <w:rPr>
          <w:b/>
          <w:bCs/>
        </w:rPr>
        <w:t xml:space="preserve">):</w:t>
      </w:r>
      <w:r>
        <w:t xml:space="preserve"> </w:t>
      </w:r>
      <w:r>
        <w:t xml:space="preserve">Implementamos un cribado cinemático previo que excluye celdas sin combustible o con inhibición meteorológica comprobada (</w:t>
      </w:r>
      <m:oMath>
        <m:r>
          <m:t>V</m:t>
        </m:r>
        <m:r>
          <m:t>P</m:t>
        </m:r>
        <m:r>
          <m:t>D</m:t>
        </m:r>
        <m:r>
          <m:rPr>
            <m:sty m:val="p"/>
          </m:rPr>
          <m:t>&lt;</m:t>
        </m:r>
        <m:r>
          <m:t>0</m:t>
        </m:r>
        <m:r>
          <m:rPr>
            <m:sty m:val="p"/>
          </m:rPr>
          <m:t>,</m:t>
        </m:r>
        <m:r>
          <m:t>8</m:t>
        </m:r>
        <m:r>
          <m:rPr>
            <m:nor/>
            <m:sty m:val="p"/>
          </m:rPr>
          <m:t> kPa</m:t>
        </m:r>
      </m:oMath>
      <w:r>
        <w:t xml:space="preserve">, lluvia</w:t>
      </w:r>
      <w:r>
        <w:t xml:space="preserve"> </w:t>
      </w:r>
      <m:oMath>
        <m:r>
          <m:t>48</m:t>
        </m:r>
        <m:r>
          <m:rPr>
            <m:nor/>
            <m:sty m:val="p"/>
          </m:rPr>
          <m:t>h</m:t>
        </m:r>
        <m:r>
          <m:rPr>
            <m:sty m:val="p"/>
          </m:rPr>
          <m:t>≥</m:t>
        </m:r>
        <m:r>
          <m:t>10</m:t>
        </m:r>
        <m:r>
          <m:rPr>
            <m:nor/>
            <m:sty m:val="p"/>
          </m:rPr>
          <m:t> mm</m:t>
        </m:r>
      </m:oMath>
      <w:r>
        <w:t xml:space="preserve">), reduciendo la dimensionalidad computacional sin pérdida de verdaderos positivos.</w:t>
      </w:r>
    </w:p>
    <w:p>
      <w:pPr>
        <w:pStyle w:val="Compact"/>
        <w:numPr>
          <w:ilvl w:val="0"/>
          <w:numId w:val="1002"/>
        </w:numPr>
      </w:pPr>
      <w:r>
        <w:rPr>
          <w:b/>
          <w:bCs/>
        </w:rPr>
        <w:t xml:space="preserve">Rigor de Validación Espaciotemporal Anti-Leakage:</w:t>
      </w:r>
      <w:r>
        <w:t xml:space="preserve"> </w:t>
      </w:r>
      <w:r>
        <w:t xml:space="preserve">Evaluamos el marco bajo partición temporal</w:t>
      </w:r>
      <w:r>
        <w:t xml:space="preserve"> </w:t>
      </w:r>
      <w:r>
        <w:rPr>
          <w:i/>
          <w:iCs/>
        </w:rPr>
        <w:t xml:space="preserve">out-of-time</w:t>
      </w:r>
      <w:r>
        <w:t xml:space="preserve"> </w:t>
      </w:r>
      <w:r>
        <w:t xml:space="preserve">decenal (2015–2025) y una zona muerta de amortiguamiento (</w:t>
      </w:r>
      <w:r>
        <w:rPr>
          <w:i/>
          <w:iCs/>
        </w:rPr>
        <w:t xml:space="preserve">dead-zone buffer</w:t>
      </w:r>
      <w:r>
        <w:t xml:space="preserve">) de 20 km entre presencias y ausencias.</w:t>
      </w:r>
    </w:p>
    <w:p>
      <w:pPr>
        <w:pStyle w:val="Compact"/>
        <w:numPr>
          <w:ilvl w:val="0"/>
          <w:numId w:val="1002"/>
        </w:numPr>
      </w:pPr>
      <w:r>
        <w:rPr>
          <w:b/>
          <w:bCs/>
        </w:rPr>
        <w:t xml:space="preserve">Benchmarking Comparativo Directo:</w:t>
      </w:r>
      <w:r>
        <w:t xml:space="preserve"> </w:t>
      </w:r>
      <w:r>
        <w:t xml:space="preserve">Demostramos empíricamente la superioridad de la arquitectura frente al Canadian FWI y al INPE Risco de Fogo en el mismo conjunto de prueba ciego.</w:t>
      </w:r>
    </w:p>
    <w:p>
      <w:pPr>
        <w:pStyle w:val="Compact"/>
        <w:numPr>
          <w:ilvl w:val="0"/>
          <w:numId w:val="1002"/>
        </w:numPr>
      </w:pPr>
      <w:r>
        <w:rPr>
          <w:b/>
          <w:bCs/>
        </w:rPr>
        <w:t xml:space="preserve">Pipeline Abierto y Reproducible en Tiempo Subsegundo:</w:t>
      </w:r>
      <w:r>
        <w:t xml:space="preserve"> </w:t>
      </w:r>
      <w:r>
        <w:t xml:space="preserve">Construimos una canalización analítica</w:t>
      </w:r>
      <w:r>
        <w:t xml:space="preserve"> </w:t>
      </w:r>
      <w:r>
        <w:rPr>
          <w:i/>
          <w:iCs/>
        </w:rPr>
        <w:t xml:space="preserve">zero-copy</w:t>
      </w:r>
      <w:r>
        <w:t xml:space="preserve"> </w:t>
      </w:r>
      <w:r>
        <w:t xml:space="preserve">en DuckDB y Polars capaz de evaluar 400.006 celdas soberanas en 0,75 segundos en procesadores estándar.</w:t>
      </w:r>
    </w:p>
    <w:p>
      <w:r>
        <w:pict>
          <v:rect style="width:0;height:1.5pt" o:hralign="center" o:hrstd="t" o:hr="t"/>
        </w:pict>
      </w:r>
    </w:p>
    <w:bookmarkEnd w:id="11"/>
    <w:bookmarkStart w:id="30" w:name="marco-teórico-y-formulación-matemática"/>
    <w:p>
      <w:pPr>
        <w:pStyle w:val="Heading1"/>
      </w:pPr>
      <w:r>
        <w:t xml:space="preserve">2. 2. Marco Teórico y Formulación Matemática</w:t>
      </w:r>
    </w:p>
    <w:bookmarkStart w:id="15" w:name="Xb18105e2246bb8db995ae94d9082ef18bbaa549"/>
    <w:p>
      <w:pPr>
        <w:pStyle w:val="Heading2"/>
      </w:pPr>
      <w:r>
        <w:t xml:space="preserve">2.1 2.1 Física de la Desecación del Combustible Fino</w:t>
      </w:r>
    </w:p>
    <w:p>
      <w:pPr>
        <w:pStyle w:val="FirstParagraph"/>
      </w:pPr>
      <w:r>
        <w:t xml:space="preserve">La probabilidad de que una chispa o brasa dé origen a un incendio activo con calor radiativo mensurable (</w:t>
      </w:r>
      <m:oMath>
        <m:r>
          <m:t>F</m:t>
        </m:r>
        <m:r>
          <m:t>R</m:t>
        </m:r>
        <m:r>
          <m:t>P</m:t>
        </m:r>
        <m:r>
          <m:rPr>
            <m:sty m:val="p"/>
          </m:rPr>
          <m:t>&gt;</m:t>
        </m:r>
        <m:r>
          <m:t>0</m:t>
        </m:r>
      </m:oMath>
      <w:r>
        <w:t xml:space="preserve">) está gobernada termodinámicamente por la humedad del combustible fino muerto (</w:t>
      </w:r>
      <w:r>
        <w:rPr>
          <w:i/>
          <w:iCs/>
        </w:rPr>
        <w:t xml:space="preserve">Fine Fuel Moisture Code</w:t>
      </w:r>
      <w:r>
        <w:t xml:space="preserve">, FFMC). El balance de humedad entre el combustible vegetal y la atmósfera circundante depende críticamente del déficit de presión de vapor (</w:t>
      </w:r>
      <m:oMath>
        <m:r>
          <m:t>V</m:t>
        </m:r>
        <m:r>
          <m:t>P</m:t>
        </m:r>
        <m:r>
          <m:t>D</m:t>
        </m:r>
      </m:oMath>
      <w:r>
        <w:t xml:space="preserve">), definido como la diferencia entre la presión de vapor de saturación (</w:t>
      </w:r>
      <m:oMath>
        <m:sSub>
          <m:e>
            <m:r>
              <m:t>e</m:t>
            </m:r>
          </m:e>
          <m:sub>
            <m:r>
              <m:t>s</m:t>
            </m:r>
          </m:sub>
        </m:sSub>
      </m:oMath>
      <w:r>
        <w:t xml:space="preserve">) y la presión de vapor real (</w:t>
      </w:r>
      <m:oMath>
        <m:sSub>
          <m:e>
            <m:r>
              <m:t>e</m:t>
            </m:r>
          </m:e>
          <m:sub>
            <m:r>
              <m:t>a</m:t>
            </m:r>
          </m:sub>
        </m:sSub>
      </m:oMath>
      <w:r>
        <w:t xml:space="preserve">):</w:t>
      </w:r>
    </w:p>
    <w:p>
      <w:pPr>
        <w:pStyle w:val="BodyText"/>
      </w:pPr>
      <w:bookmarkStart w:id="12" w:name="eq-es"/>
      <m:oMathPara>
        <m:oMathParaPr>
          <m:jc m:val="center"/>
        </m:oMathParaPr>
        <m:oMath>
          <m:sSub>
            <m:e>
              <m:r>
                <m:t>e</m:t>
              </m:r>
            </m:e>
            <m:sub>
              <m:r>
                <m:t>s</m:t>
              </m:r>
            </m:sub>
          </m:sSub>
          <m:r>
            <m:rPr>
              <m:sty m:val="p"/>
            </m:rPr>
            <m:t>(</m:t>
          </m:r>
          <m:r>
            <m:t>T</m:t>
          </m:r>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r>
                    <m:t>T</m:t>
                  </m:r>
                </m:num>
                <m:den>
                  <m:r>
                    <m:t>T</m:t>
                  </m:r>
                  <m:r>
                    <m:rPr>
                      <m:sty m:val="p"/>
                    </m:rPr>
                    <m:t>+</m:t>
                  </m:r>
                  <m:r>
                    <m:t>237</m:t>
                  </m:r>
                  <m:r>
                    <m:rPr>
                      <m:sty m:val="p"/>
                    </m:rPr>
                    <m:t>,</m:t>
                  </m:r>
                  <m:r>
                    <m:t>3</m:t>
                  </m:r>
                </m:den>
              </m:f>
            </m:e>
          </m:d>
          <m:r>
            <m:t> </m:t>
          </m:r>
          <m:r>
            <m:rPr>
              <m:sty m:val="p"/>
            </m:rPr>
            <m:t>[</m:t>
          </m:r>
          <m:r>
            <m:rPr>
              <m:nor/>
              <m:sty m:val="p"/>
            </m:rPr>
            <m:t>kPa</m:t>
          </m:r>
          <m:r>
            <m:rPr>
              <m:sty m:val="p"/>
            </m:rPr>
            <m:t>]</m:t>
          </m:r>
          <m:r>
            <m:t>  </m:t>
          </m:r>
          <m:r>
            <m:rPr>
              <m:sty m:val="p"/>
            </m:rPr>
            <m:t>(</m:t>
          </m:r>
          <m:r>
            <m:t>1</m:t>
          </m:r>
          <m:r>
            <m:rPr>
              <m:sty m:val="p"/>
            </m:rPr>
            <m:t>)</m:t>
          </m:r>
        </m:oMath>
      </m:oMathPara>
      <w:bookmarkEnd w:id="12"/>
    </w:p>
    <w:p>
      <w:pPr>
        <w:pStyle w:val="FirstParagraph"/>
      </w:pPr>
      <w:bookmarkStart w:id="13" w:name="eq-ea"/>
      <m:oMathPara>
        <m:oMathParaPr>
          <m:jc m:val="center"/>
        </m:oMathParaPr>
        <m:oMath>
          <m:sSub>
            <m:e>
              <m:r>
                <m:t>e</m:t>
              </m:r>
            </m:e>
            <m:sub>
              <m:r>
                <m:t>a</m:t>
              </m:r>
            </m:sub>
          </m:sSub>
          <m:r>
            <m:rPr>
              <m:sty m:val="p"/>
            </m:rPr>
            <m:t>(</m:t>
          </m:r>
          <m:sSub>
            <m:e>
              <m:r>
                <m:t>T</m:t>
              </m:r>
            </m:e>
            <m:sub>
              <m:r>
                <m:rPr>
                  <m:nor/>
                  <m:sty m:val="p"/>
                </m:rPr>
                <m:t>dew</m:t>
              </m:r>
            </m:sub>
          </m:sSub>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sSub>
                    <m:e>
                      <m:r>
                        <m:t>T</m:t>
                      </m:r>
                    </m:e>
                    <m:sub>
                      <m:r>
                        <m:rPr>
                          <m:nor/>
                          <m:sty m:val="p"/>
                        </m:rPr>
                        <m:t>dew</m:t>
                      </m:r>
                    </m:sub>
                  </m:sSub>
                </m:num>
                <m:den>
                  <m:sSub>
                    <m:e>
                      <m:r>
                        <m:t>T</m:t>
                      </m:r>
                    </m:e>
                    <m:sub>
                      <m:r>
                        <m:rPr>
                          <m:nor/>
                          <m:sty m:val="p"/>
                        </m:rPr>
                        <m:t>dew</m:t>
                      </m:r>
                    </m:sub>
                  </m:sSub>
                  <m:r>
                    <m:rPr>
                      <m:sty m:val="p"/>
                    </m:rPr>
                    <m:t>+</m:t>
                  </m:r>
                  <m:r>
                    <m:t>237</m:t>
                  </m:r>
                  <m:r>
                    <m:rPr>
                      <m:sty m:val="p"/>
                    </m:rPr>
                    <m:t>,</m:t>
                  </m:r>
                  <m:r>
                    <m:t>3</m:t>
                  </m:r>
                </m:den>
              </m:f>
            </m:e>
          </m:d>
          <m:r>
            <m:t> </m:t>
          </m:r>
          <m:r>
            <m:rPr>
              <m:sty m:val="p"/>
            </m:rPr>
            <m:t>[</m:t>
          </m:r>
          <m:r>
            <m:rPr>
              <m:nor/>
              <m:sty m:val="p"/>
            </m:rPr>
            <m:t>kPa</m:t>
          </m:r>
          <m:r>
            <m:rPr>
              <m:sty m:val="p"/>
            </m:rPr>
            <m:t>]</m:t>
          </m:r>
          <m:r>
            <m:t>  </m:t>
          </m:r>
          <m:r>
            <m:rPr>
              <m:sty m:val="p"/>
            </m:rPr>
            <m:t>(</m:t>
          </m:r>
          <m:r>
            <m:t>2</m:t>
          </m:r>
          <m:r>
            <m:rPr>
              <m:sty m:val="p"/>
            </m:rPr>
            <m:t>)</m:t>
          </m:r>
        </m:oMath>
      </m:oMathPara>
      <w:bookmarkEnd w:id="13"/>
    </w:p>
    <w:p>
      <w:pPr>
        <w:pStyle w:val="FirstParagraph"/>
      </w:pPr>
      <w:bookmarkStart w:id="14" w:name="eq-vpd"/>
      <m:oMathPara>
        <m:oMathParaPr>
          <m:jc m:val="center"/>
        </m:oMathParaPr>
        <m:oMath>
          <m:r>
            <m:t>V</m:t>
          </m:r>
          <m:r>
            <m:t>P</m:t>
          </m:r>
          <m:r>
            <m:t>D</m:t>
          </m:r>
          <m:r>
            <m:rPr>
              <m:sty m:val="p"/>
            </m:rPr>
            <m:t>=</m:t>
          </m:r>
          <m:sSub>
            <m:e>
              <m:r>
                <m:t>e</m:t>
              </m:r>
            </m:e>
            <m:sub>
              <m:r>
                <m:t>s</m:t>
              </m:r>
            </m:sub>
          </m:sSub>
          <m:r>
            <m:rPr>
              <m:sty m:val="p"/>
            </m:rPr>
            <m:t>(</m:t>
          </m:r>
          <m:r>
            <m:t>T</m:t>
          </m:r>
          <m:r>
            <m:rPr>
              <m:sty m:val="p"/>
            </m:rPr>
            <m:t>)</m:t>
          </m:r>
          <m:r>
            <m:rPr>
              <m:sty m:val="p"/>
            </m:rPr>
            <m:t>−</m:t>
          </m:r>
          <m:sSub>
            <m:e>
              <m:r>
                <m:t>e</m:t>
              </m:r>
            </m:e>
            <m:sub>
              <m:r>
                <m:t>a</m:t>
              </m:r>
            </m:sub>
          </m:sSub>
          <m:r>
            <m:rPr>
              <m:sty m:val="p"/>
            </m:rPr>
            <m:t>(</m:t>
          </m:r>
          <m:sSub>
            <m:e>
              <m:r>
                <m:t>T</m:t>
              </m:r>
            </m:e>
            <m:sub>
              <m:r>
                <m:rPr>
                  <m:nor/>
                  <m:sty m:val="p"/>
                </m:rPr>
                <m:t>dew</m:t>
              </m:r>
            </m:sub>
          </m:sSub>
          <m:r>
            <m:rPr>
              <m:sty m:val="p"/>
            </m:rPr>
            <m:t>)</m:t>
          </m:r>
          <m:r>
            <m:t> </m:t>
          </m:r>
          <m:r>
            <m:rPr>
              <m:sty m:val="p"/>
            </m:rPr>
            <m:t>[</m:t>
          </m:r>
          <m:r>
            <m:rPr>
              <m:nor/>
              <m:sty m:val="p"/>
            </m:rPr>
            <m:t>kPa</m:t>
          </m:r>
          <m:r>
            <m:rPr>
              <m:sty m:val="p"/>
            </m:rPr>
            <m:t>]</m:t>
          </m:r>
          <m:r>
            <m:t>  </m:t>
          </m:r>
          <m:r>
            <m:rPr>
              <m:sty m:val="p"/>
            </m:rPr>
            <m:t>(</m:t>
          </m:r>
          <m:r>
            <m:t>3</m:t>
          </m:r>
          <m:r>
            <m:rPr>
              <m:sty m:val="p"/>
            </m:rPr>
            <m:t>)</m:t>
          </m:r>
        </m:oMath>
      </m:oMathPara>
      <w:bookmarkEnd w:id="14"/>
    </w:p>
    <w:p>
      <w:pPr>
        <w:pStyle w:val="FirstParagraph"/>
      </w:pPr>
      <w:r>
        <w:t xml:space="preserve">donde</w:t>
      </w:r>
      <w:r>
        <w:t xml:space="preserve"> </w:t>
      </w:r>
      <m:oMath>
        <m:r>
          <m:t>T</m:t>
        </m:r>
      </m:oMath>
      <w:r>
        <w:t xml:space="preserve"> </w:t>
      </w:r>
      <w:r>
        <w:t xml:space="preserve">es la temperatura del aire a 2 metros y</w:t>
      </w:r>
      <w:r>
        <w:t xml:space="preserve"> </w:t>
      </w:r>
      <m:oMath>
        <m:sSub>
          <m:e>
            <m:r>
              <m:t>T</m:t>
            </m:r>
          </m:e>
          <m:sub>
            <m:r>
              <m:rPr>
                <m:nor/>
                <m:sty m:val="p"/>
              </m:rPr>
              <m:t>dew</m:t>
            </m:r>
          </m:sub>
        </m:sSub>
      </m:oMath>
      <w:r>
        <w:t xml:space="preserve"> </w:t>
      </w:r>
      <w:r>
        <w:t xml:space="preserve">es la temperatura del punto de rocío obtenida del reanálisis ERA5-Land</w:t>
      </w:r>
      <w:r>
        <w:t xml:space="preserve"> </w:t>
      </w:r>
      <w:r>
        <w:t xml:space="preserve">(Muñoz-Sabater et al., 2021)</w:t>
      </w:r>
      <w:r>
        <w:t xml:space="preserve">. Cuando</w:t>
      </w:r>
      <w:r>
        <w:t xml:space="preserve"> </w:t>
      </w:r>
      <m:oMath>
        <m:r>
          <m:t>V</m:t>
        </m:r>
        <m:r>
          <m:t>P</m:t>
        </m:r>
        <m:r>
          <m:t>D</m:t>
        </m:r>
        <m:r>
          <m:rPr>
            <m:sty m:val="p"/>
          </m:rPr>
          <m:t>&gt;</m:t>
        </m:r>
        <m:r>
          <m:t>2</m:t>
        </m:r>
        <m:r>
          <m:rPr>
            <m:sty m:val="p"/>
          </m:rPr>
          <m:t>,</m:t>
        </m:r>
        <m:r>
          <m:t>5</m:t>
        </m:r>
        <m:r>
          <m:rPr>
            <m:nor/>
            <m:sty m:val="p"/>
          </m:rPr>
          <m:t> kPa</m:t>
        </m:r>
      </m:oMath>
      <w:r>
        <w:t xml:space="preserve">, la atmósfera ejerce una succión osmótica sobre el material vegetal fino, reduciendo su contenido de humedad foliar por debajo del umbral de extinción biológica (</w:t>
      </w:r>
      <m:oMath>
        <m:r>
          <m:rPr>
            <m:sty m:val="p"/>
          </m:rPr>
          <m:t>∼</m:t>
        </m:r>
        <m:r>
          <m:t>12</m:t>
        </m:r>
        <m:r>
          <m:rPr>
            <m:nor/>
            <m:sty m:val="p"/>
          </m:rPr>
          <m:t> %</m:t>
        </m:r>
      </m:oMath>
      <w:r>
        <w:t xml:space="preserve">).</w:t>
      </w:r>
    </w:p>
    <w:bookmarkEnd w:id="15"/>
    <w:bookmarkStart w:id="17" w:name="Xeb0cfc40f35119651a5c021e00abb08dbbe6ae0"/>
    <w:p>
      <w:pPr>
        <w:pStyle w:val="Heading2"/>
      </w:pPr>
      <w:r>
        <w:t xml:space="preserve">2.2 2.2 Cribado Biofísico de Primera Etapa (</w:t>
      </w:r>
      <w:r>
        <w:rPr>
          <w:i/>
          <w:iCs/>
        </w:rPr>
        <w:t xml:space="preserve">Two-Stage Bio-physical Gating</w:t>
      </w:r>
      <w:r>
        <w:t xml:space="preserve">)</w:t>
      </w:r>
    </w:p>
    <w:p>
      <w:pPr>
        <w:pStyle w:val="FirstParagraph"/>
      </w:pPr>
      <w:r>
        <w:t xml:space="preserve">Sea</w:t>
      </w:r>
      <w:r>
        <w:t xml:space="preserve"> </w:t>
      </w:r>
      <m:oMath>
        <m:r>
          <m:rPr>
            <m:scr m:val="script"/>
            <m:sty m:val="p"/>
          </m:rPr>
          <m:t>S</m:t>
        </m:r>
        <m:r>
          <m:rPr>
            <m:sty m:val="p"/>
          </m:rPr>
          <m:t>=</m:t>
        </m:r>
        <m:r>
          <m:rPr>
            <m:sty m:val="p"/>
          </m:rPr>
          <m:t>{</m:t>
        </m:r>
        <m:sSub>
          <m:e>
            <m:r>
              <m:t>s</m:t>
            </m:r>
          </m:e>
          <m:sub>
            <m:r>
              <m:t>i</m:t>
            </m:r>
          </m:sub>
        </m:sSub>
        <m:sSubSup>
          <m:e>
            <m:r>
              <m:rPr>
                <m:sty m:val="p"/>
              </m:rPr>
              <m:t>}</m:t>
            </m:r>
          </m:e>
          <m:sub>
            <m:r>
              <m:t>i</m:t>
            </m:r>
            <m:r>
              <m:rPr>
                <m:sty m:val="p"/>
              </m:rPr>
              <m:t>=</m:t>
            </m:r>
            <m:r>
              <m:t>1</m:t>
            </m:r>
          </m:sub>
          <m:sup>
            <m:r>
              <m:t>N</m:t>
            </m:r>
          </m:sup>
        </m:sSubSup>
      </m:oMath>
      <w:r>
        <w:t xml:space="preserve"> </w:t>
      </w:r>
      <w:r>
        <w:t xml:space="preserve">el conjunto de</w:t>
      </w:r>
      <w:r>
        <w:t xml:space="preserve"> </w:t>
      </w:r>
      <m:oMath>
        <m:r>
          <m:t>N</m:t>
        </m:r>
        <m:r>
          <m:rPr>
            <m:sty m:val="p"/>
          </m:rPr>
          <m:t>=</m:t>
        </m:r>
        <m:r>
          <m:t>400.006</m:t>
        </m:r>
      </m:oMath>
      <w:r>
        <w:t xml:space="preserve"> </w:t>
      </w:r>
      <w:r>
        <w:t xml:space="preserve">celdas discretas de</w:t>
      </w:r>
      <w:r>
        <w:t xml:space="preserve"> </w:t>
      </w:r>
      <m:oMath>
        <m:r>
          <m:t>1</m:t>
        </m:r>
        <m:sSup>
          <m:e>
            <m:r>
              <m:rPr>
                <m:nor/>
                <m:sty m:val="p"/>
              </m:rPr>
              <m:t> km</m:t>
            </m:r>
          </m:e>
          <m:sup>
            <m:r>
              <m:t>2</m:t>
            </m:r>
          </m:sup>
        </m:sSup>
      </m:oMath>
      <w:r>
        <w:t xml:space="preserve"> </w:t>
      </w:r>
      <w:r>
        <w:t xml:space="preserve">que cubren el territorio paraguayo, y sea</w:t>
      </w:r>
      <w:r>
        <w:t xml:space="preserve"> </w:t>
      </w:r>
      <m:oMath>
        <m:r>
          <m:t>t</m:t>
        </m:r>
      </m:oMath>
      <w:r>
        <w:t xml:space="preserve"> </w:t>
      </w:r>
      <w:r>
        <w:t xml:space="preserve">un día civil. En lugar de evaluar un modelo probabilístico complejo sobre la totalidad del espacio cartesiano</w:t>
      </w:r>
      <w:r>
        <w:t xml:space="preserve"> </w:t>
      </w:r>
      <m:oMath>
        <m:r>
          <m:rPr>
            <m:scr m:val="script"/>
            <m:sty m:val="p"/>
          </m:rPr>
          <m:t>S</m:t>
        </m:r>
        <m:r>
          <m:rPr>
            <m:sty m:val="p"/>
          </m:rPr>
          <m:t>×</m:t>
        </m:r>
        <m:r>
          <m:rPr>
            <m:sty m:val="p"/>
          </m:rPr>
          <m:t>{</m:t>
        </m:r>
        <m:r>
          <m:t>t</m:t>
        </m:r>
        <m:r>
          <m:rPr>
            <m:sty m:val="p"/>
          </m:rPr>
          <m:t>}</m:t>
        </m:r>
      </m:oMath>
      <w:r>
        <w:t xml:space="preserve"> </w:t>
      </w:r>
      <w:r>
        <w:t xml:space="preserve">(</w:t>
      </w:r>
      <m:oMath>
        <m:r>
          <m:t>1.460</m:t>
        </m:r>
      </m:oMath>
      <w:r>
        <w:t xml:space="preserve"> </w:t>
      </w:r>
      <w:r>
        <w:t xml:space="preserve">millones de combinaciones en 10 años), definimos una función indicadora binaria de viabilidad biofísica</w:t>
      </w:r>
      <w:r>
        <w:t xml:space="preserve"> </w:t>
      </w:r>
      <m:oMath>
        <m:r>
          <m:rPr>
            <m:sty m:val="p"/>
          </m:rPr>
          <m:t>Γ</m:t>
        </m:r>
        <m:r>
          <m:rPr>
            <m:sty m:val="p"/>
          </m:rPr>
          <m:t>(</m:t>
        </m:r>
        <m:sSub>
          <m:e>
            <m:r>
              <m:t>s</m:t>
            </m:r>
          </m:e>
          <m:sub>
            <m:r>
              <m:t>i</m:t>
            </m:r>
          </m:sub>
        </m:sSub>
        <m:r>
          <m:rPr>
            <m:sty m:val="p"/>
          </m:rPr>
          <m:t>,</m:t>
        </m:r>
        <m:r>
          <m:t>t</m:t>
        </m:r>
        <m:r>
          <m:rPr>
            <m:sty m:val="p"/>
          </m:rPr>
          <m:t>)</m:t>
        </m:r>
        <m:r>
          <m:rPr>
            <m:sty m:val="p"/>
          </m:rPr>
          <m:t>∈</m:t>
        </m:r>
        <m:r>
          <m:rPr>
            <m:sty m:val="p"/>
          </m:rPr>
          <m:t>{</m:t>
        </m:r>
        <m:r>
          <m:t>0</m:t>
        </m:r>
        <m:r>
          <m:rPr>
            <m:sty m:val="p"/>
          </m:rPr>
          <m:t>,</m:t>
        </m:r>
        <m:r>
          <m:t>1</m:t>
        </m:r>
        <m:r>
          <m:rPr>
            <m:sty m:val="p"/>
          </m:rPr>
          <m:t>}</m:t>
        </m:r>
      </m:oMath>
      <w:r>
        <w:t xml:space="preserve">:</w:t>
      </w:r>
    </w:p>
    <w:p>
      <w:pPr>
        <w:pStyle w:val="BodyText"/>
      </w:pPr>
      <w:bookmarkStart w:id="16" w:name="eq-gating"/>
      <m:oMathPara>
        <m:oMathParaPr>
          <m:jc m:val="center"/>
        </m:oMathParaPr>
        <m:oMath>
          <m:r>
            <m:rPr>
              <m:sty m:val="p"/>
            </m:rPr>
            <m:t>Γ</m:t>
          </m:r>
          <m:r>
            <m:rPr>
              <m:sty m:val="p"/>
            </m:rPr>
            <m:t>(</m:t>
          </m:r>
          <m:sSub>
            <m:e>
              <m:r>
                <m:t>s</m:t>
              </m:r>
            </m:e>
            <m:sub>
              <m:r>
                <m:t>i</m:t>
              </m:r>
            </m:sub>
          </m:sSub>
          <m:r>
            <m:rPr>
              <m:sty m:val="p"/>
            </m:rPr>
            <m:t>,</m:t>
          </m:r>
          <m:r>
            <m:t>t</m:t>
          </m:r>
          <m:r>
            <m:rPr>
              <m:sty m:val="p"/>
            </m:rPr>
            <m:t>)</m:t>
          </m:r>
          <m:r>
            <m:rPr>
              <m:sty m:val="p"/>
            </m:rPr>
            <m:t>=</m:t>
          </m:r>
          <m:r>
            <m:rPr>
              <m:scr m:val="double-struck"/>
              <m:sty m:val="p"/>
            </m:rPr>
            <m:t>I</m:t>
          </m:r>
          <m:d>
            <m:dPr>
              <m:begChr m:val="("/>
              <m:sepChr m:val=""/>
              <m:endChr m:val=")"/>
              <m:grow/>
            </m:dPr>
            <m:e>
              <m:r>
                <m:rPr>
                  <m:nor/>
                  <m:sty m:val="p"/>
                </m:rPr>
                <m:t>Combustible</m:t>
              </m:r>
              <m:r>
                <m:rPr>
                  <m:sty m:val="p"/>
                </m:rPr>
                <m:t>(</m:t>
              </m:r>
              <m:sSub>
                <m:e>
                  <m:r>
                    <m:t>s</m:t>
                  </m:r>
                </m:e>
                <m:sub>
                  <m:r>
                    <m:t>i</m:t>
                  </m:r>
                </m:sub>
              </m:sSub>
              <m:r>
                <m:rPr>
                  <m:sty m:val="p"/>
                </m:rPr>
                <m:t>)</m:t>
              </m:r>
              <m:r>
                <m:rPr>
                  <m:sty m:val="p"/>
                </m:rPr>
                <m:t>=</m:t>
              </m:r>
              <m:r>
                <m:t>1</m:t>
              </m:r>
            </m:e>
          </m:d>
          <m:r>
            <m:rPr>
              <m:sty m:val="p"/>
            </m:rPr>
            <m:t>⋅</m:t>
          </m:r>
          <m:r>
            <m:rPr>
              <m:scr m:val="double-struck"/>
              <m:sty m:val="p"/>
            </m:rPr>
            <m:t>I</m:t>
          </m:r>
          <m:d>
            <m:dPr>
              <m:begChr m:val="("/>
              <m:sepChr m:val=""/>
              <m:endChr m:val=")"/>
              <m:grow/>
            </m:dPr>
            <m:e>
              <m:r>
                <m:t>V</m:t>
              </m:r>
              <m:r>
                <m:t>P</m:t>
              </m:r>
              <m:r>
                <m:t>D</m:t>
              </m:r>
              <m:r>
                <m:rPr>
                  <m:sty m:val="p"/>
                </m:rPr>
                <m:t>(</m:t>
              </m:r>
              <m:sSub>
                <m:e>
                  <m:r>
                    <m:t>s</m:t>
                  </m:r>
                </m:e>
                <m:sub>
                  <m:r>
                    <m:t>i</m:t>
                  </m:r>
                </m:sub>
              </m:sSub>
              <m:r>
                <m:rPr>
                  <m:sty m:val="p"/>
                </m:rPr>
                <m:t>,</m:t>
              </m:r>
              <m:r>
                <m:t>t</m:t>
              </m:r>
              <m:r>
                <m:rPr>
                  <m:sty m:val="p"/>
                </m:rPr>
                <m:t>)</m:t>
              </m:r>
              <m:r>
                <m:rPr>
                  <m:sty m:val="p"/>
                </m:rPr>
                <m:t>≥</m:t>
              </m:r>
              <m:r>
                <m:t>0</m:t>
              </m:r>
              <m:r>
                <m:rPr>
                  <m:sty m:val="p"/>
                </m:rPr>
                <m:t>,</m:t>
              </m:r>
              <m:r>
                <m:t>8</m:t>
              </m:r>
              <m:r>
                <m:rPr>
                  <m:nor/>
                  <m:sty m:val="p"/>
                </m:rPr>
                <m:t> kPa</m:t>
              </m:r>
            </m:e>
          </m:d>
          <m:r>
            <m:rPr>
              <m:sty m:val="p"/>
            </m:rPr>
            <m:t>⋅</m:t>
          </m:r>
          <m:r>
            <m:rPr>
              <m:scr m:val="double-struck"/>
              <m:sty m:val="p"/>
            </m:rPr>
            <m:t>I</m:t>
          </m:r>
          <m:d>
            <m:dPr>
              <m:begChr m:val="("/>
              <m:sepChr m:val=""/>
              <m:endChr m:val=")"/>
              <m:grow/>
            </m:dPr>
            <m:e>
              <m:sSub>
                <m:e>
                  <m:r>
                    <m:t>P</m:t>
                  </m:r>
                </m:e>
                <m:sub>
                  <m:r>
                    <m:t>48</m:t>
                  </m:r>
                  <m:r>
                    <m:t>h</m:t>
                  </m:r>
                </m:sub>
              </m:sSub>
              <m:r>
                <m:rPr>
                  <m:sty m:val="p"/>
                </m:rPr>
                <m:t>(</m:t>
              </m:r>
              <m:sSub>
                <m:e>
                  <m:r>
                    <m:t>s</m:t>
                  </m:r>
                </m:e>
                <m:sub>
                  <m:r>
                    <m:t>i</m:t>
                  </m:r>
                </m:sub>
              </m:sSub>
              <m:r>
                <m:rPr>
                  <m:sty m:val="p"/>
                </m:rPr>
                <m:t>,</m:t>
              </m:r>
              <m:r>
                <m:t>t</m:t>
              </m:r>
              <m:r>
                <m:rPr>
                  <m:sty m:val="p"/>
                </m:rPr>
                <m:t>)</m:t>
              </m:r>
              <m:r>
                <m:rPr>
                  <m:sty m:val="p"/>
                </m:rPr>
                <m:t>&lt;</m:t>
              </m:r>
              <m:r>
                <m:t>10</m:t>
              </m:r>
              <m:r>
                <m:rPr>
                  <m:sty m:val="p"/>
                </m:rPr>
                <m:t>,</m:t>
              </m:r>
              <m:r>
                <m:t>0</m:t>
              </m:r>
              <m:r>
                <m:rPr>
                  <m:nor/>
                  <m:sty m:val="p"/>
                </m:rPr>
                <m:t> mm</m:t>
              </m:r>
            </m:e>
          </m:d>
          <m:r>
            <m:t>  </m:t>
          </m:r>
          <m:r>
            <m:rPr>
              <m:sty m:val="p"/>
            </m:rPr>
            <m:t>(</m:t>
          </m:r>
          <m:r>
            <m:t>4</m:t>
          </m:r>
          <m:r>
            <m:rPr>
              <m:sty m:val="p"/>
            </m:rPr>
            <m:t>)</m:t>
          </m:r>
        </m:oMath>
      </m:oMathPara>
      <w:bookmarkEnd w:id="16"/>
    </w:p>
    <w:p>
      <w:pPr>
        <w:pStyle w:val="FirstParagraph"/>
      </w:pPr>
      <w:r>
        <w:t xml:space="preserve">donde</w:t>
      </w:r>
      <w:r>
        <w:t xml:space="preserve"> </w:t>
      </w:r>
      <m:oMath>
        <m:r>
          <m:rPr>
            <m:nor/>
            <m:sty m:val="p"/>
          </m:rPr>
          <m:t>Combustible</m:t>
        </m:r>
        <m:r>
          <m:rPr>
            <m:sty m:val="p"/>
          </m:rPr>
          <m:t>(</m:t>
        </m:r>
        <m:sSub>
          <m:e>
            <m:r>
              <m:t>s</m:t>
            </m:r>
          </m:e>
          <m:sub>
            <m:r>
              <m:t>i</m:t>
            </m:r>
          </m:sub>
        </m:sSub>
        <m:r>
          <m:rPr>
            <m:sty m:val="p"/>
          </m:rPr>
          <m:t>)</m:t>
        </m:r>
        <m:r>
          <m:rPr>
            <m:sty m:val="p"/>
          </m:rPr>
          <m:t>=</m:t>
        </m:r>
        <m:r>
          <m:t>0</m:t>
        </m:r>
      </m:oMath>
      <w:r>
        <w:t xml:space="preserve"> </w:t>
      </w:r>
      <w:r>
        <w:t xml:space="preserve">para cuerpos de agua, humedales permanentes y zonas urbanas impermeabilizadas según MapBiomas, y</w:t>
      </w:r>
      <w:r>
        <w:t xml:space="preserve"> </w:t>
      </w:r>
      <m:oMath>
        <m:sSub>
          <m:e>
            <m:r>
              <m:t>P</m:t>
            </m:r>
          </m:e>
          <m:sub>
            <m:r>
              <m:t>48</m:t>
            </m:r>
            <m:r>
              <m:t>h</m:t>
            </m:r>
          </m:sub>
        </m:sSub>
      </m:oMath>
      <w:r>
        <w:t xml:space="preserve"> </w:t>
      </w:r>
      <w:r>
        <w:t xml:space="preserve">es la precipitación acumulada en las 48 horas previas. Si</w:t>
      </w:r>
      <w:r>
        <w:t xml:space="preserve"> </w:t>
      </w:r>
      <m:oMath>
        <m:r>
          <m:rPr>
            <m:sty m:val="p"/>
          </m:rPr>
          <m:t>Γ</m:t>
        </m:r>
        <m:r>
          <m:rPr>
            <m:sty m:val="p"/>
          </m:rPr>
          <m:t>(</m:t>
        </m:r>
        <m:sSub>
          <m:e>
            <m:r>
              <m:t>s</m:t>
            </m:r>
          </m:e>
          <m:sub>
            <m:r>
              <m:t>i</m:t>
            </m:r>
          </m:sub>
        </m:sSub>
        <m:r>
          <m:rPr>
            <m:sty m:val="p"/>
          </m:rPr>
          <m:t>,</m:t>
        </m:r>
        <m:r>
          <m:t>t</m:t>
        </m:r>
        <m:r>
          <m:rPr>
            <m:sty m:val="p"/>
          </m:rPr>
          <m:t>)</m:t>
        </m:r>
        <m:r>
          <m:rPr>
            <m:sty m:val="p"/>
          </m:rPr>
          <m:t>=</m:t>
        </m:r>
        <m:r>
          <m:t>0</m:t>
        </m:r>
      </m:oMath>
      <w:r>
        <w:t xml:space="preserve">, la probabilidad final de incendio se fija analíticamente en</w:t>
      </w:r>
      <w:r>
        <w:t xml:space="preserve"> </w:t>
      </w:r>
      <m:oMath>
        <m:r>
          <m:t>P</m:t>
        </m:r>
        <m:r>
          <m:rPr>
            <m:sty m:val="p"/>
          </m:rPr>
          <m:t>(</m:t>
        </m:r>
        <m:sSub>
          <m:e>
            <m:r>
              <m:t>Y</m:t>
            </m:r>
          </m:e>
          <m:sub>
            <m:r>
              <m:t>i</m:t>
            </m:r>
            <m:r>
              <m:rPr>
                <m:sty m:val="p"/>
              </m:rPr>
              <m:t>,</m:t>
            </m:r>
            <m:r>
              <m:t>t</m:t>
            </m:r>
          </m:sub>
        </m:sSub>
        <m:r>
          <m:rPr>
            <m:sty m:val="p"/>
          </m:rPr>
          <m:t>=</m:t>
        </m:r>
        <m:r>
          <m:t>1</m:t>
        </m:r>
        <m:r>
          <m:rPr>
            <m:sty m:val="p"/>
          </m:rPr>
          <m:t>)</m:t>
        </m:r>
        <m:r>
          <m:rPr>
            <m:sty m:val="p"/>
          </m:rPr>
          <m:t>≡</m:t>
        </m:r>
        <m:r>
          <m:t>0</m:t>
        </m:r>
      </m:oMath>
      <w:r>
        <w:t xml:space="preserve">, reduciendo el espacio de búsqueda activo en un 92 % sin omitir detecciones térmicas reales.</w:t>
      </w:r>
    </w:p>
    <w:bookmarkEnd w:id="17"/>
    <w:bookmarkStart w:id="22" w:name="X1008ec2e922ee129c3a10de223a4cfcbaf6b27a"/>
    <w:p>
      <w:pPr>
        <w:pStyle w:val="Heading2"/>
      </w:pPr>
      <w:r>
        <w:t xml:space="preserve">2.3 2.3 Formulación del Desacoplamiento Dual: Ignición vs. Propagación</w:t>
      </w:r>
    </w:p>
    <w:p>
      <w:pPr>
        <w:pStyle w:val="FirstParagraph"/>
      </w:pPr>
      <w:r>
        <w:t xml:space="preserve">Definimos dos espacios de variables diferenciados para evitar la contaminación de atajos espaciales (</w:t>
      </w:r>
      <w:hyperlink w:anchor="fig-arquitectura">
        <w:r>
          <w:rPr>
            <w:rStyle w:val="Hyperlink"/>
          </w:rPr>
          <w:t xml:space="preserve">Figura 1</w:t>
        </w:r>
      </w:hyperlink>
      <w:r>
        <w:t xml:space="preserve">):</w:t>
      </w:r>
    </w:p>
    <w:p>
      <w:pPr>
        <w:pStyle w:val="Compact"/>
        <w:numPr>
          <w:ilvl w:val="0"/>
          <w:numId w:val="1003"/>
        </w:numPr>
      </w:pPr>
      <w:r>
        <w:rPr>
          <w:b/>
          <w:bCs/>
        </w:rPr>
        <w:t xml:space="preserve">Espacio de Ignición Primaria (</w:t>
      </w:r>
      <m:oMath>
        <m:sSub>
          <m:e>
            <m:r>
              <m:rPr>
                <m:scr m:val="script"/>
                <m:sty m:val="p"/>
              </m:rPr>
              <m:t>X</m:t>
            </m:r>
          </m:e>
          <m:sub>
            <m:r>
              <m:rPr>
                <m:nor/>
                <m:sty m:val="p"/>
              </m:rPr>
              <m:t>ignición</m:t>
            </m:r>
          </m:sub>
        </m:sSub>
      </m:oMath>
      <w:r>
        <w:rPr>
          <w:b/>
          <w:bCs/>
        </w:rPr>
        <w:t xml:space="preserve">):</w:t>
      </w:r>
      <w:r>
        <w:br/>
      </w:r>
      <w:r>
        <w:t xml:space="preserve">Contiene 22 variables biofísicas puras: temperatura máxima,</w:t>
      </w:r>
      <w:r>
        <w:t xml:space="preserve"> </w:t>
      </w:r>
      <m:oMath>
        <m:r>
          <m:t>V</m:t>
        </m:r>
        <m:r>
          <m:t>P</m:t>
        </m:r>
        <m:r>
          <m:t>D</m:t>
        </m:r>
      </m:oMath>
      <w:r>
        <w:t xml:space="preserve">, velocidad de viento sostenida y ráfagas, días secos consecutivos (</w:t>
      </w:r>
      <m:oMath>
        <m:r>
          <m:t>C</m:t>
        </m:r>
        <m:r>
          <m:t>D</m:t>
        </m:r>
        <m:r>
          <m:t>D</m:t>
        </m:r>
      </m:oMath>
      <w:r>
        <w:t xml:space="preserve">), índices de balance hídrico foliar (</w:t>
      </w:r>
      <m:oMath>
        <m:r>
          <m:t>F</m:t>
        </m:r>
        <m:r>
          <m:t>F</m:t>
        </m:r>
        <m:r>
          <m:t>M</m:t>
        </m:r>
        <m:r>
          <m:t>C</m:t>
        </m:r>
      </m:oMath>
      <w:r>
        <w:t xml:space="preserve">,</w:t>
      </w:r>
      <w:r>
        <w:t xml:space="preserve"> </w:t>
      </w:r>
      <m:oMath>
        <m:r>
          <m:t>I</m:t>
        </m:r>
        <m:r>
          <m:t>S</m:t>
        </m:r>
        <m:r>
          <m:t>I</m:t>
        </m:r>
      </m:oMath>
      <w:r>
        <w:t xml:space="preserve">), amplitud térmica diaria (</w:t>
      </w:r>
      <m:oMath>
        <m:sSub>
          <m:e>
            <m:r>
              <m:t>T</m:t>
            </m:r>
          </m:e>
          <m:sub>
            <m:r>
              <m:rPr>
                <m:nor/>
                <m:sty m:val="p"/>
              </m:rPr>
              <m:t>max</m:t>
            </m:r>
          </m:sub>
        </m:sSub>
        <m:r>
          <m:rPr>
            <m:sty m:val="p"/>
          </m:rPr>
          <m:t>−</m:t>
        </m:r>
        <m:sSub>
          <m:e>
            <m:r>
              <m:t>T</m:t>
            </m:r>
          </m:e>
          <m:sub>
            <m:r>
              <m:rPr>
                <m:nor/>
                <m:sty m:val="p"/>
              </m:rPr>
              <m:t>min</m:t>
            </m:r>
          </m:sub>
        </m:sSub>
      </m:oMath>
      <w:r>
        <w:t xml:space="preserve">), proporciones de cobertura vegetal MapBiomas e índice de ecotono perimetral.</w:t>
      </w:r>
      <w:r>
        <w:t xml:space="preserve"> </w:t>
      </w:r>
      <w:r>
        <w:rPr>
          <w:b/>
          <w:bCs/>
        </w:rPr>
        <w:t xml:space="preserve">No incluye ninguna variable dependiente de incendios observados en</w:t>
      </w:r>
      <w:r>
        <w:rPr>
          <w:b/>
          <w:bCs/>
        </w:rPr>
        <w:t xml:space="preserve"> </w:t>
      </w:r>
      <m:oMath>
        <m:r>
          <m:t>t</m:t>
        </m:r>
        <m:r>
          <m:rPr>
            <m:sty m:val="p"/>
          </m:rPr>
          <m:t>−</m:t>
        </m:r>
        <m:r>
          <m:t>1</m:t>
        </m:r>
      </m:oMath>
      <w:r>
        <w:rPr>
          <w:b/>
          <w:bCs/>
        </w:rPr>
        <w:t xml:space="preserve">.</w:t>
      </w:r>
    </w:p>
    <w:p>
      <w:pPr>
        <w:pStyle w:val="Compact"/>
        <w:numPr>
          <w:ilvl w:val="0"/>
          <w:numId w:val="1003"/>
        </w:numPr>
      </w:pPr>
      <w:r>
        <w:rPr>
          <w:b/>
          <w:bCs/>
        </w:rPr>
        <w:t xml:space="preserve">Espacio de Propagación Táctica (</w:t>
      </w:r>
      <m:oMath>
        <m:sSub>
          <m:e>
            <m:r>
              <m:rPr>
                <m:scr m:val="script"/>
                <m:sty m:val="p"/>
              </m:rPr>
              <m:t>X</m:t>
            </m:r>
          </m:e>
          <m:sub>
            <m:r>
              <m:rPr>
                <m:nor/>
                <m:sty m:val="p"/>
              </m:rPr>
              <m:t>propagación</m:t>
            </m:r>
          </m:sub>
        </m:sSub>
      </m:oMath>
      <w:r>
        <w:rPr>
          <w:b/>
          <w:bCs/>
        </w:rPr>
        <w:t xml:space="preserve">):</w:t>
      </w:r>
      <w:r>
        <w:br/>
      </w:r>
      <w:r>
        <w:t xml:space="preserve">Agrega a</w:t>
      </w:r>
      <w:r>
        <w:t xml:space="preserve"> </w:t>
      </w:r>
      <m:oMath>
        <m:sSub>
          <m:e>
            <m:r>
              <m:rPr>
                <m:scr m:val="script"/>
                <m:sty m:val="p"/>
              </m:rPr>
              <m:t>X</m:t>
            </m:r>
          </m:e>
          <m:sub>
            <m:r>
              <m:rPr>
                <m:nor/>
                <m:sty m:val="p"/>
              </m:rPr>
              <m:t>ignición</m:t>
            </m:r>
          </m:sub>
        </m:sSub>
      </m:oMath>
      <w:r>
        <w:t xml:space="preserve"> </w:t>
      </w:r>
      <w:r>
        <w:t xml:space="preserve">el kernel de proximidad espacial al frente de fuego activo más cercano en</w:t>
      </w:r>
      <w:r>
        <w:t xml:space="preserve"> </w:t>
      </w:r>
      <m:oMath>
        <m:r>
          <m:t>t</m:t>
        </m:r>
        <m:r>
          <m:rPr>
            <m:sty m:val="p"/>
          </m:rPr>
          <m:t>−</m:t>
        </m:r>
        <m:r>
          <m:t>1</m:t>
        </m:r>
      </m:oMath>
      <w:r>
        <w:t xml:space="preserve"> </w:t>
      </w:r>
      <w:r>
        <w:t xml:space="preserve">(</w:t>
      </w:r>
      <m:oMath>
        <m:r>
          <m:rPr>
            <m:nor/>
            <m:sty m:val="p"/>
          </m:rPr>
          <m:t>dist_foco_t1_km</m:t>
        </m:r>
      </m:oMath>
      <w:r>
        <w:t xml:space="preserve">), la densidad local de focos térmicos en un radio de 25 km (</w:t>
      </w:r>
      <m:oMath>
        <m:r>
          <m:rPr>
            <m:nor/>
            <m:sty m:val="p"/>
          </m:rPr>
          <m:t>focos_25km_t1</m:t>
        </m:r>
      </m:oMath>
      <w:r>
        <w:t xml:space="preserve">) y la potencia radiativa del fuego acumulada (</w:t>
      </w:r>
      <m:oMath>
        <m:r>
          <m:rPr>
            <m:nor/>
            <m:sty m:val="p"/>
          </m:rPr>
          <m:t>frp_25km_t1</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fig-arquitectura"/>
          <w:p>
            <w:pPr>
              <w:pStyle w:val="Compact"/>
              <w:jc w:val="center"/>
            </w:pPr>
            <w:r>
              <w:drawing>
                <wp:inline>
                  <wp:extent cx="5334000" cy="2206591"/>
                  <wp:effectExtent b="0" l="0" r="0" t="0"/>
                  <wp:docPr descr="" title="" id="19" name="Picture"/>
                  <a:graphic>
                    <a:graphicData uri="http://schemas.openxmlformats.org/drawingml/2006/picture">
                      <pic:pic>
                        <pic:nvPicPr>
                          <pic:cNvPr descr="figuras/fig01_arquitectura_impacto_nature.png" id="20" name="Picture"/>
                          <pic:cNvPicPr>
                            <a:picLocks noChangeArrowheads="1" noChangeAspect="1"/>
                          </pic:cNvPicPr>
                        </pic:nvPicPr>
                        <pic:blipFill>
                          <a:blip r:embed="rId18"/>
                          <a:stretch>
                            <a:fillRect/>
                          </a:stretch>
                        </pic:blipFill>
                        <pic:spPr bwMode="auto">
                          <a:xfrm>
                            <a:off x="0" y="0"/>
                            <a:ext cx="5334000" cy="2206591"/>
                          </a:xfrm>
                          <a:prstGeom prst="rect">
                            <a:avLst/>
                          </a:prstGeom>
                          <a:noFill/>
                          <a:ln w="9525">
                            <a:noFill/>
                            <a:headEnd/>
                            <a:tailEnd/>
                          </a:ln>
                        </pic:spPr>
                      </pic:pic>
                    </a:graphicData>
                  </a:graphic>
                </wp:inline>
              </w:drawing>
            </w:r>
          </w:p>
          <w:p>
            <w:pPr>
              <w:jc w:val="center"/>
            </w:pPr>
            <w:pPr>
              <w:jc w:val="left"/>
              <w:spacing w:before="200"/>
              <w:pStyle w:val="ImageCaption"/>
            </w:pPr>
            <w:r>
              <w:t xml:space="preserve">Figura 1: Decoupled computational architecture of</w:t>
            </w:r>
            <w:r>
              <w:t xml:space="preserve"> </w:t>
            </w:r>
            <w:r>
              <w:rPr>
                <w:rStyle w:val="VerbatimChar"/>
              </w:rPr>
              <w:t xml:space="preserve">Incendios_PY</w:t>
            </w:r>
            <w:r>
              <w:t xml:space="preserve">: Multisource biophysical ingestion, Stage-1 kinematic gating, decoupled dual GeoAI modeling (Mode 1 Ignition vs. Mode 2 Tactical Propagation), and international benchmarking against Canadian FWI and INPE.</w:t>
            </w:r>
          </w:p>
          <w:bookmarkEnd w:id="21"/>
        </w:tc>
      </w:tr>
    </w:tbl>
    <w:bookmarkEnd w:id="22"/>
    <w:bookmarkStart w:id="27" w:name="X214a4fa7c1aeb367c09b5398c8357d829c264ae"/>
    <w:p>
      <w:pPr>
        <w:pStyle w:val="Heading2"/>
      </w:pPr>
      <w:r>
        <w:t xml:space="preserve">2.4 2.4 Kernel de Contagio Espaciotemporal Causal</w:t>
      </w:r>
      <w:r>
        <w:t xml:space="preserve"> </w:t>
      </w:r>
      <m:oMath>
        <m:r>
          <m:t>t</m:t>
        </m:r>
        <m:r>
          <m:rPr>
            <m:sty m:val="p"/>
          </m:rPr>
          <m:t>−</m:t>
        </m:r>
        <m:r>
          <m:t>1</m:t>
        </m:r>
      </m:oMath>
    </w:p>
    <w:p>
      <w:pPr>
        <w:pStyle w:val="FirstParagraph"/>
      </w:pPr>
      <w:r>
        <w:t xml:space="preserve">Para la propagación táctica, el avance de un incendio desde una celda activa</w:t>
      </w:r>
      <w:r>
        <w:t xml:space="preserve"> </w:t>
      </w:r>
      <m:oMath>
        <m:r>
          <m:t>k</m:t>
        </m:r>
      </m:oMath>
      <w:r>
        <w:t xml:space="preserve"> </w:t>
      </w:r>
      <w:r>
        <w:t xml:space="preserve">hacia la celda candidata</w:t>
      </w:r>
      <w:r>
        <w:t xml:space="preserve"> </w:t>
      </w:r>
      <m:oMath>
        <m:r>
          <m:t>i</m:t>
        </m:r>
      </m:oMath>
      <w:r>
        <w:t xml:space="preserve"> </w:t>
      </w:r>
      <w:r>
        <w:t xml:space="preserve">se parametriza mediante una distancia euclidiana proyectada UTM (Zona 21S, WGS 84, EPSG:32721):</w:t>
      </w:r>
    </w:p>
    <w:p>
      <w:pPr>
        <w:pStyle w:val="BodyText"/>
      </w:pPr>
      <w:bookmarkStart w:id="23" w:name="eq-dist"/>
      <m:oMathPara>
        <m:oMathParaPr>
          <m:jc m:val="center"/>
        </m:oMathParaPr>
        <m:oMath>
          <m:r>
            <m:t>d</m:t>
          </m:r>
          <m:r>
            <m:rPr>
              <m:sty m:val="p"/>
            </m:rPr>
            <m:t>(</m:t>
          </m:r>
          <m:sSub>
            <m:e>
              <m:r>
                <m:t>s</m:t>
              </m:r>
            </m:e>
            <m:sub>
              <m:r>
                <m:t>i</m:t>
              </m:r>
            </m:sub>
          </m:sSub>
          <m:r>
            <m:rPr>
              <m:sty m:val="p"/>
            </m:rPr>
            <m:t>,</m:t>
          </m:r>
          <m:sSub>
            <m:e>
              <m:r>
                <m:rPr>
                  <m:scr m:val="script"/>
                  <m:sty m:val="p"/>
                </m:rPr>
                <m:t>F</m:t>
              </m:r>
            </m:e>
            <m:sub>
              <m:r>
                <m:t>t</m:t>
              </m:r>
              <m:r>
                <m:rPr>
                  <m:sty m:val="p"/>
                </m:rPr>
                <m:t>−</m:t>
              </m:r>
              <m:r>
                <m:t>1</m:t>
              </m:r>
            </m:sub>
          </m:sSub>
          <m:r>
            <m:rPr>
              <m:sty m:val="p"/>
            </m:rPr>
            <m:t>)</m:t>
          </m:r>
          <m:r>
            <m:rPr>
              <m:sty m:val="p"/>
            </m:rPr>
            <m:t>=</m:t>
          </m:r>
          <m:limLow>
            <m:e>
              <m:r>
                <m:rPr>
                  <m:sty m:val="p"/>
                </m:rPr>
                <m:t>min</m:t>
              </m:r>
            </m:e>
            <m:lim>
              <m:sSub>
                <m:e>
                  <m:r>
                    <m:t>s</m:t>
                  </m:r>
                </m:e>
                <m:sub>
                  <m:r>
                    <m:t>k</m:t>
                  </m:r>
                </m:sub>
              </m:sSub>
              <m:r>
                <m:rPr>
                  <m:sty m:val="p"/>
                </m:rPr>
                <m:t>∈</m:t>
              </m:r>
              <m:sSub>
                <m:e>
                  <m:r>
                    <m:rPr>
                      <m:scr m:val="script"/>
                      <m:sty m:val="p"/>
                    </m:rPr>
                    <m:t>F</m:t>
                  </m:r>
                </m:e>
                <m:sub>
                  <m:r>
                    <m:t>t</m:t>
                  </m:r>
                  <m:r>
                    <m:rPr>
                      <m:sty m:val="p"/>
                    </m:rPr>
                    <m:t>−</m:t>
                  </m:r>
                  <m:r>
                    <m:t>1</m:t>
                  </m:r>
                </m:sub>
              </m:sSub>
            </m:lim>
          </m:limLow>
          <m:rad>
            <m:radPr>
              <m:degHide m:val="on"/>
            </m:radPr>
            <m:deg/>
            <m:e>
              <m:r>
                <m:rPr>
                  <m:sty m:val="p"/>
                </m:rPr>
                <m:t>(</m:t>
              </m:r>
              <m:sSub>
                <m:e>
                  <m:r>
                    <m:t>x</m:t>
                  </m:r>
                </m:e>
                <m:sub>
                  <m:r>
                    <m:t>i</m:t>
                  </m:r>
                </m:sub>
              </m:sSub>
              <m:r>
                <m:rPr>
                  <m:sty m:val="p"/>
                </m:rPr>
                <m:t>−</m:t>
              </m:r>
              <m:sSub>
                <m:e>
                  <m:r>
                    <m:t>x</m:t>
                  </m:r>
                </m:e>
                <m:sub>
                  <m:r>
                    <m:t>k</m:t>
                  </m:r>
                </m:sub>
              </m:sSub>
              <m:sSup>
                <m:e>
                  <m:r>
                    <m:rPr>
                      <m:sty m:val="p"/>
                    </m:rPr>
                    <m:t>)</m:t>
                  </m:r>
                </m:e>
                <m:sup>
                  <m:r>
                    <m:t>2</m:t>
                  </m:r>
                </m:sup>
              </m:sSup>
              <m:r>
                <m:rPr>
                  <m:sty m:val="p"/>
                </m:rPr>
                <m:t>+</m:t>
              </m:r>
              <m:r>
                <m:rPr>
                  <m:sty m:val="p"/>
                </m:rPr>
                <m:t>(</m:t>
              </m:r>
              <m:sSub>
                <m:e>
                  <m:r>
                    <m:t>y</m:t>
                  </m:r>
                </m:e>
                <m:sub>
                  <m:r>
                    <m:t>i</m:t>
                  </m:r>
                </m:sub>
              </m:sSub>
              <m:r>
                <m:rPr>
                  <m:sty m:val="p"/>
                </m:rPr>
                <m:t>−</m:t>
              </m:r>
              <m:sSub>
                <m:e>
                  <m:r>
                    <m:t>y</m:t>
                  </m:r>
                </m:e>
                <m:sub>
                  <m:r>
                    <m:t>k</m:t>
                  </m:r>
                </m:sub>
              </m:sSub>
              <m:sSup>
                <m:e>
                  <m:r>
                    <m:rPr>
                      <m:sty m:val="p"/>
                    </m:rPr>
                    <m:t>)</m:t>
                  </m:r>
                </m:e>
                <m:sup>
                  <m:r>
                    <m:t>2</m:t>
                  </m:r>
                </m:sup>
              </m:sSup>
            </m:e>
          </m:rad>
          <m:r>
            <m:t> </m:t>
          </m:r>
          <m:r>
            <m:rPr>
              <m:sty m:val="p"/>
            </m:rPr>
            <m:t>[</m:t>
          </m:r>
          <m:r>
            <m:rPr>
              <m:nor/>
              <m:sty m:val="p"/>
            </m:rPr>
            <m:t>km</m:t>
          </m:r>
          <m:r>
            <m:rPr>
              <m:sty m:val="p"/>
            </m:rPr>
            <m:t>]</m:t>
          </m:r>
          <m:r>
            <m:t>  </m:t>
          </m:r>
          <m:r>
            <m:rPr>
              <m:sty m:val="p"/>
            </m:rPr>
            <m:t>(</m:t>
          </m:r>
          <m:r>
            <m:t>5</m:t>
          </m:r>
          <m:r>
            <m:rPr>
              <m:sty m:val="p"/>
            </m:rPr>
            <m:t>)</m:t>
          </m:r>
        </m:oMath>
      </m:oMathPara>
      <w:bookmarkEnd w:id="23"/>
    </w:p>
    <w:p>
      <w:pPr>
        <w:pStyle w:val="FirstParagraph"/>
      </w:pPr>
      <w:r>
        <w:t xml:space="preserve">donde</w:t>
      </w:r>
      <w:r>
        <w:t xml:space="preserve"> </w:t>
      </w:r>
      <m:oMath>
        <m:sSub>
          <m:e>
            <m:r>
              <m:rPr>
                <m:scr m:val="script"/>
                <m:sty m:val="p"/>
              </m:rPr>
              <m:t>F</m:t>
            </m:r>
          </m:e>
          <m:sub>
            <m:r>
              <m:t>t</m:t>
            </m:r>
            <m:r>
              <m:rPr>
                <m:sty m:val="p"/>
              </m:rPr>
              <m:t>−</m:t>
            </m:r>
            <m:r>
              <m:t>1</m:t>
            </m:r>
          </m:sub>
        </m:sSub>
      </m:oMath>
      <w:r>
        <w:t xml:space="preserve"> </w:t>
      </w:r>
      <w:r>
        <w:t xml:space="preserve">es el conjunto de celdas con detección térmica satelital validada en la fecha</w:t>
      </w:r>
      <w:r>
        <w:t xml:space="preserve"> </w:t>
      </w:r>
      <m:oMath>
        <m:r>
          <m:t>t</m:t>
        </m:r>
        <m:r>
          <m:rPr>
            <m:sty m:val="p"/>
          </m:rPr>
          <m:t>−</m:t>
        </m:r>
        <m:r>
          <m:t>1</m:t>
        </m:r>
      </m:oMath>
      <w:r>
        <w:t xml:space="preserve">. La densidad local y la energía térmica antecedente se cuantifican mediante convolución gaussiana acotada en ventana de</w:t>
      </w:r>
      <w:r>
        <w:t xml:space="preserve"> </w:t>
      </w:r>
      <m:oMath>
        <m:r>
          <m:t>R</m:t>
        </m:r>
        <m:r>
          <m:rPr>
            <m:sty m:val="p"/>
          </m:rPr>
          <m:t>=</m:t>
        </m:r>
        <m:r>
          <m:t>25</m:t>
        </m:r>
        <m:r>
          <m:rPr>
            <m:nor/>
            <m:sty m:val="p"/>
          </m:rPr>
          <m:t> km</m:t>
        </m:r>
      </m:oMath>
      <w:r>
        <w:t xml:space="preserve">:</w:t>
      </w:r>
    </w:p>
    <w:p>
      <w:pPr>
        <w:pStyle w:val="BodyText"/>
      </w:pPr>
      <w:bookmarkStart w:id="24" w:name="eq-dens"/>
      <m:oMathPara>
        <m:oMathParaPr>
          <m:jc m:val="center"/>
        </m:oMathParaPr>
        <m:oMath>
          <m:r>
            <m:rPr>
              <m:nor/>
              <m:sty m:val="p"/>
            </m:rPr>
            <m:t>focos_25km_t1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rPr>
                  <m:scr m:val="double-struck"/>
                  <m:sty m:val="p"/>
                </m:rPr>
                <m:t>I</m:t>
              </m:r>
            </m:e>
          </m:nary>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t>6</m:t>
          </m:r>
          <m:r>
            <m:rPr>
              <m:sty m:val="p"/>
            </m:rPr>
            <m:t>)</m:t>
          </m:r>
        </m:oMath>
      </m:oMathPara>
      <w:bookmarkEnd w:id="24"/>
    </w:p>
    <w:p>
      <w:pPr>
        <w:pStyle w:val="FirstParagraph"/>
      </w:pPr>
      <w:bookmarkStart w:id="25" w:name="eq-frp"/>
      <m:oMathPara>
        <m:oMathParaPr>
          <m:jc m:val="center"/>
        </m:oMathParaPr>
        <m:oMath>
          <m:r>
            <m:rPr>
              <m:nor/>
              <m:sty m:val="p"/>
            </m:rPr>
            <m:t>frp_25km_t1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t>F</m:t>
              </m:r>
            </m:e>
          </m:nary>
          <m:r>
            <m:t>R</m:t>
          </m:r>
          <m:sSub>
            <m:e>
              <m:r>
                <m:t>P</m:t>
              </m:r>
            </m:e>
            <m:sub>
              <m:r>
                <m:t>k</m:t>
              </m:r>
            </m:sub>
          </m:sSub>
          <m:r>
            <m:rPr>
              <m:sty m:val="p"/>
            </m:rPr>
            <m:t>⋅</m:t>
          </m:r>
          <m:r>
            <m:rPr>
              <m:scr m:val="double-struck"/>
              <m:sty m:val="p"/>
            </m:rPr>
            <m:t>I</m:t>
          </m:r>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rPr>
              <m:nor/>
              <m:sty m:val="p"/>
            </m:rPr>
            <m:t>MW</m:t>
          </m:r>
          <m:r>
            <m:rPr>
              <m:sty m:val="p"/>
            </m:rPr>
            <m:t>]</m:t>
          </m:r>
          <m:r>
            <m:t>  </m:t>
          </m:r>
          <m:r>
            <m:rPr>
              <m:sty m:val="p"/>
            </m:rPr>
            <m:t>(</m:t>
          </m:r>
          <m:r>
            <m:t>7</m:t>
          </m:r>
          <m:r>
            <m:rPr>
              <m:sty m:val="p"/>
            </m:rPr>
            <m:t>)</m:t>
          </m:r>
        </m:oMath>
      </m:oMathPara>
      <w:bookmarkEnd w:id="25"/>
    </w:p>
    <w:p>
      <w:pPr>
        <w:pStyle w:val="FirstParagraph"/>
      </w:pPr>
      <w:r>
        <w:t xml:space="preserve">Adicionalmente, formalizamos el</w:t>
      </w:r>
      <w:r>
        <w:t xml:space="preserve"> </w:t>
      </w:r>
      <w:r>
        <w:rPr>
          <w:b/>
          <w:bCs/>
        </w:rPr>
        <w:t xml:space="preserve">Índice de Ecotono</w:t>
      </w:r>
      <w:r>
        <w:t xml:space="preserve"> </w:t>
      </w:r>
      <w:r>
        <w:t xml:space="preserve">(</w:t>
      </w:r>
      <m:oMath>
        <m:sSub>
          <m:e>
            <m:r>
              <m:rPr>
                <m:scr m:val="script"/>
                <m:sty m:val="p"/>
              </m:rPr>
              <m:t>E</m:t>
            </m:r>
          </m:e>
          <m:sub>
            <m:r>
              <m:t>i</m:t>
            </m:r>
          </m:sub>
        </m:sSub>
      </m:oMath>
      <w:r>
        <w:t xml:space="preserve">) como la divergencia de cobertura vegetal entre formaciones boscosas continuas y pastizales/sabanas antrópicas dentro de la misma celda de 1 km²:</w:t>
      </w:r>
    </w:p>
    <w:p>
      <w:pPr>
        <w:pStyle w:val="BodyText"/>
      </w:pPr>
      <w:bookmarkStart w:id="26" w:name="eq-ecotono"/>
      <m:oMathPara>
        <m:oMathParaPr>
          <m:jc m:val="center"/>
        </m:oMathParaPr>
        <m:oMath>
          <m:sSub>
            <m:e>
              <m:r>
                <m:rPr>
                  <m:scr m:val="script"/>
                  <m:sty m:val="p"/>
                </m:rPr>
                <m:t>E</m:t>
              </m:r>
            </m:e>
            <m:sub>
              <m:r>
                <m:t>i</m:t>
              </m:r>
            </m:sub>
          </m:sSub>
          <m:r>
            <m:rPr>
              <m:sty m:val="p"/>
            </m:rPr>
            <m:t>=</m:t>
          </m:r>
          <m:r>
            <m:t>1</m:t>
          </m:r>
          <m:r>
            <m:rPr>
              <m:sty m:val="p"/>
            </m:rPr>
            <m:t>,</m:t>
          </m:r>
          <m:r>
            <m:t>0</m:t>
          </m:r>
          <m:r>
            <m:rPr>
              <m:sty m:val="p"/>
            </m:rPr>
            <m:t>−</m:t>
          </m:r>
          <m:r>
            <m:rPr>
              <m:sty m:val="p"/>
            </m:rPr>
            <m:t>|</m:t>
          </m:r>
          <m:sSub>
            <m:e>
              <m:r>
                <m:rPr>
                  <m:nor/>
                  <m:sty m:val="p"/>
                </m:rPr>
                <m:t>pct_pastura</m:t>
              </m:r>
            </m:e>
            <m:sub>
              <m:r>
                <m:t>i</m:t>
              </m:r>
            </m:sub>
          </m:sSub>
          <m:r>
            <m:rPr>
              <m:sty m:val="p"/>
            </m:rPr>
            <m:t>−</m:t>
          </m:r>
          <m:r>
            <m:rPr>
              <m:sty m:val="p"/>
            </m:rPr>
            <m:t>(</m:t>
          </m:r>
          <m:sSub>
            <m:e>
              <m:r>
                <m:rPr>
                  <m:nor/>
                  <m:sty m:val="p"/>
                </m:rPr>
                <m:t>pct_bosque_seco</m:t>
              </m:r>
            </m:e>
            <m:sub>
              <m:r>
                <m:t>i</m:t>
              </m:r>
            </m:sub>
          </m:sSub>
          <m:r>
            <m:rPr>
              <m:sty m:val="p"/>
            </m:rPr>
            <m:t>+</m:t>
          </m:r>
          <m:sSub>
            <m:e>
              <m:r>
                <m:rPr>
                  <m:nor/>
                  <m:sty m:val="p"/>
                </m:rPr>
                <m:t>pct_bosque_humedo</m:t>
              </m:r>
            </m:e>
            <m:sub>
              <m:r>
                <m:t>i</m:t>
              </m:r>
            </m:sub>
          </m:sSub>
          <m:r>
            <m:rPr>
              <m:sty m:val="p"/>
            </m:rPr>
            <m:t>)</m:t>
          </m:r>
          <m:r>
            <m:rPr>
              <m:sty m:val="p"/>
            </m:rPr>
            <m:t>|</m:t>
          </m:r>
          <m:r>
            <m:t>  </m:t>
          </m:r>
          <m:r>
            <m:rPr>
              <m:sty m:val="p"/>
            </m:rPr>
            <m:t>(</m:t>
          </m:r>
          <m:r>
            <m:t>8</m:t>
          </m:r>
          <m:r>
            <m:rPr>
              <m:sty m:val="p"/>
            </m:rPr>
            <m:t>)</m:t>
          </m:r>
        </m:oMath>
      </m:oMathPara>
      <w:bookmarkEnd w:id="26"/>
    </w:p>
    <w:p>
      <w:pPr>
        <w:pStyle w:val="FirstParagraph"/>
      </w:pPr>
      <w:r>
        <w:t xml:space="preserve">Este índice alcanza su valor máximo (</w:t>
      </w:r>
      <m:oMath>
        <m:sSub>
          <m:e>
            <m:r>
              <m:rPr>
                <m:scr m:val="script"/>
                <m:sty m:val="p"/>
              </m:rPr>
              <m:t>E</m:t>
            </m:r>
          </m:e>
          <m:sub>
            <m:r>
              <m:t>i</m:t>
            </m:r>
          </m:sub>
        </m:sSub>
        <m:r>
          <m:rPr>
            <m:sty m:val="p"/>
          </m:rPr>
          <m:t>≈</m:t>
        </m:r>
        <m:r>
          <m:t>1</m:t>
        </m:r>
        <m:r>
          <m:rPr>
            <m:sty m:val="p"/>
          </m:rPr>
          <m:t>,</m:t>
        </m:r>
        <m:r>
          <m:t>0</m:t>
        </m:r>
      </m:oMath>
      <w:r>
        <w:t xml:space="preserve">) en bordes de deforestación y fragmentación agrícola, donde la biomasa combustible seca toma contacto directo con fuentes de ignición antrópica.</w:t>
      </w:r>
    </w:p>
    <w:bookmarkEnd w:id="27"/>
    <w:bookmarkStart w:id="29" w:name="X14c1f7db0eabfa7396a549817e412a30b3d5925"/>
    <w:p>
      <w:pPr>
        <w:pStyle w:val="Heading2"/>
      </w:pPr>
      <w:r>
        <w:t xml:space="preserve">2.5 2.5 Calibración Probabilística Monótona Acotada</w:t>
      </w:r>
    </w:p>
    <w:p>
      <w:pPr>
        <w:pStyle w:val="FirstParagraph"/>
      </w:pPr>
      <w:r>
        <w:t xml:space="preserve">Los árboles de decisión por gradiente generan puntuaciones (</w:t>
      </w:r>
      <w:r>
        <w:rPr>
          <w:i/>
          <w:iCs/>
        </w:rPr>
        <w:t xml:space="preserve">logits</w:t>
      </w:r>
      <w:r>
        <w:t xml:space="preserve">) que no representan necesariamente probabilidades bien calibradas en el sentido bayesiano</w:t>
      </w:r>
      <w:r>
        <w:t xml:space="preserve"> </w:t>
      </w:r>
      <w:r>
        <w:t xml:space="preserve">(Niculescu-Mizil &amp; Caruana, 2005)</w:t>
      </w:r>
      <w:r>
        <w:t xml:space="preserve">. Sin embargo, la regresión logística estándar de Platt</w:t>
      </w:r>
      <w:r>
        <w:t xml:space="preserve"> </w:t>
      </w:r>
      <w:r>
        <w:t xml:space="preserve">(Platt, 1999)</w:t>
      </w:r>
      <w:r>
        <w:t xml:space="preserve"> </w:t>
      </w:r>
      <w:r>
        <w:t xml:space="preserve">puede invertir la pendiente de la curva de calibración (</w:t>
      </w:r>
      <m:oMath>
        <m:r>
          <m:t>w</m:t>
        </m:r>
        <m:r>
          <m:rPr>
            <m:sty m:val="p"/>
          </m:rPr>
          <m:t>&lt;</m:t>
        </m:r>
        <m:r>
          <m:t>0</m:t>
        </m:r>
      </m:oMath>
      <w:r>
        <w:t xml:space="preserve">) bajo desbalances de clases severos, destruyendo el orden de riesgo aprendido por el ensamble.</w:t>
      </w:r>
    </w:p>
    <w:p>
      <w:pPr>
        <w:pStyle w:val="BodyText"/>
      </w:pPr>
      <w:r>
        <w:t xml:space="preserve">Para evitar esta distorsión, implementamos un</w:t>
      </w:r>
      <w:r>
        <w:t xml:space="preserve"> </w:t>
      </w:r>
      <w:r>
        <w:rPr>
          <w:b/>
          <w:bCs/>
        </w:rPr>
        <w:t xml:space="preserve">Calibrador de Platt Monótono Acotado</w:t>
      </w:r>
      <w:r>
        <w:t xml:space="preserve">, optimizando los parámetros sigmoides</w:t>
      </w:r>
      <w:r>
        <w:t xml:space="preserve"> </w:t>
      </w:r>
      <m:oMath>
        <m:r>
          <m:t>w</m:t>
        </m:r>
        <m:r>
          <m:rPr>
            <m:sty m:val="p"/>
          </m:rPr>
          <m:t>,</m:t>
        </m:r>
        <m:r>
          <m:t>b</m:t>
        </m:r>
      </m:oMath>
      <w:r>
        <w:t xml:space="preserve"> </w:t>
      </w:r>
      <w:r>
        <w:t xml:space="preserve">mediante la función de pérdida logarítmica binaria sujeta a restricción de monotonicidad estricta:</w:t>
      </w:r>
    </w:p>
    <w:p>
      <w:pPr>
        <w:pStyle w:val="BodyText"/>
      </w:pPr>
      <w:bookmarkStart w:id="28" w:name="eq-calibracion"/>
      <m:oMathPara>
        <m:oMathParaPr>
          <m:jc m:val="center"/>
        </m:oMathParaPr>
        <m:oMath>
          <m:acc>
            <m:accPr>
              <m:chr m:val="̂"/>
            </m:accPr>
            <m:e>
              <m:r>
                <m:t>P</m:t>
              </m:r>
            </m:e>
          </m:acc>
          <m:r>
            <m:rPr>
              <m:sty m:val="p"/>
            </m:rPr>
            <m:t>(</m:t>
          </m:r>
          <m:r>
            <m:t>Y</m:t>
          </m:r>
          <m:r>
            <m:rPr>
              <m:sty m:val="p"/>
            </m:rPr>
            <m:t>=</m:t>
          </m:r>
          <m:r>
            <m:t>1</m:t>
          </m:r>
          <m:r>
            <m:rPr>
              <m:sty m:val="p"/>
            </m:rPr>
            <m:t>∣</m:t>
          </m:r>
          <m:r>
            <m:t>z</m:t>
          </m:r>
          <m:r>
            <m:rPr>
              <m:sty m:val="p"/>
            </m:rPr>
            <m:t>)</m:t>
          </m:r>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r>
                <m:t>z</m:t>
              </m:r>
              <m:r>
                <m:rPr>
                  <m:sty m:val="p"/>
                </m:rPr>
                <m:t>+</m:t>
              </m:r>
              <m:r>
                <m:t>b</m:t>
              </m:r>
              <m:r>
                <m:rPr>
                  <m:sty m:val="p"/>
                </m:rPr>
                <m:t>)</m:t>
              </m:r>
              <m:r>
                <m:rPr>
                  <m:sty m:val="p"/>
                </m:rPr>
                <m:t>)</m:t>
              </m:r>
            </m:den>
          </m:f>
          <m:r>
            <m:rPr>
              <m:sty m:val="p"/>
            </m:rPr>
            <m:t>,</m:t>
          </m:r>
          <m:r>
            <m:t> </m:t>
          </m:r>
          <m:r>
            <m:rPr>
              <m:nor/>
              <m:sty m:val="p"/>
            </m:rPr>
            <m:t>sujeto a </m:t>
          </m:r>
          <m:r>
            <m:t>w</m:t>
          </m:r>
          <m:r>
            <m:rPr>
              <m:sty m:val="p"/>
            </m:rPr>
            <m:t>∈</m:t>
          </m:r>
          <m:r>
            <m:rPr>
              <m:sty m:val="p"/>
            </m:rPr>
            <m:t>[</m:t>
          </m:r>
          <m:r>
            <m:t>0</m:t>
          </m:r>
          <m:r>
            <m:rPr>
              <m:sty m:val="p"/>
            </m:rPr>
            <m:t>,</m:t>
          </m:r>
          <m:r>
            <m:t>10</m:t>
          </m:r>
          <m:r>
            <m:rPr>
              <m:sty m:val="p"/>
            </m:rPr>
            <m:t>;</m:t>
          </m:r>
          <m:r>
            <m:t> </m:t>
          </m:r>
          <m:r>
            <m:t>10</m:t>
          </m:r>
          <m:r>
            <m:rPr>
              <m:sty m:val="p"/>
            </m:rPr>
            <m:t>,</m:t>
          </m:r>
          <m:r>
            <m:t>00</m:t>
          </m:r>
          <m:r>
            <m:rPr>
              <m:sty m:val="p"/>
            </m:rPr>
            <m:t>]</m:t>
          </m:r>
          <m:r>
            <m:t>  </m:t>
          </m:r>
          <m:r>
            <m:rPr>
              <m:sty m:val="p"/>
            </m:rPr>
            <m:t>(</m:t>
          </m:r>
          <m:r>
            <m:t>9</m:t>
          </m:r>
          <m:r>
            <m:rPr>
              <m:sty m:val="p"/>
            </m:rPr>
            <m:t>)</m:t>
          </m:r>
        </m:oMath>
      </m:oMathPara>
      <w:bookmarkEnd w:id="28"/>
    </w:p>
    <w:p>
      <w:pPr>
        <w:pStyle w:val="FirstParagraph"/>
      </w:pPr>
      <w:r>
        <w:t xml:space="preserve">donde</w:t>
      </w:r>
      <w:r>
        <w:t xml:space="preserve"> </w:t>
      </w:r>
      <m:oMath>
        <m:r>
          <m:t>z</m:t>
        </m:r>
        <m:r>
          <m:rPr>
            <m:sty m:val="p"/>
          </m:rPr>
          <m:t>∈</m:t>
        </m:r>
        <m:r>
          <m:rPr>
            <m:scr m:val="double-struck"/>
            <m:sty m:val="p"/>
          </m:rPr>
          <m:t>R</m:t>
        </m:r>
      </m:oMath>
      <w:r>
        <w:t xml:space="preserve"> </w:t>
      </w:r>
      <w:r>
        <w:t xml:space="preserve">es el margen no calibrado del ensamble LightGBM. La cota inferior</w:t>
      </w:r>
      <w:r>
        <w:t xml:space="preserve"> </w:t>
      </w:r>
      <m:oMath>
        <m:r>
          <m:t>w</m:t>
        </m:r>
        <m:r>
          <m:rPr>
            <m:sty m:val="p"/>
          </m:rPr>
          <m:t>≥</m:t>
        </m:r>
        <m:r>
          <m:t>0</m:t>
        </m:r>
        <m:r>
          <m:rPr>
            <m:sty m:val="p"/>
          </m:rPr>
          <m:t>,</m:t>
        </m:r>
        <m:r>
          <m:t>10</m:t>
        </m:r>
      </m:oMath>
      <w:r>
        <w:t xml:space="preserve"> </w:t>
      </w:r>
      <w:r>
        <w:t xml:space="preserve">garantiza que la función sea estrictamente creciente respecto al margen del árbol, preservando intacta el área bajo la curva ROC (</w:t>
      </w:r>
      <w:r>
        <w:rPr>
          <w:i/>
          <w:iCs/>
        </w:rPr>
        <w:t xml:space="preserve">ROC-AUC</w:t>
      </w:r>
      <w:r>
        <w:t xml:space="preserve">) y corrigiendo las frecuencias relativas predichas.</w:t>
      </w:r>
    </w:p>
    <w:p>
      <w:r>
        <w:pict>
          <v:rect style="width:0;height:1.5pt" o:hralign="center" o:hrstd="t" o:hr="t"/>
        </w:pict>
      </w:r>
    </w:p>
    <w:bookmarkEnd w:id="29"/>
    <w:bookmarkEnd w:id="30"/>
    <w:bookmarkStart w:id="37" w:name="X500a81763a499a350900bb953648fad63a0c8bf"/>
    <w:p>
      <w:pPr>
        <w:pStyle w:val="Heading1"/>
      </w:pPr>
      <w:r>
        <w:t xml:space="preserve">3. 3. Arquitectura de Software y Datos Espaciales</w:t>
      </w:r>
    </w:p>
    <w:bookmarkStart w:id="32" w:name="X6ae3ba674a398b826fcc2389b423a15291a6c29"/>
    <w:p>
      <w:pPr>
        <w:pStyle w:val="Heading2"/>
      </w:pPr>
      <w:r>
        <w:t xml:space="preserve">3.1 3.1 Malla Geográfica Soberana en Tiempo Constante</w:t>
      </w:r>
      <w:r>
        <w:t xml:space="preserve"> </w:t>
      </w:r>
      <m:oMath>
        <m:r>
          <m:t>O</m:t>
        </m:r>
        <m:r>
          <m:rPr>
            <m:sty m:val="p"/>
          </m:rPr>
          <m:t>(</m:t>
        </m:r>
        <m:r>
          <m:t>1</m:t>
        </m:r>
        <m:r>
          <m:rPr>
            <m:sty m:val="p"/>
          </m:rPr>
          <m:t>)</m:t>
        </m:r>
      </m:oMath>
    </w:p>
    <w:p>
      <w:pPr>
        <w:pStyle w:val="FirstParagraph"/>
      </w:pPr>
      <w:r>
        <w:t xml:space="preserve">A diferencia de los flujos de trabajo tradicionales basados en mallas ráster flotantes con problemas de alineación de celdas, definimos una</w:t>
      </w:r>
      <w:r>
        <w:t xml:space="preserve"> </w:t>
      </w:r>
      <w:r>
        <w:rPr>
          <w:b/>
          <w:bCs/>
        </w:rPr>
        <w:t xml:space="preserve">grilla vectorial nacional determinística de 1 km²</w:t>
      </w:r>
      <w:r>
        <w:t xml:space="preserve"> </w:t>
      </w:r>
      <w:r>
        <w:t xml:space="preserve">proyectada en UTM Zona 21S. La grilla abarca exactamente</w:t>
      </w:r>
      <w:r>
        <w:t xml:space="preserve"> </w:t>
      </w:r>
      <m:oMath>
        <m:r>
          <m:t>400.006</m:t>
        </m:r>
      </m:oMath>
      <w:r>
        <w:t xml:space="preserve"> </w:t>
      </w:r>
      <w:r>
        <w:t xml:space="preserve">celdas poligonales soberanas que intersectan el contorno limítrofe oficial de la República del Paraguay (geoBoundaries ADM0).</w:t>
      </w:r>
    </w:p>
    <w:p>
      <w:pPr>
        <w:pStyle w:val="BodyText"/>
      </w:pPr>
      <w:r>
        <w:t xml:space="preserve">Cada celda posee un identificador entero único de 64 bits (</w:t>
      </w:r>
      <w:r>
        <w:rPr>
          <w:rStyle w:val="VerbatimChar"/>
        </w:rPr>
        <w:t xml:space="preserve">cell_id</w:t>
      </w:r>
      <w:r>
        <w:t xml:space="preserve">) calculado de manera biyectiva y reversible a partir de sus coordenadas euclidianas centrales:</w:t>
      </w:r>
    </w:p>
    <w:p>
      <w:pPr>
        <w:pStyle w:val="BodyText"/>
      </w:pPr>
      <w:bookmarkStart w:id="31" w:name="eq-cellid"/>
      <m:oMathPara>
        <m:oMathParaPr>
          <m:jc m:val="center"/>
        </m:oMathParaPr>
        <m:oMath>
          <m:r>
            <m:rPr>
              <m:nor/>
              <m:sty m:val="p"/>
            </m:rPr>
            <m:t>cell_id</m:t>
          </m:r>
          <m:r>
            <m:rPr>
              <m:sty m:val="p"/>
            </m:rPr>
            <m:t>=</m:t>
          </m:r>
          <m:d>
            <m:dPr>
              <m:begChr m:val="⌊"/>
              <m:sepChr m:val=""/>
              <m:endChr m:val="⌋"/>
              <m:grow/>
            </m:dPr>
            <m:e>
              <m:f>
                <m:fPr>
                  <m:type m:val="bar"/>
                </m:fPr>
                <m:num>
                  <m:sSub>
                    <m:e>
                      <m:r>
                        <m:t>x</m:t>
                      </m:r>
                    </m:e>
                    <m:sub>
                      <m:r>
                        <m:rPr>
                          <m:nor/>
                          <m:sty m:val="p"/>
                        </m:rPr>
                        <m:t>UTM</m:t>
                      </m:r>
                    </m:sub>
                  </m:sSub>
                </m:num>
                <m:den>
                  <m:r>
                    <m:t>1000</m:t>
                  </m:r>
                </m:den>
              </m:f>
            </m:e>
          </m:d>
          <m:r>
            <m:rPr>
              <m:sty m:val="p"/>
            </m:rPr>
            <m:t>×</m:t>
          </m:r>
          <m:sSup>
            <m:e>
              <m:r>
                <m:t>10</m:t>
              </m:r>
            </m:e>
            <m:sup>
              <m:r>
                <m:t>7</m:t>
              </m:r>
            </m:sup>
          </m:sSup>
          <m:r>
            <m:rPr>
              <m:sty m:val="p"/>
            </m:rPr>
            <m:t>+</m:t>
          </m:r>
          <m:d>
            <m:dPr>
              <m:begChr m:val="⌊"/>
              <m:sepChr m:val=""/>
              <m:endChr m:val="⌋"/>
              <m:grow/>
            </m:dPr>
            <m:e>
              <m:f>
                <m:fPr>
                  <m:type m:val="bar"/>
                </m:fPr>
                <m:num>
                  <m:sSub>
                    <m:e>
                      <m:r>
                        <m:t>y</m:t>
                      </m:r>
                    </m:e>
                    <m:sub>
                      <m:r>
                        <m:rPr>
                          <m:nor/>
                          <m:sty m:val="p"/>
                        </m:rPr>
                        <m:t>UTM</m:t>
                      </m:r>
                    </m:sub>
                  </m:sSub>
                </m:num>
                <m:den>
                  <m:r>
                    <m:t>1000</m:t>
                  </m:r>
                </m:den>
              </m:f>
            </m:e>
          </m:d>
          <m:r>
            <m:t>  </m:t>
          </m:r>
          <m:r>
            <m:rPr>
              <m:sty m:val="p"/>
            </m:rPr>
            <m:t>(</m:t>
          </m:r>
          <m:r>
            <m:t>10</m:t>
          </m:r>
          <m:r>
            <m:rPr>
              <m:sty m:val="p"/>
            </m:rPr>
            <m:t>)</m:t>
          </m:r>
        </m:oMath>
      </m:oMathPara>
      <w:bookmarkEnd w:id="31"/>
    </w:p>
    <w:p>
      <w:pPr>
        <w:pStyle w:val="FirstParagraph"/>
      </w:pPr>
      <w:r>
        <w:t xml:space="preserve">Esta estructura permite realizar cruces espaciales (</w:t>
      </w:r>
      <w:r>
        <w:rPr>
          <w:i/>
          <w:iCs/>
        </w:rPr>
        <w:t xml:space="preserve">spatial joins</w:t>
      </w:r>
      <w:r>
        <w:t xml:space="preserve">) con cualquier observación de campo, foco satelital o nodo meteorológico en</w:t>
      </w:r>
      <w:r>
        <w:t xml:space="preserve"> </w:t>
      </w:r>
      <w:r>
        <w:rPr>
          <w:b/>
          <w:bCs/>
        </w:rPr>
        <w:t xml:space="preserve">tiempo constante</w:t>
      </w:r>
      <w:r>
        <w:rPr>
          <w:b/>
          <w:bCs/>
        </w:rPr>
        <w:t xml:space="preserve"> </w:t>
      </w:r>
      <m:oMath>
        <m:r>
          <m:t>O</m:t>
        </m:r>
        <m:r>
          <m:rPr>
            <m:sty m:val="p"/>
          </m:rPr>
          <m:t>(</m:t>
        </m:r>
        <m:r>
          <m:t>1</m:t>
        </m:r>
        <m:r>
          <m:rPr>
            <m:sty m:val="p"/>
          </m:rPr>
          <m:t>)</m:t>
        </m:r>
      </m:oMath>
      <w:r>
        <w:t xml:space="preserve"> </w:t>
      </w:r>
      <w:r>
        <w:t xml:space="preserve">mediante indexación relacional directa en memoria, suprimiendo la necesidad de evaluar predicados geométricos poligonales pesados (</w:t>
      </w:r>
      <w:r>
        <w:rPr>
          <w:i/>
          <w:iCs/>
        </w:rPr>
        <w:t xml:space="preserve">Point-in-Polygon</w:t>
      </w:r>
      <w:r>
        <w:t xml:space="preserve">) en tiempo de ejecución.</w:t>
      </w:r>
    </w:p>
    <w:bookmarkEnd w:id="32"/>
    <w:bookmarkStart w:id="33" w:name="X6fa3f7b668d39a495cbf04b464c40940ab76d2c"/>
    <w:p>
      <w:pPr>
        <w:pStyle w:val="Heading2"/>
      </w:pPr>
      <w:r>
        <w:t xml:space="preserve">3.2 3.2 Ingesta Multi-Constelación NASA FIRMS y Corrección Bow-Tie</w:t>
      </w:r>
    </w:p>
    <w:p>
      <w:pPr>
        <w:pStyle w:val="FirstParagraph"/>
      </w:pPr>
      <w:r>
        <w:t xml:space="preserve">Las presencias de fuego provienen de la constelación de sensores satelitales VIIRS (375 m) a bordo de las plataformas Suomi-NPP, NOAA-20 y NOAA-21</w:t>
      </w:r>
      <w:r>
        <w:t xml:space="preserve"> </w:t>
      </w:r>
      <w:r>
        <w:t xml:space="preserve">(Schroeder et al., 2014)</w:t>
      </w:r>
      <w:r>
        <w:t xml:space="preserve">. Para garantizar la integridad de las etiquetas de entrenamiento, aplicamos un protocolo de depuración óptica en dos pasos:</w:t>
      </w:r>
    </w:p>
    <w:p>
      <w:pPr>
        <w:pStyle w:val="Compact"/>
        <w:numPr>
          <w:ilvl w:val="0"/>
          <w:numId w:val="1004"/>
        </w:numPr>
      </w:pPr>
      <w:r>
        <w:rPr>
          <w:b/>
          <w:bCs/>
        </w:rPr>
        <w:t xml:space="preserve">Corrección de Distorsión Óptica (</w:t>
      </w:r>
      <w:r>
        <w:rPr>
          <w:b/>
          <w:bCs/>
          <w:i/>
          <w:iCs/>
        </w:rPr>
        <w:t xml:space="preserve">Bow-Tie Effect</w:t>
      </w:r>
      <w:r>
        <w:rPr>
          <w:b/>
          <w:bCs/>
        </w:rPr>
        <w:t xml:space="preserve">):</w:t>
      </w:r>
      <w:r>
        <w:t xml:space="preserve"> </w:t>
      </w:r>
      <w:r>
        <w:t xml:space="preserve">Los píxeles ubicados hacia los extremos del barrido del sensor sufren una elongación geométrica transversal que distorsiona la localización del píxel hasta triplicar su tamaño real. Filtramos estrictamente todas las detecciones con un tamaño de barrido</w:t>
      </w:r>
      <w:r>
        <w:t xml:space="preserve"> </w:t>
      </w:r>
      <m:oMath>
        <m:r>
          <m:rPr>
            <m:nor/>
            <m:sty m:val="p"/>
          </m:rPr>
          <m:t>scan</m:t>
        </m:r>
        <m:r>
          <m:rPr>
            <m:sty m:val="p"/>
          </m:rPr>
          <m:t>&gt;</m:t>
        </m:r>
        <m:r>
          <m:t>1</m:t>
        </m:r>
        <m:r>
          <m:rPr>
            <m:sty m:val="p"/>
          </m:rPr>
          <m:t>,</m:t>
        </m:r>
        <m:r>
          <m:t>5</m:t>
        </m:r>
        <m:r>
          <m:rPr>
            <m:nor/>
            <m:sty m:val="p"/>
          </m:rPr>
          <m:t> km</m:t>
        </m:r>
      </m:oMath>
      <w:r>
        <w:t xml:space="preserve">, reteniendo únicamente las observaciones de alta fidelidad focal tomadas cerca del nadir del sensor.</w:t>
      </w:r>
    </w:p>
    <w:p>
      <w:pPr>
        <w:pStyle w:val="Compact"/>
        <w:numPr>
          <w:ilvl w:val="0"/>
          <w:numId w:val="1004"/>
        </w:numPr>
      </w:pPr>
      <w:r>
        <w:rPr>
          <w:b/>
          <w:bCs/>
        </w:rPr>
        <w:t xml:space="preserve">Exclusión de Detecciones de Baja Confianza:</w:t>
      </w:r>
      <w:r>
        <w:t xml:space="preserve"> </w:t>
      </w:r>
      <w:r>
        <w:t xml:space="preserve">Se descartan focos etiquetados con nivel de confianza</w:t>
      </w:r>
      <w:r>
        <w:t xml:space="preserve"> </w:t>
      </w:r>
      <w:r>
        <w:rPr>
          <w:i/>
          <w:iCs/>
        </w:rPr>
        <w:t xml:space="preserve">low</w:t>
      </w:r>
      <w:r>
        <w:t xml:space="preserve"> </w:t>
      </w:r>
      <w:r>
        <w:t xml:space="preserve">producidos por reflejos solares o ruido instrumental en bordes de nubes.</w:t>
      </w:r>
    </w:p>
    <w:bookmarkEnd w:id="33"/>
    <w:bookmarkStart w:id="34" w:name="X0d0cbcbe4cd63c4731c2894f39926c78049abd1"/>
    <w:p>
      <w:pPr>
        <w:pStyle w:val="Heading2"/>
      </w:pPr>
      <w:r>
        <w:t xml:space="preserve">3.3 3.3 Reanálisis Meteorológico ERA5-Land y Cobertura MapBiomas</w:t>
      </w:r>
    </w:p>
    <w:p>
      <w:pPr>
        <w:pStyle w:val="Compact"/>
        <w:numPr>
          <w:ilvl w:val="0"/>
          <w:numId w:val="1005"/>
        </w:numPr>
      </w:pPr>
      <w:r>
        <w:rPr>
          <w:b/>
          <w:bCs/>
        </w:rPr>
        <w:t xml:space="preserve">ERA5-Land:</w:t>
      </w:r>
      <w:r>
        <w:t xml:space="preserve"> </w:t>
      </w:r>
      <w:r>
        <w:t xml:space="preserve">Los parámetros meteorológicos horarios se extraen a la resolución nativa de</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mediante la API de archivo histórico abierto de Open-Meteo</w:t>
      </w:r>
      <w:r>
        <w:t xml:space="preserve"> </w:t>
      </w:r>
      <w:r>
        <w:t xml:space="preserve">(Muñoz-Sabater et al., 2021)</w:t>
      </w:r>
      <w:r>
        <w:t xml:space="preserve">. Todo el territorio paraguayo es cubierto de forma exhaustiva con exactamente</w:t>
      </w:r>
      <w:r>
        <w:t xml:space="preserve"> </w:t>
      </w:r>
      <w:r>
        <w:rPr>
          <w:b/>
          <w:bCs/>
        </w:rPr>
        <w:t xml:space="preserve">640 nodos meteorológicos</w:t>
      </w:r>
      <w:r>
        <w:t xml:space="preserve">. Cada celda de 1 km² se asocia a su nodo meteorológico más cercano mediante un árbol k-dimensional (</w:t>
      </w:r>
      <w:r>
        <w:rPr>
          <w:i/>
          <w:iCs/>
        </w:rPr>
        <w:t xml:space="preserve">cKDTree</w:t>
      </w:r>
      <w:r>
        <w:t xml:space="preserve">) precomputado una sola vez.</w:t>
      </w:r>
    </w:p>
    <w:p>
      <w:pPr>
        <w:pStyle w:val="Compact"/>
        <w:numPr>
          <w:ilvl w:val="0"/>
          <w:numId w:val="1005"/>
        </w:numPr>
      </w:pPr>
      <w:r>
        <w:rPr>
          <w:b/>
          <w:bCs/>
        </w:rPr>
        <w:t xml:space="preserve">MapBiomas Chaco y Bosque Atlántico (30 m):</w:t>
      </w:r>
      <w:r>
        <w:t xml:space="preserve"> </w:t>
      </w:r>
      <w:r>
        <w:t xml:space="preserve">Las clasificaciones de uso de suelo de MapBiomas (Colección 4)</w:t>
      </w:r>
      <w:r>
        <w:t xml:space="preserve"> </w:t>
      </w:r>
      <w:r>
        <w:t xml:space="preserve">(MapBiomas Chaco, 2023)</w:t>
      </w:r>
      <w:r>
        <w:t xml:space="preserve"> </w:t>
      </w:r>
      <w:r>
        <w:t xml:space="preserve">se agregan a la grilla de 1 km², calculando las fracciones de cobertura para cinco clases dominantes: pastura cultivada, sabana/pastizal natural, bosque seco xerofítico, bosque húmedo estratificado y humedales/palmares.</w:t>
      </w:r>
    </w:p>
    <w:bookmarkEnd w:id="34"/>
    <w:bookmarkStart w:id="36" w:name="X55129feaf373f5593e21a1a844daf67e748b6c4"/>
    <w:p>
      <w:pPr>
        <w:pStyle w:val="Heading2"/>
      </w:pPr>
      <w:r>
        <w:t xml:space="preserve">3.4 3.4 Flujo Analítico</w:t>
      </w:r>
      <w:r>
        <w:t xml:space="preserve"> </w:t>
      </w:r>
      <w:r>
        <w:rPr>
          <w:i/>
          <w:iCs/>
        </w:rPr>
        <w:t xml:space="preserve">Zero-Copy</w:t>
      </w:r>
      <w:r>
        <w:t xml:space="preserve"> </w:t>
      </w:r>
      <w:r>
        <w:t xml:space="preserve">en DuckDB y Polars</w:t>
      </w:r>
    </w:p>
    <w:p>
      <w:pPr>
        <w:pStyle w:val="FirstParagraph"/>
      </w:pPr>
      <w:r>
        <w:t xml:space="preserve">Para procesar la serie multianual sin desbordamiento de memoria RAM en hardware estándar, implementamos el pipeline mediante</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ensamble relacional se realiza mediante</w:t>
      </w:r>
      <w:r>
        <w:t xml:space="preserve"> </w:t>
      </w:r>
      <w:r>
        <w:rPr>
          <w:i/>
          <w:iCs/>
        </w:rPr>
        <w:t xml:space="preserve">streaming out-of-core</w:t>
      </w:r>
      <w:r>
        <w:t xml:space="preserve"> </w:t>
      </w:r>
      <w:r>
        <w:t xml:space="preserve">en bloques de memoria columnar Apache Arrow, evitando copias redundantes en memoria intermedia (</w:t>
      </w:r>
      <w:r>
        <w:rPr>
          <w:i/>
          <w:iCs/>
        </w:rPr>
        <w:t xml:space="preserve">zero-copy architecture</w:t>
      </w:r>
      <w:r>
        <w:t xml:space="preserve">). Como se detalla en la</w:t>
      </w:r>
      <w:r>
        <w:t xml:space="preserve"> </w:t>
      </w:r>
      <w:hyperlink w:anchor="tbl-pipeline">
        <w:r>
          <w:rPr>
            <w:rStyle w:val="Hyperlink"/>
          </w:rPr>
          <w:t xml:space="preserve">Tabla 1</w:t>
        </w:r>
      </w:hyperlink>
      <w:r>
        <w:t xml:space="preserve">, el almacenamiento en disco se optimiza mediante compresión Zstandard (ZSTD nivel 7).</w:t>
      </w:r>
    </w:p>
    <w:tbl>
      <w:tblPr>
        <w:tblStyle w:val="Table"/>
        <w:tblW w:type="pct" w:w="5000"/>
        <w:tblLayout w:type="fixed"/>
        <w:tblLook w:firstRow="0" w:lastRow="0" w:firstColumn="0" w:lastColumn="0" w:noHBand="0" w:noVBand="0" w:val="0000"/>
      </w:tblPr>
      <w:tblGrid>
        <w:gridCol w:w="7920"/>
      </w:tblGrid>
      <w:tr>
        <w:tc>
          <w:tcPr/>
          <w:bookmarkStart w:id="35" w:name="tbl-pipeline"/>
          <w:p>
            <w:pPr>
              <w:jc w:val="center"/>
            </w:pPr>
            <w:pPr>
              <w:jc w:val="left"/>
              <w:spacing w:before="200"/>
              <w:pStyle w:val="ImageCaption"/>
            </w:pPr>
            <w:r>
              <w:t xml:space="preserve">Tabla 1: Especificaciones de ingeniería de datos y tamaño en disco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Capa de Datos</w:t>
                  </w:r>
                </w:p>
              </w:tc>
              <w:tc>
                <w:tcPr/>
                <w:p>
                  <w:pPr>
                    <w:pStyle w:val="Compact"/>
                    <w:jc w:val="left"/>
                    <w:jc w:val="center"/>
                  </w:pPr>
                  <w:r>
                    <w:t xml:space="preserve">Formato de Archivo</w:t>
                  </w:r>
                </w:p>
              </w:tc>
              <w:tc>
                <w:tcPr/>
                <w:p>
                  <w:pPr>
                    <w:pStyle w:val="Compact"/>
                    <w:jc w:val="center"/>
                    <w:jc w:val="center"/>
                  </w:pPr>
                  <w:r>
                    <w:t xml:space="preserve">Registros</w:t>
                  </w:r>
                </w:p>
              </w:tc>
              <w:tc>
                <w:tcPr/>
                <w:p>
                  <w:pPr>
                    <w:pStyle w:val="Compact"/>
                    <w:jc w:val="center"/>
                    <w:jc w:val="center"/>
                  </w:pPr>
                  <w:r>
                    <w:t xml:space="preserve">Tamaño en Disco</w:t>
                  </w:r>
                </w:p>
              </w:tc>
              <w:tc>
                <w:tcPr/>
                <w:p>
                  <w:pPr>
                    <w:pStyle w:val="Compact"/>
                    <w:jc w:val="center"/>
                    <w:jc w:val="center"/>
                  </w:pPr>
                  <w:r>
                    <w:t xml:space="preserve">Latencia de Carga</w:t>
                  </w:r>
                </w:p>
              </w:tc>
            </w:tr>
            <w:tr>
              <w:tc>
                <w:tcPr/>
                <w:p>
                  <w:pPr>
                    <w:pStyle w:val="Compact"/>
                    <w:jc w:val="left"/>
                    <w:jc w:val="center"/>
                  </w:pPr>
                  <w:r>
                    <w:t xml:space="preserve">Grilla Nacional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2</m:t>
                    </m:r>
                    <m:r>
                      <m:rPr>
                        <m:sty m:val="p"/>
                      </m:rPr>
                      <m:t>,</m:t>
                    </m:r>
                    <m:r>
                      <m:t>7</m:t>
                    </m:r>
                    <m:r>
                      <m:rPr>
                        <m:nor/>
                        <m:sty m:val="p"/>
                      </m:rPr>
                      <m:t> MB</m:t>
                    </m:r>
                  </m:oMath>
                  <w:r>
                    <w:t xml:space="preserve">​</w:t>
                  </w:r>
                </w:p>
              </w:tc>
              <w:tc>
                <w:tcPr/>
                <w:p>
                  <w:pPr>
                    <w:pStyle w:val="Compact"/>
                    <w:jc w:val="center"/>
                    <w:jc w:val="center"/>
                  </w:pPr>
                  <m:oMath>
                    <m:r>
                      <m:t>18</m:t>
                    </m:r>
                    <m:r>
                      <m:rPr>
                        <m:nor/>
                        <m:sty m:val="p"/>
                      </m:rPr>
                      <m:t> ms</m:t>
                    </m:r>
                  </m:oMath>
                  <w:r>
                    <w:t xml:space="preserve">​</w:t>
                  </w:r>
                </w:p>
              </w:tc>
            </w:tr>
            <w:tr>
              <w:tc>
                <w:tcPr/>
                <w:p>
                  <w:pPr>
                    <w:pStyle w:val="Compact"/>
                    <w:jc w:val="left"/>
                    <w:jc w:val="center"/>
                  </w:pPr>
                  <w:r>
                    <w:t xml:space="preserve">Cobertura MapBiomas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4</m:t>
                    </m:r>
                    <m:r>
                      <m:rPr>
                        <m:sty m:val="p"/>
                      </m:rPr>
                      <m:t>,</m:t>
                    </m:r>
                    <m:r>
                      <m:t>7</m:t>
                    </m:r>
                    <m:r>
                      <m:rPr>
                        <m:nor/>
                        <m:sty m:val="p"/>
                      </m:rPr>
                      <m:t> MB</m:t>
                    </m:r>
                  </m:oMath>
                  <w:r>
                    <w:t xml:space="preserve">​</w:t>
                  </w:r>
                </w:p>
              </w:tc>
              <w:tc>
                <w:tcPr/>
                <w:p>
                  <w:pPr>
                    <w:pStyle w:val="Compact"/>
                    <w:jc w:val="center"/>
                    <w:jc w:val="center"/>
                  </w:pPr>
                  <m:oMath>
                    <m:r>
                      <m:t>22</m:t>
                    </m:r>
                    <m:r>
                      <m:rPr>
                        <m:nor/>
                        <m:sty m:val="p"/>
                      </m:rPr>
                      <m:t> ms</m:t>
                    </m:r>
                  </m:oMath>
                  <w:r>
                    <w:t xml:space="preserve">​</w:t>
                  </w:r>
                </w:p>
              </w:tc>
            </w:tr>
            <w:tr>
              <w:tc>
                <w:tcPr/>
                <w:p>
                  <w:pPr>
                    <w:pStyle w:val="Compact"/>
                    <w:jc w:val="left"/>
                    <w:jc w:val="center"/>
                  </w:pPr>
                  <w:r>
                    <w:t xml:space="preserve">Reanálisis ERA5-Land (10 Años)</w:t>
                  </w:r>
                </w:p>
              </w:tc>
              <w:tc>
                <w:tcPr/>
                <w:p>
                  <w:pPr>
                    <w:pStyle w:val="Compact"/>
                    <w:jc w:val="left"/>
                    <w:jc w:val="center"/>
                  </w:pPr>
                  <w:r>
                    <w:t xml:space="preserve">Columnar Parquet (ZSTD)</w:t>
                  </w:r>
                </w:p>
              </w:tc>
              <w:tc>
                <w:tcPr/>
                <w:p>
                  <w:pPr>
                    <w:pStyle w:val="Compact"/>
                    <w:jc w:val="center"/>
                    <w:jc w:val="center"/>
                  </w:pPr>
                  <m:oMath>
                    <m:r>
                      <m:t>2.337</m:t>
                    </m:r>
                    <m:r>
                      <m:t>.280</m:t>
                    </m:r>
                  </m:oMath>
                  <w:r>
                    <w:t xml:space="preserve">​</w:t>
                  </w:r>
                </w:p>
              </w:tc>
              <w:tc>
                <w:tcPr/>
                <w:p>
                  <w:pPr>
                    <w:pStyle w:val="Compact"/>
                    <w:jc w:val="center"/>
                    <w:jc w:val="center"/>
                  </w:pPr>
                  <m:oMath>
                    <m:r>
                      <m:t>54</m:t>
                    </m:r>
                    <m:r>
                      <m:rPr>
                        <m:sty m:val="p"/>
                      </m:rPr>
                      <m:t>,</m:t>
                    </m:r>
                    <m:r>
                      <m:t>2</m:t>
                    </m:r>
                    <m:r>
                      <m:rPr>
                        <m:nor/>
                        <m:sty m:val="p"/>
                      </m:rPr>
                      <m:t> MB</m:t>
                    </m:r>
                  </m:oMath>
                  <w:r>
                    <w:t xml:space="preserve">​</w:t>
                  </w:r>
                </w:p>
              </w:tc>
              <w:tc>
                <w:tcPr/>
                <w:p>
                  <w:pPr>
                    <w:pStyle w:val="Compact"/>
                    <w:jc w:val="center"/>
                    <w:jc w:val="center"/>
                  </w:pPr>
                  <m:oMath>
                    <m:r>
                      <m:t>45</m:t>
                    </m:r>
                    <m:r>
                      <m:rPr>
                        <m:nor/>
                        <m:sty m:val="p"/>
                      </m:rPr>
                      <m:t> ms</m:t>
                    </m:r>
                  </m:oMath>
                  <w:r>
                    <w:t xml:space="preserve">​</w:t>
                  </w:r>
                </w:p>
              </w:tc>
            </w:tr>
            <w:tr>
              <w:tc>
                <w:tcPr/>
                <w:p>
                  <w:pPr>
                    <w:pStyle w:val="Compact"/>
                    <w:jc w:val="left"/>
                    <w:jc w:val="center"/>
                  </w:pPr>
                  <w:r>
                    <w:t xml:space="preserve">Focos Satelitales VIIRS (10 Años)</w:t>
                  </w:r>
                </w:p>
              </w:tc>
              <w:tc>
                <w:tcPr/>
                <w:p>
                  <w:pPr>
                    <w:pStyle w:val="Compact"/>
                    <w:jc w:val="left"/>
                    <w:jc w:val="center"/>
                  </w:pPr>
                  <w:r>
                    <w:t xml:space="preserve">Columnar Parquet (ZSTD)</w:t>
                  </w:r>
                </w:p>
              </w:tc>
              <w:tc>
                <w:tcPr/>
                <w:p>
                  <w:pPr>
                    <w:pStyle w:val="Compact"/>
                    <w:jc w:val="center"/>
                    <w:jc w:val="center"/>
                  </w:pPr>
                  <m:oMath>
                    <m:r>
                      <m:rPr>
                        <m:sty m:val="p"/>
                      </m:rPr>
                      <m:t>∼</m:t>
                    </m:r>
                    <m:r>
                      <m:t>650.000</m:t>
                    </m:r>
                  </m:oMath>
                  <w:r>
                    <w:t xml:space="preserve">​</w:t>
                  </w:r>
                </w:p>
              </w:tc>
              <w:tc>
                <w:tcPr/>
                <w:p>
                  <w:pPr>
                    <w:pStyle w:val="Compact"/>
                    <w:jc w:val="center"/>
                    <w:jc w:val="center"/>
                  </w:pPr>
                  <m:oMath>
                    <m:r>
                      <m:t>18</m:t>
                    </m:r>
                    <m:r>
                      <m:rPr>
                        <m:sty m:val="p"/>
                      </m:rPr>
                      <m:t>,</m:t>
                    </m:r>
                    <m:r>
                      <m:t>5</m:t>
                    </m:r>
                    <m:r>
                      <m:rPr>
                        <m:nor/>
                        <m:sty m:val="p"/>
                      </m:rPr>
                      <m:t> MB</m:t>
                    </m:r>
                  </m:oMath>
                  <w:r>
                    <w:t xml:space="preserve">​</w:t>
                  </w:r>
                </w:p>
              </w:tc>
              <w:tc>
                <w:tcPr/>
                <w:p>
                  <w:pPr>
                    <w:pStyle w:val="Compact"/>
                    <w:jc w:val="center"/>
                    <w:jc w:val="center"/>
                  </w:pPr>
                  <m:oMath>
                    <m:r>
                      <m:t>15</m:t>
                    </m:r>
                    <m:r>
                      <m:rPr>
                        <m:nor/>
                        <m:sty m:val="p"/>
                      </m:rPr>
                      <m:t> ms</m:t>
                    </m:r>
                  </m:oMath>
                  <w:r>
                    <w:t xml:space="preserve">​</w:t>
                  </w:r>
                </w:p>
              </w:tc>
            </w:tr>
            <w:tr>
              <w:tc>
                <w:tcPr/>
                <w:p>
                  <w:pPr>
                    <w:pStyle w:val="Compact"/>
                    <w:jc w:val="left"/>
                    <w:jc w:val="center"/>
                  </w:pPr>
                  <w:r>
                    <w:rPr>
                      <w:b/>
                      <w:bCs/>
                    </w:rPr>
                    <w:t xml:space="preserve">Total Sistema Consolidado</w:t>
                  </w:r>
                </w:p>
              </w:tc>
              <w:tc>
                <w:tcPr/>
                <w:p>
                  <w:pPr>
                    <w:pStyle w:val="Compact"/>
                    <w:jc w:val="left"/>
                    <w:jc w:val="center"/>
                  </w:pPr>
                  <w:r>
                    <w:rPr>
                      <w:b/>
                      <w:bCs/>
                    </w:rPr>
                    <w:t xml:space="preserve">Parquet ZSTD</w:t>
                  </w:r>
                </w:p>
              </w:tc>
              <w:tc>
                <w:tcPr/>
                <w:p>
                  <w:pPr>
                    <w:pStyle w:val="Compact"/>
                    <w:jc w:val="center"/>
                    <w:jc w:val="center"/>
                  </w:pPr>
                  <w:r>
                    <w:rPr>
                      <w:b/>
                      <w:bCs/>
                    </w:rPr>
                    <w:t xml:space="preserve">—</w:t>
                  </w:r>
                </w:p>
              </w:tc>
              <w:tc>
                <w:tcPr/>
                <w:p>
                  <w:pPr>
                    <w:pStyle w:val="Compact"/>
                    <w:jc w:val="center"/>
                    <w:jc w:val="center"/>
                  </w:pPr>
                  <m:oMath>
                    <m:r>
                      <m:rPr>
                        <m:sty m:val="p"/>
                      </m:rPr>
                      <m:t>&lt;</m:t>
                    </m:r>
                    <m:r>
                      <m:t>350</m:t>
                    </m:r>
                    <m:r>
                      <m:rPr>
                        <m:nor/>
                        <m:sty m:val="p"/>
                      </m:rPr>
                      <m:t> MB</m:t>
                    </m:r>
                  </m:oMath>
                </w:p>
              </w:tc>
              <w:tc>
                <w:tcPr/>
                <w:p>
                  <w:pPr>
                    <w:pStyle w:val="Compact"/>
                    <w:jc w:val="center"/>
                    <w:jc w:val="center"/>
                  </w:pPr>
                  <m:oMath>
                    <m:r>
                      <m:rPr>
                        <m:sty m:val="p"/>
                      </m:rPr>
                      <m:t>&lt;</m:t>
                    </m:r>
                    <m:r>
                      <m:t>150</m:t>
                    </m:r>
                    <m:r>
                      <m:rPr>
                        <m:nor/>
                        <m:sty m:val="p"/>
                      </m:rPr>
                      <m:t> ms</m:t>
                    </m:r>
                  </m:oMath>
                </w:p>
              </w:tc>
            </w:tr>
          </w:tbl>
          <w:bookmarkEnd w:id="35"/>
          <w:p/>
        </w:tc>
      </w:tr>
    </w:tbl>
    <w:p>
      <w:r>
        <w:pict>
          <v:rect style="width:0;height:1.5pt" o:hralign="center" o:hrstd="t" o:hr="t"/>
        </w:pict>
      </w:r>
    </w:p>
    <w:bookmarkEnd w:id="36"/>
    <w:bookmarkEnd w:id="37"/>
    <w:bookmarkStart w:id="42" w:name="X5c2edce0d25de16bceded4e02fc5d5e8cb28461"/>
    <w:p>
      <w:pPr>
        <w:pStyle w:val="Heading1"/>
      </w:pPr>
      <w:r>
        <w:t xml:space="preserve">4. 4. Protocolo Experimental Decenal y Benchmarking Internacional</w:t>
      </w:r>
    </w:p>
    <w:bookmarkStart w:id="38" w:name="diseño-temporal-out-of-time-20152025"/>
    <w:p>
      <w:pPr>
        <w:pStyle w:val="Heading2"/>
      </w:pPr>
      <w:r>
        <w:t xml:space="preserve">4.1 4.1 Diseño Temporal</w:t>
      </w:r>
      <w:r>
        <w:t xml:space="preserve"> </w:t>
      </w:r>
      <w:r>
        <w:rPr>
          <w:i/>
          <w:iCs/>
        </w:rPr>
        <w:t xml:space="preserve">Out-of-Time</w:t>
      </w:r>
      <w:r>
        <w:t xml:space="preserve"> </w:t>
      </w:r>
      <w:r>
        <w:t xml:space="preserve">(2015–2025)</w:t>
      </w:r>
    </w:p>
    <w:p>
      <w:pPr>
        <w:pStyle w:val="FirstParagraph"/>
      </w:pPr>
      <w:r>
        <w:t xml:space="preserve">Para simular de manera fidedigna la operatividad en el mundo real y blindar el estudio contra el sobreajuste a eventos climáticos particulares, establecemos una partición temporal cronológica estricta:</w:t>
      </w:r>
    </w:p>
    <w:p>
      <w:pPr>
        <w:pStyle w:val="Compact"/>
        <w:numPr>
          <w:ilvl w:val="0"/>
          <w:numId w:val="1006"/>
        </w:numPr>
      </w:pPr>
      <w:r>
        <w:rPr>
          <w:b/>
          <w:bCs/>
        </w:rPr>
        <w:t xml:space="preserve">Conjunto de Entrenamiento (Train: 2015–2022, ~8 años, ~75 %):</w:t>
      </w:r>
      <w:r>
        <w:br/>
      </w:r>
      <w:r>
        <w:t xml:space="preserve">Abarca la variabilidad interanual completa: el mega-desastre de incendios de 2020 en el Chaco y Pantanal, episodios severos de</w:t>
      </w:r>
      <w:r>
        <w:t xml:space="preserve"> </w:t>
      </w:r>
      <w:r>
        <w:rPr>
          <w:i/>
          <w:iCs/>
        </w:rPr>
        <w:t xml:space="preserve">La Niña</w:t>
      </w:r>
      <w:r>
        <w:t xml:space="preserve"> </w:t>
      </w:r>
      <w:r>
        <w:t xml:space="preserve">con sequía prolongada (2021), inviernos con heladas polares desecantes y veranos húmedos con tormentas.</w:t>
      </w:r>
    </w:p>
    <w:p>
      <w:pPr>
        <w:pStyle w:val="Compact"/>
        <w:numPr>
          <w:ilvl w:val="0"/>
          <w:numId w:val="1006"/>
        </w:numPr>
      </w:pPr>
      <w:r>
        <w:rPr>
          <w:b/>
          <w:bCs/>
        </w:rPr>
        <w:t xml:space="preserve">Conjunto de Validación (Val: 2023, 1 año completo, ~12,5 %):</w:t>
      </w:r>
      <w:r>
        <w:br/>
      </w:r>
      <w:r>
        <w:t xml:space="preserve">Utilizado para el ajuste de hiperparámetros de LightGBM, activación de</w:t>
      </w:r>
      <w:r>
        <w:t xml:space="preserve"> </w:t>
      </w:r>
      <w:r>
        <w:rPr>
          <w:i/>
          <w:iCs/>
        </w:rPr>
        <w:t xml:space="preserve">early stopping</w:t>
      </w:r>
      <w:r>
        <w:t xml:space="preserve"> </w:t>
      </w:r>
      <w:r>
        <w:t xml:space="preserve">(paciencia de 50 rondas de boosting) y estimación de los coeficientes de calibración monótona de Platt.</w:t>
      </w:r>
    </w:p>
    <w:p>
      <w:pPr>
        <w:pStyle w:val="Compact"/>
        <w:numPr>
          <w:ilvl w:val="0"/>
          <w:numId w:val="1006"/>
        </w:numPr>
      </w:pPr>
      <w:r>
        <w:rPr>
          <w:b/>
          <w:bCs/>
        </w:rPr>
        <w:t xml:space="preserve">Conjunto de Test Ciego (Test Out-of-Time: 2024–2025, 1 a 2 años, ~12,5 %):</w:t>
      </w:r>
      <w:r>
        <w:br/>
      </w:r>
      <w:r>
        <w:t xml:space="preserve">Conjunto estrictamente congelado durante el entrenamiento. Sobre esta ventana se computan todas las métricas de rendimiento y la comparación internacional frente a FWI e INPE.</w:t>
      </w:r>
    </w:p>
    <w:bookmarkEnd w:id="38"/>
    <w:bookmarkStart w:id="39" w:name="X2c1947b6764268a3c41abc7b9d99a82fbfe9759"/>
    <w:p>
      <w:pPr>
        <w:pStyle w:val="Heading2"/>
      </w:pPr>
      <w:r>
        <w:t xml:space="preserve">4.2 4.2 Control Espacial:</w:t>
      </w:r>
      <w:r>
        <w:t xml:space="preserve"> </w:t>
      </w:r>
      <w:r>
        <w:rPr>
          <w:i/>
          <w:iCs/>
        </w:rPr>
        <w:t xml:space="preserve">Dead-Zone Buffer</w:t>
      </w:r>
      <w:r>
        <w:t xml:space="preserve"> </w:t>
      </w:r>
      <w:r>
        <w:t xml:space="preserve">de 20 km</w:t>
      </w:r>
    </w:p>
    <w:p>
      <w:pPr>
        <w:pStyle w:val="FirstParagraph"/>
      </w:pPr>
      <w:r>
        <w:t xml:space="preserve">Dado que la autocorrelación espacial de los incendios forestales puede extenderse a lo largo de decenas de kilómetros debido al transporte advectivo de columnas de humo y frentes de ráfagas, el muestreo aleatorio estándar de ausencias genera falsos negativos contaminados (</w:t>
      </w:r>
      <w:r>
        <w:rPr>
          <w:i/>
          <w:iCs/>
        </w:rPr>
        <w:t xml:space="preserve">leakage</w:t>
      </w:r>
      <w:r>
        <w:t xml:space="preserve"> </w:t>
      </w:r>
      <w:r>
        <w:t xml:space="preserve">por proximidad).</w:t>
      </w:r>
    </w:p>
    <w:p>
      <w:pPr>
        <w:pStyle w:val="BodyText"/>
      </w:pPr>
      <w:r>
        <w:t xml:space="preserve">Siguiendo las recomendaciones de</w:t>
      </w:r>
      <w:r>
        <w:t xml:space="preserve"> </w:t>
      </w:r>
      <w:r>
        <w:t xml:space="preserve">Roberts et al. (2017)</w:t>
      </w:r>
      <w:r>
        <w:t xml:space="preserve"> </w:t>
      </w:r>
      <w:r>
        <w:t xml:space="preserve">y</w:t>
      </w:r>
      <w:r>
        <w:t xml:space="preserve"> </w:t>
      </w:r>
      <w:r>
        <w:t xml:space="preserve">Ploton et al. (2020)</w:t>
      </w:r>
      <w:r>
        <w:t xml:space="preserve">, implementamos una</w:t>
      </w:r>
      <w:r>
        <w:t xml:space="preserve"> </w:t>
      </w:r>
      <w:r>
        <w:rPr>
          <w:b/>
          <w:bCs/>
        </w:rPr>
        <w:t xml:space="preserve">zona muerta de exclusión espacial (</w:t>
      </w:r>
      <w:r>
        <w:rPr>
          <w:b/>
          <w:bCs/>
          <w:i/>
          <w:iCs/>
        </w:rPr>
        <w:t xml:space="preserve">dead-zone buffer</w:t>
      </w:r>
      <w:r>
        <w:rPr>
          <w:b/>
          <w:bCs/>
        </w:rPr>
        <w:t xml:space="preserve">) de 20 km</w:t>
      </w:r>
      <w:r>
        <w:t xml:space="preserve">: para cada fecha</w:t>
      </w:r>
      <w:r>
        <w:t xml:space="preserve"> </w:t>
      </w:r>
      <m:oMath>
        <m:r>
          <m:t>t</m:t>
        </m:r>
      </m:oMath>
      <w:r>
        <w:t xml:space="preserve">, las pseudo-ausencias (</w:t>
      </w:r>
      <m:oMath>
        <m:sSub>
          <m:e>
            <m:r>
              <m:t>Y</m:t>
            </m:r>
          </m:e>
          <m:sub>
            <m:r>
              <m:t>i</m:t>
            </m:r>
            <m:r>
              <m:rPr>
                <m:sty m:val="p"/>
              </m:rPr>
              <m:t>,</m:t>
            </m:r>
            <m:r>
              <m:t>t</m:t>
            </m:r>
          </m:sub>
        </m:sSub>
        <m:r>
          <m:rPr>
            <m:sty m:val="p"/>
          </m:rPr>
          <m:t>=</m:t>
        </m:r>
        <m:r>
          <m:t>0</m:t>
        </m:r>
      </m:oMath>
      <w:r>
        <w:t xml:space="preserve">) se muestrean exclusivamente entre aquellas celdas con combustible que distan más de</w:t>
      </w:r>
      <w:r>
        <w:t xml:space="preserve"> </w:t>
      </w:r>
      <m:oMath>
        <m:r>
          <m:t>20</m:t>
        </m:r>
        <m:r>
          <m:rPr>
            <m:nor/>
            <m:sty m:val="p"/>
          </m:rPr>
          <m:t> km</m:t>
        </m:r>
      </m:oMath>
      <w:r>
        <w:t xml:space="preserve"> </w:t>
      </w:r>
      <w:r>
        <w:t xml:space="preserve">de cualquier detección térmica activa observada en esa misma fecha. El ratio de muestreo se fija en 10:1 (diez ausencias controladas por cada presencia confirmada).</w:t>
      </w:r>
    </w:p>
    <w:bookmarkEnd w:id="39"/>
    <w:bookmarkStart w:id="40" w:name="modelos-contendientes-de-benchmarking"/>
    <w:p>
      <w:pPr>
        <w:pStyle w:val="Heading2"/>
      </w:pPr>
      <w:r>
        <w:t xml:space="preserve">4.3 4.3 Modelos Contendientes de Benchmarking</w:t>
      </w:r>
    </w:p>
    <w:p>
      <w:pPr>
        <w:pStyle w:val="FirstParagraph"/>
      </w:pPr>
      <w:r>
        <w:t xml:space="preserve">Evaluamos a</w:t>
      </w:r>
      <w:r>
        <w:t xml:space="preserve"> </w:t>
      </w:r>
      <w:r>
        <w:rPr>
          <w:rStyle w:val="VerbatimChar"/>
        </w:rPr>
        <w:t xml:space="preserve">Incendios_PY</w:t>
      </w:r>
      <w:r>
        <w:t xml:space="preserve"> </w:t>
      </w:r>
      <w:r>
        <w:t xml:space="preserve">en competencia directa contra tres sistemas alternativos sobre el conjunto ciego de prueba:</w:t>
      </w:r>
    </w:p>
    <w:p>
      <w:pPr>
        <w:pStyle w:val="Compact"/>
        <w:numPr>
          <w:ilvl w:val="0"/>
          <w:numId w:val="1007"/>
        </w:numPr>
      </w:pPr>
      <w:r>
        <w:rPr>
          <w:b/>
          <w:bCs/>
        </w:rPr>
        <w:t xml:space="preserve">Canadian Forest Fire Weather Index (FWI Puro):</w:t>
      </w:r>
      <w:r>
        <w:t xml:space="preserve"> </w:t>
      </w:r>
      <w:r>
        <w:t xml:space="preserve">Calculado conforme a la formulación canónica de Van Wagner</w:t>
      </w:r>
      <w:r>
        <w:t xml:space="preserve"> </w:t>
      </w:r>
      <w:r>
        <w:t xml:space="preserve">(1987)</w:t>
      </w:r>
      <w:r>
        <w:t xml:space="preserve">, utilizando las variables meteorológicas de mediodía solar de ERA5-Land.</w:t>
      </w:r>
    </w:p>
    <w:p>
      <w:pPr>
        <w:pStyle w:val="Compact"/>
        <w:numPr>
          <w:ilvl w:val="0"/>
          <w:numId w:val="1007"/>
        </w:numPr>
      </w:pPr>
      <w:r>
        <w:rPr>
          <w:b/>
          <w:bCs/>
        </w:rPr>
        <w:t xml:space="preserve">INPE Risco de Fogo (Setzer et al.):</w:t>
      </w:r>
      <w:r>
        <w:t xml:space="preserve"> </w:t>
      </w:r>
      <w:r>
        <w:t xml:space="preserve">Implementación algorítmica del modelo operativo del INPE</w:t>
      </w:r>
      <w:r>
        <w:t xml:space="preserve"> </w:t>
      </w:r>
      <w:r>
        <w:t xml:space="preserve">(2019)</w:t>
      </w:r>
      <w:r>
        <w:t xml:space="preserve">, basado en días secos acumulados (</w:t>
      </w:r>
      <m:oMath>
        <m:r>
          <m:t>C</m:t>
        </m:r>
        <m:r>
          <m:t>D</m:t>
        </m:r>
        <m:r>
          <m:t>D</m:t>
        </m:r>
      </m:oMath>
      <w:r>
        <w:t xml:space="preserve">), humedad relativa mínima y clases de vegetación.</w:t>
      </w:r>
    </w:p>
    <w:p>
      <w:pPr>
        <w:pStyle w:val="Compact"/>
        <w:numPr>
          <w:ilvl w:val="0"/>
          <w:numId w:val="1007"/>
        </w:numPr>
      </w:pPr>
      <w:r>
        <w:rPr>
          <w:b/>
          <w:bCs/>
        </w:rPr>
        <w:t xml:space="preserve">Línea Base Climatológica Nula:</w:t>
      </w:r>
      <w:r>
        <w:t xml:space="preserve"> </w:t>
      </w:r>
      <w:r>
        <w:t xml:space="preserve">Probabilidad marginal constante derivada de la frecuencia histórica de fuego en cada ecorregión (</w:t>
      </w:r>
      <m:oMath>
        <m:sSub>
          <m:e>
            <m:r>
              <m:t>P</m:t>
            </m:r>
          </m:e>
          <m:sub>
            <m:r>
              <m:rPr>
                <m:nor/>
                <m:sty m:val="p"/>
              </m:rPr>
              <m:t>base</m:t>
            </m:r>
          </m:sub>
        </m:sSub>
        <m:r>
          <m:rPr>
            <m:sty m:val="p"/>
          </m:rPr>
          <m:t>=</m:t>
        </m:r>
        <m:sSub>
          <m:e>
            <m:acc>
              <m:accPr>
                <m:chr m:val="‾"/>
              </m:accPr>
              <m:e>
                <m:r>
                  <m:t>Y</m:t>
                </m:r>
              </m:e>
            </m:acc>
          </m:e>
          <m:sub>
            <m:r>
              <m:rPr>
                <m:nor/>
                <m:sty m:val="p"/>
              </m:rPr>
              <m:t>train</m:t>
            </m:r>
          </m:sub>
        </m:sSub>
      </m:oMath>
      <w:r>
        <w:t xml:space="preserve">).</w:t>
      </w:r>
    </w:p>
    <w:bookmarkEnd w:id="40"/>
    <w:bookmarkStart w:id="41" w:name="métricas-para-eventos-raros"/>
    <w:p>
      <w:pPr>
        <w:pStyle w:val="Heading2"/>
      </w:pPr>
      <w:r>
        <w:t xml:space="preserve">4.4 4.4 Métricas para Eventos Raros</w:t>
      </w:r>
    </w:p>
    <w:p>
      <w:pPr>
        <w:pStyle w:val="FirstParagraph"/>
      </w:pPr>
      <w:r>
        <w:t xml:space="preserve">Dada la prevalencia desbalanceada del fuego en el paisaje (</w:t>
      </w:r>
      <m:oMath>
        <m:r>
          <m:rPr>
            <m:sty m:val="p"/>
          </m:rPr>
          <m:t>&lt;</m:t>
        </m:r>
        <m:r>
          <m:t>5</m:t>
        </m:r>
        <m:r>
          <m:rPr>
            <m:nor/>
            <m:sty m:val="p"/>
          </m:rPr>
          <m:t> %</m:t>
        </m:r>
      </m:oMath>
      <w:r>
        <w:t xml:space="preserve">), la Exactitud Global (</w:t>
      </w:r>
      <w:r>
        <w:rPr>
          <w:i/>
          <w:iCs/>
        </w:rPr>
        <w:t xml:space="preserve">Accuracy</w:t>
      </w:r>
      <w:r>
        <w:t xml:space="preserve">) carece de significado estadístico. Por ello, reportamos:</w:t>
      </w:r>
      <w:r>
        <w:t xml:space="preserve"> </w:t>
      </w:r>
      <w:r>
        <w:t xml:space="preserve">-</w:t>
      </w:r>
      <w:r>
        <w:t xml:space="preserve"> </w:t>
      </w:r>
      <w:r>
        <w:rPr>
          <w:b/>
          <w:bCs/>
        </w:rPr>
        <w:t xml:space="preserve">Área bajo la Curva ROC (ROC-AUC):</w:t>
      </w:r>
      <w:r>
        <w:t xml:space="preserve"> </w:t>
      </w:r>
      <w:r>
        <w:t xml:space="preserve">Capacidad del modelo para ordenar el riesgo relativo en todo el espectro de corte.</w:t>
      </w:r>
      <w:r>
        <w:t xml:space="preserve"> </w:t>
      </w:r>
      <w:r>
        <w:t xml:space="preserve">-</w:t>
      </w:r>
      <w:r>
        <w:t xml:space="preserve"> </w:t>
      </w:r>
      <w:r>
        <w:rPr>
          <w:b/>
          <w:bCs/>
        </w:rPr>
        <w:t xml:space="preserve">Área bajo la Curva Precision-Recall (PR-AUC):</w:t>
      </w:r>
      <w:r>
        <w:t xml:space="preserve"> </w:t>
      </w:r>
      <w:r>
        <w:t xml:space="preserve">Métrica de oro para clasificación con clases altamente desbalanceadas, sensible a la tasa de falsos positivos en la cola extrema de alerta.</w:t>
      </w:r>
      <w:r>
        <w:t xml:space="preserve"> </w:t>
      </w:r>
      <w:r>
        <w:t xml:space="preserve">-</w:t>
      </w:r>
      <w:r>
        <w:t xml:space="preserve"> </w:t>
      </w:r>
      <w:r>
        <w:rPr>
          <w:b/>
          <w:bCs/>
        </w:rPr>
        <w:t xml:space="preserve">Brier Score Calibrado:</w:t>
      </w:r>
      <w:r>
        <w:t xml:space="preserve"> </w:t>
      </w:r>
      <w:r>
        <w:t xml:space="preserve">Medida de concordancia entre la probabilidad predicha y la ocurrencia empírica del evento (</w:t>
      </w:r>
      <m:oMath>
        <m:r>
          <m:t>B</m:t>
        </m:r>
        <m:r>
          <m:t>S</m:t>
        </m:r>
        <m:r>
          <m:rPr>
            <m:sty m:val="p"/>
          </m:rPr>
          <m:t>=</m:t>
        </m:r>
        <m:f>
          <m:fPr>
            <m:type m:val="bar"/>
          </m:fPr>
          <m:num>
            <m:r>
              <m:t>1</m:t>
            </m:r>
          </m:num>
          <m:den>
            <m:r>
              <m:t>M</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w:t>
      </w:r>
    </w:p>
    <w:p>
      <w:r>
        <w:pict>
          <v:rect style="width:0;height:1.5pt" o:hralign="center" o:hrstd="t" o:hr="t"/>
        </w:pict>
      </w:r>
    </w:p>
    <w:bookmarkEnd w:id="41"/>
    <w:bookmarkEnd w:id="42"/>
    <w:bookmarkStart w:id="51" w:name="X20f4958fcedc9bafa13e2cf47911c5a9e13d390"/>
    <w:p>
      <w:pPr>
        <w:pStyle w:val="Heading1"/>
      </w:pPr>
      <w:r>
        <w:t xml:space="preserve">5. 5. Resultados Empíricos y Explicabilidad Biofísica</w:t>
      </w:r>
    </w:p>
    <w:bookmarkStart w:id="44" w:name="Xbd6a8131db356ecb5a9ff2c69ed0cd9d67b4794"/>
    <w:p>
      <w:pPr>
        <w:pStyle w:val="Heading2"/>
      </w:pPr>
      <w:r>
        <w:t xml:space="preserve">5.1 5.1 Desempeño Discriminante en Prueba Ciega</w:t>
      </w:r>
      <w:r>
        <w:t xml:space="preserve"> </w:t>
      </w:r>
      <w:r>
        <w:rPr>
          <w:i/>
          <w:iCs/>
        </w:rPr>
        <w:t xml:space="preserve">Out-of-Time</w:t>
      </w:r>
    </w:p>
    <w:p>
      <w:pPr>
        <w:pStyle w:val="FirstParagraph"/>
      </w:pPr>
      <w:r>
        <w:t xml:space="preserve">La</w:t>
      </w:r>
      <w:r>
        <w:t xml:space="preserve"> </w:t>
      </w:r>
      <w:hyperlink w:anchor="tbl-metricas">
        <w:r>
          <w:rPr>
            <w:rStyle w:val="Hyperlink"/>
          </w:rPr>
          <w:t xml:space="preserve">Tabla 2</w:t>
        </w:r>
      </w:hyperlink>
      <w:r>
        <w:t xml:space="preserve"> </w:t>
      </w:r>
      <w:r>
        <w:t xml:space="preserve">sintetiza el rendimiento discriminante de las dos capas de</w:t>
      </w:r>
      <w:r>
        <w:t xml:space="preserve"> </w:t>
      </w:r>
      <w:r>
        <w:rPr>
          <w:rStyle w:val="VerbatimChar"/>
        </w:rPr>
        <w:t xml:space="preserve">Incendios_PY</w:t>
      </w:r>
      <w:r>
        <w:t xml:space="preserve"> </w:t>
      </w:r>
      <w:r>
        <w:t xml:space="preserve">en la partición ciega temporal para las dos macro-regiones ecológicas del país (Chaco y Región Oriental).</w:t>
      </w:r>
    </w:p>
    <w:tbl>
      <w:tblPr>
        <w:tblStyle w:val="Table"/>
        <w:tblW w:type="pct" w:w="5000"/>
        <w:tblLayout w:type="fixed"/>
        <w:tblLook w:firstRow="0" w:lastRow="0" w:firstColumn="0" w:lastColumn="0" w:noHBand="0" w:noVBand="0" w:val="0000"/>
      </w:tblPr>
      <w:tblGrid>
        <w:gridCol w:w="7920"/>
      </w:tblGrid>
      <w:tr>
        <w:tc>
          <w:tcPr/>
          <w:bookmarkStart w:id="43" w:name="tbl-metricas"/>
          <w:p>
            <w:pPr>
              <w:jc w:val="center"/>
            </w:pPr>
            <w:pPr>
              <w:jc w:val="left"/>
              <w:spacing w:before="200"/>
              <w:pStyle w:val="ImageCaption"/>
            </w:pPr>
            <w:r>
              <w:t xml:space="preserve">Tabla 2: Métricas de desempeño en el conjunto de prueba ciego out-of-time para la arquitectura dual desacoplada de</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jc w:val="center"/>
                  </w:pPr>
                  <w:r>
                    <w:t xml:space="preserve">Macro-Región</w:t>
                  </w:r>
                </w:p>
              </w:tc>
              <w:tc>
                <w:tcPr/>
                <w:p>
                  <w:pPr>
                    <w:pStyle w:val="Compact"/>
                    <w:jc w:val="left"/>
                    <w:jc w:val="center"/>
                  </w:pPr>
                  <w:r>
                    <w:t xml:space="preserve">Capa del Modelo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Precisión (%)</w:t>
                  </w:r>
                </w:p>
              </w:tc>
              <w:tc>
                <w:tcPr/>
                <w:p>
                  <w:pPr>
                    <w:pStyle w:val="Compact"/>
                    <w:jc w:val="center"/>
                    <w:jc w:val="center"/>
                  </w:pPr>
                  <w:r>
                    <w:t xml:space="preserve">Recall (%)</w:t>
                  </w:r>
                </w:p>
              </w:tc>
              <w:tc>
                <w:tcPr/>
                <w:p>
                  <w:pPr>
                    <w:pStyle w:val="Compact"/>
                    <w:jc w:val="center"/>
                    <w:jc w:val="center"/>
                  </w:pPr>
                  <w:r>
                    <w:t xml:space="preserve">Brier Score</w:t>
                  </w:r>
                </w:p>
              </w:tc>
            </w:tr>
            <w:tr>
              <w:tc>
                <w:tcPr/>
                <w:p>
                  <w:pPr>
                    <w:pStyle w:val="Compact"/>
                    <w:jc w:val="left"/>
                    <w:jc w:val="center"/>
                  </w:pPr>
                  <w:r>
                    <w:rPr>
                      <w:b/>
                      <w:bCs/>
                    </w:rPr>
                    <w:t xml:space="preserve">Región Occidental (Chaco)</w:t>
                  </w:r>
                </w:p>
              </w:tc>
              <w:tc>
                <w:tcPr/>
                <w:p>
                  <w:pPr>
                    <w:pStyle w:val="Compact"/>
                    <w:jc w:val="left"/>
                    <w:jc w:val="center"/>
                  </w:pPr>
                  <w:r>
                    <w:t xml:space="preserve">Ignición Primaria (Física)</w:t>
                  </w:r>
                </w:p>
              </w:tc>
              <w:tc>
                <w:tcPr/>
                <w:p>
                  <w:pPr>
                    <w:pStyle w:val="Compact"/>
                    <w:jc w:val="center"/>
                    <w:jc w:val="center"/>
                  </w:pPr>
                  <m:oMath>
                    <m:r>
                      <m:t>0</m:t>
                    </m:r>
                    <m:r>
                      <m:rPr>
                        <m:sty m:val="p"/>
                      </m:rPr>
                      <m:t>,</m:t>
                    </m:r>
                    <m:r>
                      <m:t>5952</m:t>
                    </m:r>
                  </m:oMath>
                  <w:r>
                    <w:t xml:space="preserve">​</w:t>
                  </w:r>
                </w:p>
              </w:tc>
              <w:tc>
                <w:tcPr/>
                <w:p>
                  <w:pPr>
                    <w:pStyle w:val="Compact"/>
                    <w:jc w:val="center"/>
                    <w:jc w:val="center"/>
                  </w:pPr>
                  <m:oMath>
                    <m:r>
                      <m:t>0</m:t>
                    </m:r>
                    <m:r>
                      <m:rPr>
                        <m:sty m:val="p"/>
                      </m:rPr>
                      <m:t>,</m:t>
                    </m:r>
                    <m:r>
                      <m:t>1290</m:t>
                    </m:r>
                  </m:oMath>
                  <w:r>
                    <w:t xml:space="preserve">​</w:t>
                  </w:r>
                </w:p>
              </w:tc>
              <w:tc>
                <w:tcPr/>
                <w:p>
                  <w:pPr>
                    <w:pStyle w:val="Compact"/>
                    <w:jc w:val="center"/>
                    <w:jc w:val="center"/>
                  </w:pPr>
                  <m:oMath>
                    <m:r>
                      <m:t>15</m:t>
                    </m:r>
                    <m:r>
                      <m:rPr>
                        <m:sty m:val="p"/>
                      </m:rPr>
                      <m:t>,</m:t>
                    </m:r>
                    <m:r>
                      <m:t>2</m:t>
                    </m:r>
                    <m:r>
                      <m:rPr>
                        <m:nor/>
                        <m:sty m:val="p"/>
                      </m:rPr>
                      <m:t> %</m:t>
                    </m:r>
                  </m:oMath>
                  <w:r>
                    <w:t xml:space="preserve">​</w:t>
                  </w:r>
                </w:p>
              </w:tc>
              <w:tc>
                <w:tcPr/>
                <w:p>
                  <w:pPr>
                    <w:pStyle w:val="Compact"/>
                    <w:jc w:val="center"/>
                    <w:jc w:val="center"/>
                  </w:pPr>
                  <m:oMath>
                    <m:r>
                      <m:t>68</m:t>
                    </m:r>
                    <m:r>
                      <m:rPr>
                        <m:sty m:val="p"/>
                      </m:rPr>
                      <m:t>,</m:t>
                    </m:r>
                    <m:r>
                      <m:t>4</m:t>
                    </m:r>
                    <m:r>
                      <m:rPr>
                        <m:nor/>
                        <m:sty m:val="p"/>
                      </m:rPr>
                      <m:t> %</m:t>
                    </m:r>
                  </m:oMath>
                  <w:r>
                    <w:t xml:space="preserve">​</w:t>
                  </w:r>
                </w:p>
              </w:tc>
              <w:tc>
                <w:tcPr/>
                <w:p>
                  <w:pPr>
                    <w:pStyle w:val="Compact"/>
                    <w:jc w:val="center"/>
                    <w:jc w:val="center"/>
                  </w:pPr>
                  <m:oMath>
                    <m:r>
                      <m:t>0</m:t>
                    </m:r>
                    <m:r>
                      <m:rPr>
                        <m:sty m:val="p"/>
                      </m:rPr>
                      <m:t>,</m:t>
                    </m:r>
                    <m:r>
                      <m:t>0821</m:t>
                    </m:r>
                  </m:oMath>
                  <w:r>
                    <w:t xml:space="preserve">​</w:t>
                  </w:r>
                </w:p>
              </w:tc>
            </w:tr>
            <w:tr>
              <w:tc>
                <w:tcPr/>
                <w:p>
                  <w:pPr>
                    <w:pStyle w:val="Compact"/>
                    <w:jc w:val="left"/>
                    <w:jc w:val="center"/>
                  </w:pPr>
                  <w:r>
                    <w:rPr>
                      <w:b/>
                      <w:bCs/>
                    </w:rPr>
                    <w:t xml:space="preserve">Región Occidental (Chaco)</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9410</m:t>
                    </m:r>
                  </m:oMath>
                  <w:r>
                    <w:t xml:space="preserve">​</w:t>
                  </w:r>
                </w:p>
              </w:tc>
              <w:tc>
                <w:tcPr/>
                <w:p>
                  <w:pPr>
                    <w:pStyle w:val="Compact"/>
                    <w:jc w:val="center"/>
                    <w:jc w:val="center"/>
                  </w:pPr>
                  <m:oMath>
                    <m:r>
                      <m:rPr>
                        <m:sty m:val="b"/>
                      </m:rPr>
                      <m:t>0</m:t>
                    </m:r>
                    <m:r>
                      <m:rPr>
                        <m:sty m:val="b"/>
                      </m:rPr>
                      <m:t>,</m:t>
                    </m:r>
                    <m:r>
                      <m:rPr>
                        <m:sty m:val="b"/>
                      </m:rPr>
                      <m:t>8486</m:t>
                    </m:r>
                  </m:oMath>
                  <w:r>
                    <w:t xml:space="preserve">​</w:t>
                  </w:r>
                </w:p>
              </w:tc>
              <w:tc>
                <w:tcPr/>
                <w:p>
                  <w:pPr>
                    <w:pStyle w:val="Compact"/>
                    <w:jc w:val="center"/>
                    <w:jc w:val="center"/>
                  </w:pPr>
                  <m:oMath>
                    <m:r>
                      <m:rPr>
                        <m:sty m:val="b"/>
                      </m:rPr>
                      <m:t>97</m:t>
                    </m:r>
                    <m:r>
                      <m:rPr>
                        <m:sty m:val="b"/>
                      </m:rPr>
                      <m:t>,</m:t>
                    </m:r>
                    <m:r>
                      <m:rPr>
                        <m:sty m:val="b"/>
                      </m:rPr>
                      <m:t>71</m:t>
                    </m:r>
                    <m:r>
                      <m:rPr>
                        <m:nor/>
                        <m:sty m:val="p"/>
                      </m:rPr>
                      <m:t> %</m:t>
                    </m:r>
                  </m:oMath>
                  <w:r>
                    <w:t xml:space="preserve">​</w:t>
                  </w:r>
                </w:p>
              </w:tc>
              <w:tc>
                <w:tcPr/>
                <w:p>
                  <w:pPr>
                    <w:pStyle w:val="Compact"/>
                    <w:jc w:val="center"/>
                    <w:jc w:val="center"/>
                  </w:pPr>
                  <m:oMath>
                    <m:r>
                      <m:rPr>
                        <m:sty m:val="b"/>
                      </m:rPr>
                      <m:t>87</m:t>
                    </m:r>
                    <m:r>
                      <m:rPr>
                        <m:sty m:val="b"/>
                      </m:rPr>
                      <m:t>,</m:t>
                    </m:r>
                    <m:r>
                      <m:rPr>
                        <m:sty m:val="b"/>
                      </m:rPr>
                      <m:t>83</m:t>
                    </m:r>
                    <m:r>
                      <m:rPr>
                        <m:nor/>
                        <m:sty m:val="p"/>
                      </m:rPr>
                      <m:t> %</m:t>
                    </m:r>
                  </m:oMath>
                  <w:r>
                    <w:t xml:space="preserve">​</w:t>
                  </w:r>
                </w:p>
              </w:tc>
              <w:tc>
                <w:tcPr/>
                <w:p>
                  <w:pPr>
                    <w:pStyle w:val="Compact"/>
                    <w:jc w:val="center"/>
                    <w:jc w:val="center"/>
                  </w:pPr>
                  <m:oMath>
                    <m:r>
                      <m:rPr>
                        <m:sty m:val="b"/>
                      </m:rPr>
                      <m:t>0</m:t>
                    </m:r>
                    <m:r>
                      <m:rPr>
                        <m:sty m:val="b"/>
                      </m:rPr>
                      <m:t>,</m:t>
                    </m:r>
                    <m:r>
                      <m:rPr>
                        <m:sty m:val="b"/>
                      </m:rPr>
                      <m:t>0194</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Ignición Primaria (Física)</w:t>
                  </w:r>
                </w:p>
              </w:tc>
              <w:tc>
                <w:tcPr/>
                <w:p>
                  <w:pPr>
                    <w:pStyle w:val="Compact"/>
                    <w:jc w:val="center"/>
                    <w:jc w:val="center"/>
                  </w:pPr>
                  <m:oMath>
                    <m:r>
                      <m:rPr>
                        <m:sty m:val="b"/>
                      </m:rPr>
                      <m:t>0</m:t>
                    </m:r>
                    <m:r>
                      <m:rPr>
                        <m:sty m:val="b"/>
                      </m:rPr>
                      <m:t>,</m:t>
                    </m:r>
                    <m:r>
                      <m:rPr>
                        <m:sty m:val="b"/>
                      </m:rPr>
                      <m:t>7711</m:t>
                    </m:r>
                  </m:oMath>
                  <w:r>
                    <w:t xml:space="preserve">​</w:t>
                  </w:r>
                </w:p>
              </w:tc>
              <w:tc>
                <w:tcPr/>
                <w:p>
                  <w:pPr>
                    <w:pStyle w:val="Compact"/>
                    <w:jc w:val="center"/>
                    <w:jc w:val="center"/>
                  </w:pPr>
                  <m:oMath>
                    <m:r>
                      <m:rPr>
                        <m:sty m:val="b"/>
                      </m:rPr>
                      <m:t>0</m:t>
                    </m:r>
                    <m:r>
                      <m:rPr>
                        <m:sty m:val="b"/>
                      </m:rPr>
                      <m:t>,</m:t>
                    </m:r>
                    <m:r>
                      <m:rPr>
                        <m:sty m:val="b"/>
                      </m:rPr>
                      <m:t>2810</m:t>
                    </m:r>
                  </m:oMath>
                  <w:r>
                    <w:t xml:space="preserve">​</w:t>
                  </w:r>
                </w:p>
              </w:tc>
              <w:tc>
                <w:tcPr/>
                <w:p>
                  <w:pPr>
                    <w:pStyle w:val="Compact"/>
                    <w:jc w:val="center"/>
                    <w:jc w:val="center"/>
                  </w:pPr>
                  <m:oMath>
                    <m:r>
                      <m:t>32</m:t>
                    </m:r>
                    <m:r>
                      <m:rPr>
                        <m:sty m:val="p"/>
                      </m:rPr>
                      <m:t>,</m:t>
                    </m:r>
                    <m:r>
                      <m:t>6</m:t>
                    </m:r>
                    <m:r>
                      <m:rPr>
                        <m:nor/>
                        <m:sty m:val="p"/>
                      </m:rPr>
                      <m:t> %</m:t>
                    </m:r>
                  </m:oMath>
                  <w:r>
                    <w:t xml:space="preserve">​</w:t>
                  </w:r>
                </w:p>
              </w:tc>
              <w:tc>
                <w:tcPr/>
                <w:p>
                  <w:pPr>
                    <w:pStyle w:val="Compact"/>
                    <w:jc w:val="center"/>
                    <w:jc w:val="center"/>
                  </w:pPr>
                  <m:oMath>
                    <m:r>
                      <m:t>74</m:t>
                    </m:r>
                    <m:r>
                      <m:rPr>
                        <m:sty m:val="p"/>
                      </m:rPr>
                      <m:t>,</m:t>
                    </m:r>
                    <m:r>
                      <m:t>2</m:t>
                    </m:r>
                    <m:r>
                      <m:rPr>
                        <m:nor/>
                        <m:sty m:val="p"/>
                      </m:rPr>
                      <m:t> %</m:t>
                    </m:r>
                  </m:oMath>
                  <w:r>
                    <w:t xml:space="preserve">​</w:t>
                  </w:r>
                </w:p>
              </w:tc>
              <w:tc>
                <w:tcPr/>
                <w:p>
                  <w:pPr>
                    <w:pStyle w:val="Compact"/>
                    <w:jc w:val="center"/>
                    <w:jc w:val="center"/>
                  </w:pPr>
                  <m:oMath>
                    <m:r>
                      <m:t>0</m:t>
                    </m:r>
                    <m:r>
                      <m:rPr>
                        <m:sty m:val="p"/>
                      </m:rPr>
                      <m:t>,</m:t>
                    </m:r>
                    <m:r>
                      <m:t>0645</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8650</m:t>
                    </m:r>
                  </m:oMath>
                  <w:r>
                    <w:t xml:space="preserve">​</w:t>
                  </w:r>
                </w:p>
              </w:tc>
              <w:tc>
                <w:tcPr/>
                <w:p>
                  <w:pPr>
                    <w:pStyle w:val="Compact"/>
                    <w:jc w:val="center"/>
                    <w:jc w:val="center"/>
                  </w:pPr>
                  <m:oMath>
                    <m:r>
                      <m:rPr>
                        <m:sty m:val="b"/>
                      </m:rPr>
                      <m:t>0</m:t>
                    </m:r>
                    <m:r>
                      <m:rPr>
                        <m:sty m:val="b"/>
                      </m:rPr>
                      <m:t>,</m:t>
                    </m:r>
                    <m:r>
                      <m:rPr>
                        <m:sty m:val="b"/>
                      </m:rPr>
                      <m:t>5430</m:t>
                    </m:r>
                  </m:oMath>
                  <w:r>
                    <w:t xml:space="preserve">​</w:t>
                  </w:r>
                </w:p>
              </w:tc>
              <w:tc>
                <w:tcPr/>
                <w:p>
                  <w:pPr>
                    <w:pStyle w:val="Compact"/>
                    <w:jc w:val="center"/>
                    <w:jc w:val="center"/>
                  </w:pPr>
                  <m:oMath>
                    <m:r>
                      <m:rPr>
                        <m:sty m:val="b"/>
                      </m:rPr>
                      <m:t>100</m:t>
                    </m:r>
                    <m:r>
                      <m:rPr>
                        <m:sty m:val="b"/>
                      </m:rPr>
                      <m:t>,</m:t>
                    </m:r>
                    <m:r>
                      <m:rPr>
                        <m:sty m:val="b"/>
                      </m:rPr>
                      <m:t>00</m:t>
                    </m:r>
                    <m:r>
                      <m:rPr>
                        <m:nor/>
                        <m:sty m:val="p"/>
                      </m:rPr>
                      <m:t> %</m:t>
                    </m:r>
                  </m:oMath>
                  <w:r>
                    <w:t xml:space="preserve">​</w:t>
                  </w:r>
                </w:p>
              </w:tc>
              <w:tc>
                <w:tcPr/>
                <w:p>
                  <w:pPr>
                    <w:pStyle w:val="Compact"/>
                    <w:jc w:val="center"/>
                    <w:jc w:val="center"/>
                  </w:pPr>
                  <m:oMath>
                    <m:r>
                      <m:rPr>
                        <m:sty m:val="b"/>
                      </m:rPr>
                      <m:t>78</m:t>
                    </m:r>
                    <m:r>
                      <m:rPr>
                        <m:sty m:val="b"/>
                      </m:rPr>
                      <m:t>,</m:t>
                    </m:r>
                    <m:r>
                      <m:rPr>
                        <m:sty m:val="b"/>
                      </m:rPr>
                      <m:t>12</m:t>
                    </m:r>
                    <m:r>
                      <m:rPr>
                        <m:nor/>
                        <m:sty m:val="p"/>
                      </m:rPr>
                      <m:t> %</m:t>
                    </m:r>
                  </m:oMath>
                  <w:r>
                    <w:t xml:space="preserve">​</w:t>
                  </w:r>
                </w:p>
              </w:tc>
              <w:tc>
                <w:tcPr/>
                <w:p>
                  <w:pPr>
                    <w:pStyle w:val="Compact"/>
                    <w:jc w:val="center"/>
                    <w:jc w:val="center"/>
                  </w:pPr>
                  <m:oMath>
                    <m:r>
                      <m:rPr>
                        <m:sty m:val="b"/>
                      </m:rPr>
                      <m:t>0</m:t>
                    </m:r>
                    <m:r>
                      <m:rPr>
                        <m:sty m:val="b"/>
                      </m:rPr>
                      <m:t>,</m:t>
                    </m:r>
                    <m:r>
                      <m:rPr>
                        <m:sty m:val="b"/>
                      </m:rPr>
                      <m:t>0312</m:t>
                    </m:r>
                  </m:oMath>
                  <w:r>
                    <w:t xml:space="preserve">​</w:t>
                  </w:r>
                </w:p>
              </w:tc>
            </w:tr>
          </w:tbl>
          <w:bookmarkEnd w:id="43"/>
          <w:p/>
        </w:tc>
      </w:tr>
    </w:tbl>
    <w:p>
      <w:pPr>
        <w:pStyle w:val="BodyText"/>
      </w:pPr>
      <w:r>
        <w:t xml:space="preserve">En la capa de</w:t>
      </w:r>
      <w:r>
        <w:t xml:space="preserve"> </w:t>
      </w:r>
      <w:r>
        <w:rPr>
          <w:b/>
          <w:bCs/>
        </w:rPr>
        <w:t xml:space="preserve">Propagación Táctica</w:t>
      </w:r>
      <w:r>
        <w:t xml:space="preserve">, el modelo alcanza un rendimiento superlativo: en el Chaco logra un ROC-AUC de</w:t>
      </w:r>
      <w:r>
        <w:t xml:space="preserve"> </w:t>
      </w:r>
      <m:oMath>
        <m:r>
          <m:t>0</m:t>
        </m:r>
        <m:r>
          <m:rPr>
            <m:sty m:val="p"/>
          </m:rPr>
          <m:t>,</m:t>
        </m:r>
        <m:r>
          <m:t>9410</m:t>
        </m:r>
      </m:oMath>
      <w:r>
        <w:t xml:space="preserve">, un PR-AUC de</w:t>
      </w:r>
      <w:r>
        <w:t xml:space="preserve"> </w:t>
      </w:r>
      <m:oMath>
        <m:r>
          <m:t>0</m:t>
        </m:r>
        <m:r>
          <m:rPr>
            <m:sty m:val="p"/>
          </m:rPr>
          <m:t>,</m:t>
        </m:r>
        <m:r>
          <m:t>8486</m:t>
        </m:r>
      </m:oMath>
      <w:r>
        <w:t xml:space="preserve"> </w:t>
      </w:r>
      <w:r>
        <w:t xml:space="preserve">y una precisión táctica del</w:t>
      </w:r>
      <w:r>
        <w:t xml:space="preserve"> </w:t>
      </w:r>
      <m:oMath>
        <m:r>
          <m:t>97</m:t>
        </m:r>
        <m:r>
          <m:rPr>
            <m:sty m:val="p"/>
          </m:rPr>
          <m:t>,</m:t>
        </m:r>
        <m:r>
          <m:t>71</m:t>
        </m:r>
        <m:r>
          <m:rPr>
            <m:nor/>
            <m:sty m:val="p"/>
          </m:rPr>
          <m:t> %</m:t>
        </m:r>
      </m:oMath>
      <w:r>
        <w:t xml:space="preserve">, cometiendo únicamente 3 falsos positivos en todo el conjunto de prueba. En la Región Oriental, la precisión táctica es del</w:t>
      </w:r>
      <w:r>
        <w:t xml:space="preserve"> </w:t>
      </w:r>
      <m:oMath>
        <m:r>
          <m:t>100</m:t>
        </m:r>
        <m:r>
          <m:rPr>
            <m:nor/>
            <m:sty m:val="p"/>
          </m:rPr>
          <m:t> %</m:t>
        </m:r>
      </m:oMath>
      <w:r>
        <w:t xml:space="preserve"> </w:t>
      </w:r>
      <w:r>
        <w:t xml:space="preserve">(cero falsos positivos observados).</w:t>
      </w:r>
    </w:p>
    <w:p>
      <w:pPr>
        <w:pStyle w:val="BodyText"/>
      </w:pPr>
      <w:r>
        <w:t xml:space="preserve">Por su parte, la capa de</w:t>
      </w:r>
      <w:r>
        <w:t xml:space="preserve"> </w:t>
      </w:r>
      <w:r>
        <w:rPr>
          <w:b/>
          <w:bCs/>
        </w:rPr>
        <w:t xml:space="preserve">Ignición Primaria Física</w:t>
      </w:r>
      <w:r>
        <w:t xml:space="preserve"> </w:t>
      </w:r>
      <w:r>
        <w:t xml:space="preserve">(que no utiliza ninguna información de fuego previo) alcanza un ROC-AUC de</w:t>
      </w:r>
      <w:r>
        <w:t xml:space="preserve"> </w:t>
      </w:r>
      <m:oMath>
        <m:r>
          <m:t>0</m:t>
        </m:r>
        <m:r>
          <m:rPr>
            <m:sty m:val="p"/>
          </m:rPr>
          <m:t>,</m:t>
        </m:r>
        <m:r>
          <m:t>7711</m:t>
        </m:r>
      </m:oMath>
      <w:r>
        <w:t xml:space="preserve"> </w:t>
      </w:r>
      <w:r>
        <w:t xml:space="preserve">en la Región Oriental, prediciendo con notable exactitud dónde surgirán nuevos incendios aislados a partir de variables de estrés hídrico y combustible.</w:t>
      </w:r>
    </w:p>
    <w:bookmarkEnd w:id="44"/>
    <w:bookmarkStart w:id="46" w:name="benchmarking-comparativo-internacional"/>
    <w:p>
      <w:pPr>
        <w:pStyle w:val="Heading2"/>
      </w:pPr>
      <w:r>
        <w:t xml:space="preserve">5.2 5.2 Benchmarking Comparativo Internacional</w:t>
      </w:r>
    </w:p>
    <w:p>
      <w:pPr>
        <w:pStyle w:val="FirstParagraph"/>
      </w:pPr>
      <w:r>
        <w:t xml:space="preserve">La</w:t>
      </w:r>
      <w:r>
        <w:t xml:space="preserve"> </w:t>
      </w:r>
      <w:hyperlink w:anchor="tbl-benchmark">
        <w:r>
          <w:rPr>
            <w:rStyle w:val="Hyperlink"/>
          </w:rPr>
          <w:t xml:space="preserve">Tabla 3</w:t>
        </w:r>
      </w:hyperlink>
      <w:r>
        <w:t xml:space="preserve"> </w:t>
      </w:r>
      <w:r>
        <w:t xml:space="preserve">expone la comparación directa entre el modelo de ignición física de</w:t>
      </w:r>
      <w:r>
        <w:t xml:space="preserve"> </w:t>
      </w:r>
      <w:r>
        <w:rPr>
          <w:rStyle w:val="VerbatimChar"/>
        </w:rPr>
        <w:t xml:space="preserve">Incendios_PY</w:t>
      </w:r>
      <w:r>
        <w:t xml:space="preserve"> </w:t>
      </w:r>
      <w:r>
        <w:t xml:space="preserve">y los índices internacionales canónicos.</w:t>
      </w:r>
    </w:p>
    <w:tbl>
      <w:tblPr>
        <w:tblStyle w:val="Table"/>
        <w:tblW w:type="pct" w:w="5000"/>
        <w:tblLayout w:type="fixed"/>
        <w:tblLook w:firstRow="0" w:lastRow="0" w:firstColumn="0" w:lastColumn="0" w:noHBand="0" w:noVBand="0" w:val="0000"/>
      </w:tblPr>
      <w:tblGrid>
        <w:gridCol w:w="7920"/>
      </w:tblGrid>
      <w:tr>
        <w:tc>
          <w:tcPr/>
          <w:bookmarkStart w:id="45" w:name="tbl-benchmark"/>
          <w:p>
            <w:pPr>
              <w:jc w:val="center"/>
            </w:pPr>
            <w:pPr>
              <w:jc w:val="left"/>
              <w:spacing w:before="200"/>
              <w:pStyle w:val="ImageCaption"/>
            </w:pPr>
            <w:r>
              <w:t xml:space="preserve">Tabla 3: Benchmarking internacional comparativo sobre el mismo conjunto de prueba ciego out-of-time.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Macro-Región</w:t>
                  </w:r>
                </w:p>
              </w:tc>
              <w:tc>
                <w:tcPr/>
                <w:p>
                  <w:pPr>
                    <w:pStyle w:val="Compact"/>
                    <w:jc w:val="left"/>
                    <w:jc w:val="center"/>
                  </w:pPr>
                  <w:r>
                    <w:t xml:space="preserve">Modelo Evaluado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Superioridad frente a Línea Base</w:t>
                  </w:r>
                </w:p>
              </w:tc>
            </w:tr>
            <w:tr>
              <w:tc>
                <w:tcPr/>
                <w:p>
                  <w:pPr>
                    <w:pStyle w:val="Compact"/>
                    <w:jc w:val="left"/>
                    <w:jc w:val="center"/>
                  </w:pPr>
                  <w:r>
                    <w:rPr>
                      <w:b/>
                      <w:bCs/>
                    </w:rPr>
                    <w:t xml:space="preserve">Región Oriental</w:t>
                  </w:r>
                </w:p>
              </w:tc>
              <w:tc>
                <w:tcPr/>
                <w:p>
                  <w:pPr>
                    <w:pStyle w:val="Compact"/>
                    <w:jc w:val="left"/>
                    <w:jc w:val="center"/>
                  </w:pPr>
                  <w:r>
                    <w:rPr>
                      <w:b/>
                      <w:bCs/>
                    </w:rPr>
                    <w:t xml:space="preserve">Incendios_PY (Ignición Física)</w:t>
                  </w:r>
                </w:p>
              </w:tc>
              <w:tc>
                <w:tcPr/>
                <w:p>
                  <w:pPr>
                    <w:pStyle w:val="Compact"/>
                    <w:jc w:val="center"/>
                    <w:jc w:val="center"/>
                  </w:pPr>
                  <m:oMath>
                    <m:r>
                      <m:rPr>
                        <m:sty m:val="b"/>
                      </m:rPr>
                      <m:t>0</m:t>
                    </m:r>
                    <m:r>
                      <m:rPr>
                        <m:sty m:val="b"/>
                      </m:rPr>
                      <m:t>,</m:t>
                    </m:r>
                    <m:r>
                      <m:rPr>
                        <m:sty m:val="b"/>
                      </m:rPr>
                      <m:t>7711</m:t>
                    </m:r>
                  </m:oMath>
                  <w:r>
                    <w:t xml:space="preserve">​</w:t>
                  </w:r>
                </w:p>
              </w:tc>
              <w:tc>
                <w:tcPr/>
                <w:p>
                  <w:pPr>
                    <w:pStyle w:val="Compact"/>
                    <w:jc w:val="center"/>
                    <w:jc w:val="center"/>
                  </w:pPr>
                  <m:oMath>
                    <m:r>
                      <m:rPr>
                        <m:sty m:val="b"/>
                      </m:rPr>
                      <m:t>0</m:t>
                    </m:r>
                    <m:r>
                      <m:rPr>
                        <m:sty m:val="b"/>
                      </m:rPr>
                      <m:t>,</m:t>
                    </m:r>
                    <m:r>
                      <m:rPr>
                        <m:sty m:val="b"/>
                      </m:rPr>
                      <m:t>2810</m:t>
                    </m:r>
                  </m:oMath>
                  <w:r>
                    <w:t xml:space="preserve">​</w:t>
                  </w:r>
                </w:p>
              </w:tc>
              <w:tc>
                <w:tcPr/>
                <w:p>
                  <w:pPr>
                    <w:pStyle w:val="Compact"/>
                    <w:jc w:val="center"/>
                    <w:jc w:val="center"/>
                  </w:pPr>
                  <m:oMath>
                    <m:r>
                      <m:rPr>
                        <m:sty m:val="b"/>
                      </m:rPr>
                      <m:t>+</m:t>
                    </m:r>
                    <m:r>
                      <m:rPr>
                        <m:sty m:val="b"/>
                      </m:rPr>
                      <m:t>98</m:t>
                    </m:r>
                    <m:r>
                      <m:rPr>
                        <m:sty m:val="b"/>
                      </m:rPr>
                      <m:t>,</m:t>
                    </m:r>
                    <m:r>
                      <m:rPr>
                        <m:sty m:val="b"/>
                      </m:rPr>
                      <m:t>2</m:t>
                    </m:r>
                    <m:r>
                      <m:rPr>
                        <m:nor/>
                        <m:sty m:val="p"/>
                      </m:rPr>
                      <m:t> %</m:t>
                    </m:r>
                  </m:oMath>
                  <w:r>
                    <w:t xml:space="preserve"> </w:t>
                  </w:r>
                  <w:r>
                    <w:t xml:space="preserve">sobre FWI</w:t>
                  </w:r>
                </w:p>
              </w:tc>
            </w:tr>
            <w:tr>
              <w:tc>
                <w:tcPr/>
                <w:p>
                  <w:pPr>
                    <w:pStyle w:val="Compact"/>
                    <w:jc w:val="left"/>
                    <w:jc w:val="center"/>
                  </w:pPr>
                  <w:r>
                    <w:t xml:space="preserve">Región Oriental</w:t>
                  </w:r>
                </w:p>
              </w:tc>
              <w:tc>
                <w:tcPr/>
                <w:p>
                  <w:pPr>
                    <w:pStyle w:val="Compact"/>
                    <w:jc w:val="left"/>
                    <w:jc w:val="center"/>
                  </w:pPr>
                  <w:r>
                    <w:t xml:space="preserve">Canadian FWI Puro (EFFIS)</w:t>
                  </w:r>
                </w:p>
              </w:tc>
              <w:tc>
                <w:tcPr/>
                <w:p>
                  <w:pPr>
                    <w:pStyle w:val="Compact"/>
                    <w:jc w:val="center"/>
                    <w:jc w:val="center"/>
                  </w:pPr>
                  <m:oMath>
                    <m:r>
                      <m:t>0</m:t>
                    </m:r>
                    <m:r>
                      <m:rPr>
                        <m:sty m:val="p"/>
                      </m:rPr>
                      <m:t>,</m:t>
                    </m:r>
                    <m:r>
                      <m:t>3891</m:t>
                    </m:r>
                  </m:oMath>
                  <w:r>
                    <w:t xml:space="preserve">​</w:t>
                  </w:r>
                </w:p>
              </w:tc>
              <w:tc>
                <w:tcPr/>
                <w:p>
                  <w:pPr>
                    <w:pStyle w:val="Compact"/>
                    <w:jc w:val="center"/>
                    <w:jc w:val="center"/>
                  </w:pPr>
                  <m:oMath>
                    <m:r>
                      <m:t>0</m:t>
                    </m:r>
                    <m:r>
                      <m:rPr>
                        <m:sty m:val="p"/>
                      </m:rPr>
                      <m:t>,</m:t>
                    </m:r>
                    <m:r>
                      <m:t>1418</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INPE Risco de Fogo (Setzer)</w:t>
                  </w:r>
                </w:p>
              </w:tc>
              <w:tc>
                <w:tcPr/>
                <w:p>
                  <w:pPr>
                    <w:pStyle w:val="Compact"/>
                    <w:jc w:val="center"/>
                    <w:jc w:val="center"/>
                  </w:pPr>
                  <m:oMath>
                    <m:r>
                      <m:t>0</m:t>
                    </m:r>
                    <m:r>
                      <m:rPr>
                        <m:sty m:val="p"/>
                      </m:rPr>
                      <m:t>,</m:t>
                    </m:r>
                    <m:r>
                      <m:t>3990</m:t>
                    </m:r>
                  </m:oMath>
                  <w:r>
                    <w:t xml:space="preserve">​</w:t>
                  </w:r>
                </w:p>
              </w:tc>
              <w:tc>
                <w:tcPr/>
                <w:p>
                  <w:pPr>
                    <w:pStyle w:val="Compact"/>
                    <w:jc w:val="center"/>
                    <w:jc w:val="center"/>
                  </w:pPr>
                  <m:oMath>
                    <m:r>
                      <m:t>0</m:t>
                    </m:r>
                    <m:r>
                      <m:rPr>
                        <m:sty m:val="p"/>
                      </m:rPr>
                      <m:t>,</m:t>
                    </m:r>
                    <m:r>
                      <m:t>1523</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Línea Base Climatológica Nula</w:t>
                  </w:r>
                </w:p>
              </w:tc>
              <w:tc>
                <w:tcPr/>
                <w:p>
                  <w:pPr>
                    <w:pStyle w:val="Compact"/>
                    <w:jc w:val="center"/>
                    <w:jc w:val="center"/>
                  </w:pPr>
                  <m:oMath>
                    <m:r>
                      <m:t>0</m:t>
                    </m:r>
                    <m:r>
                      <m:rPr>
                        <m:sty m:val="p"/>
                      </m:rPr>
                      <m:t>,</m:t>
                    </m:r>
                    <m:r>
                      <m:t>5000</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w:r>
                    <w:t xml:space="preserve">Referencia sin poder predictivo</w:t>
                  </w:r>
                </w:p>
              </w:tc>
            </w:tr>
            <w:tr>
              <w:tc>
                <w:tcPr/>
                <w:p>
                  <w:pPr>
                    <w:pStyle w:val="Compact"/>
                    <w:jc w:val="left"/>
                    <w:jc w:val="center"/>
                  </w:pPr>
                  <w:r>
                    <w:rPr>
                      <w:b/>
                      <w:bCs/>
                    </w:rPr>
                    <w:t xml:space="preserve">Chaco</w:t>
                  </w:r>
                </w:p>
              </w:tc>
              <w:tc>
                <w:tcPr/>
                <w:p>
                  <w:pPr>
                    <w:pStyle w:val="Compact"/>
                    <w:jc w:val="left"/>
                    <w:jc w:val="center"/>
                  </w:pPr>
                  <w:r>
                    <w:rPr>
                      <w:b/>
                      <w:bCs/>
                    </w:rPr>
                    <w:t xml:space="preserve">Incendios_PY (Propagación Táctica)</w:t>
                  </w:r>
                </w:p>
              </w:tc>
              <w:tc>
                <w:tcPr/>
                <w:p>
                  <w:pPr>
                    <w:pStyle w:val="Compact"/>
                    <w:jc w:val="center"/>
                    <w:jc w:val="center"/>
                  </w:pPr>
                  <m:oMath>
                    <m:r>
                      <m:rPr>
                        <m:sty m:val="b"/>
                      </m:rPr>
                      <m:t>0</m:t>
                    </m:r>
                    <m:r>
                      <m:rPr>
                        <m:sty m:val="b"/>
                      </m:rPr>
                      <m:t>,</m:t>
                    </m:r>
                    <m:r>
                      <m:rPr>
                        <m:sty m:val="b"/>
                      </m:rPr>
                      <m:t>9410</m:t>
                    </m:r>
                  </m:oMath>
                  <w:r>
                    <w:t xml:space="preserve">​</w:t>
                  </w:r>
                </w:p>
              </w:tc>
              <w:tc>
                <w:tcPr/>
                <w:p>
                  <w:pPr>
                    <w:pStyle w:val="Compact"/>
                    <w:jc w:val="center"/>
                    <w:jc w:val="center"/>
                  </w:pPr>
                  <m:oMath>
                    <m:r>
                      <m:rPr>
                        <m:sty m:val="b"/>
                      </m:rPr>
                      <m:t>0</m:t>
                    </m:r>
                    <m:r>
                      <m:rPr>
                        <m:sty m:val="b"/>
                      </m:rPr>
                      <m:t>,</m:t>
                    </m:r>
                    <m:r>
                      <m:rPr>
                        <m:sty m:val="b"/>
                      </m:rPr>
                      <m:t>8486</m:t>
                    </m:r>
                  </m:oMath>
                  <w:r>
                    <w:t xml:space="preserve">​</w:t>
                  </w:r>
                </w:p>
              </w:tc>
              <w:tc>
                <w:tcPr/>
                <w:p>
                  <w:pPr>
                    <w:pStyle w:val="Compact"/>
                    <w:jc w:val="center"/>
                    <w:jc w:val="center"/>
                  </w:pPr>
                  <m:oMath>
                    <m:r>
                      <m:rPr>
                        <m:sty m:val="b"/>
                      </m:rPr>
                      <m:t>+</m:t>
                    </m:r>
                    <m:r>
                      <m:rPr>
                        <m:sty m:val="b"/>
                      </m:rPr>
                      <m:t>141</m:t>
                    </m:r>
                    <m:r>
                      <m:rPr>
                        <m:sty m:val="b"/>
                      </m:rPr>
                      <m:t>,</m:t>
                    </m:r>
                    <m:r>
                      <m:rPr>
                        <m:sty m:val="b"/>
                      </m:rPr>
                      <m:t>9</m:t>
                    </m:r>
                    <m:r>
                      <m:rPr>
                        <m:nor/>
                        <m:sty m:val="p"/>
                      </m:rPr>
                      <m:t> %</m:t>
                    </m:r>
                  </m:oMath>
                  <w:r>
                    <w:t xml:space="preserve"> </w:t>
                  </w:r>
                  <w:r>
                    <w:t xml:space="preserve">sobre FWI</w:t>
                  </w:r>
                </w:p>
              </w:tc>
            </w:tr>
            <w:tr>
              <w:tc>
                <w:tcPr/>
                <w:p>
                  <w:pPr>
                    <w:pStyle w:val="Compact"/>
                    <w:jc w:val="left"/>
                    <w:jc w:val="center"/>
                  </w:pPr>
                  <w:r>
                    <w:t xml:space="preserve">Chaco</w:t>
                  </w:r>
                </w:p>
              </w:tc>
              <w:tc>
                <w:tcPr/>
                <w:p>
                  <w:pPr>
                    <w:pStyle w:val="Compact"/>
                    <w:jc w:val="left"/>
                    <w:jc w:val="center"/>
                  </w:pPr>
                  <w:r>
                    <w:t xml:space="preserve">Canadian FWI Puro (EFFIS)</w:t>
                  </w:r>
                </w:p>
              </w:tc>
              <w:tc>
                <w:tcPr/>
                <w:p>
                  <w:pPr>
                    <w:pStyle w:val="Compact"/>
                    <w:jc w:val="center"/>
                    <w:jc w:val="center"/>
                  </w:pPr>
                  <m:oMath>
                    <m:r>
                      <m:t>0</m:t>
                    </m:r>
                    <m:r>
                      <m:rPr>
                        <m:sty m:val="p"/>
                      </m:rPr>
                      <m:t>,</m:t>
                    </m:r>
                    <m:r>
                      <m:t>4120</m:t>
                    </m:r>
                  </m:oMath>
                  <w:r>
                    <w:t xml:space="preserve">​</w:t>
                  </w:r>
                </w:p>
              </w:tc>
              <w:tc>
                <w:tcPr/>
                <w:p>
                  <w:pPr>
                    <w:pStyle w:val="Compact"/>
                    <w:jc w:val="center"/>
                    <w:jc w:val="center"/>
                  </w:pPr>
                  <m:oMath>
                    <m:r>
                      <m:t>0</m:t>
                    </m:r>
                    <m:r>
                      <m:rPr>
                        <m:sty m:val="p"/>
                      </m:rPr>
                      <m:t>,</m:t>
                    </m:r>
                    <m:r>
                      <m:t>1650</m:t>
                    </m:r>
                  </m:oMath>
                  <w:r>
                    <w:t xml:space="preserve">​</w:t>
                  </w:r>
                </w:p>
              </w:tc>
              <w:tc>
                <w:tcPr/>
                <w:p>
                  <w:pPr>
                    <w:pStyle w:val="Compact"/>
                    <w:jc w:val="center"/>
                    <w:jc w:val="center"/>
                  </w:pPr>
                  <w:r>
                    <w:t xml:space="preserve">Inversión de ranking en bioma árido</w:t>
                  </w:r>
                </w:p>
              </w:tc>
            </w:tr>
            <w:tr>
              <w:tc>
                <w:tcPr/>
                <w:p>
                  <w:pPr>
                    <w:pStyle w:val="Compact"/>
                    <w:jc w:val="left"/>
                    <w:jc w:val="center"/>
                  </w:pPr>
                  <w:r>
                    <w:t xml:space="preserve">Chaco</w:t>
                  </w:r>
                </w:p>
              </w:tc>
              <w:tc>
                <w:tcPr/>
                <w:p>
                  <w:pPr>
                    <w:pStyle w:val="Compact"/>
                    <w:jc w:val="left"/>
                    <w:jc w:val="center"/>
                  </w:pPr>
                  <w:r>
                    <w:t xml:space="preserve">INPE Risco de Fogo (Setzer)</w:t>
                  </w:r>
                </w:p>
              </w:tc>
              <w:tc>
                <w:tcPr/>
                <w:p>
                  <w:pPr>
                    <w:pStyle w:val="Compact"/>
                    <w:jc w:val="center"/>
                    <w:jc w:val="center"/>
                  </w:pPr>
                  <m:oMath>
                    <m:r>
                      <m:t>0</m:t>
                    </m:r>
                    <m:r>
                      <m:rPr>
                        <m:sty m:val="p"/>
                      </m:rPr>
                      <m:t>,</m:t>
                    </m:r>
                    <m:r>
                      <m:t>4315</m:t>
                    </m:r>
                  </m:oMath>
                  <w:r>
                    <w:t xml:space="preserve">​</w:t>
                  </w:r>
                </w:p>
              </w:tc>
              <w:tc>
                <w:tcPr/>
                <w:p>
                  <w:pPr>
                    <w:pStyle w:val="Compact"/>
                    <w:jc w:val="center"/>
                    <w:jc w:val="center"/>
                  </w:pPr>
                  <m:oMath>
                    <m:r>
                      <m:t>0</m:t>
                    </m:r>
                    <m:r>
                      <m:rPr>
                        <m:sty m:val="p"/>
                      </m:rPr>
                      <m:t>,</m:t>
                    </m:r>
                    <m:r>
                      <m:t>1810</m:t>
                    </m:r>
                  </m:oMath>
                  <w:r>
                    <w:t xml:space="preserve">​</w:t>
                  </w:r>
                </w:p>
              </w:tc>
              <w:tc>
                <w:tcPr/>
                <w:p>
                  <w:pPr>
                    <w:pStyle w:val="Compact"/>
                    <w:jc w:val="center"/>
                    <w:jc w:val="center"/>
                  </w:pPr>
                  <w:r>
                    <w:t xml:space="preserve">Subestima avance en sabana seca</w:t>
                  </w:r>
                </w:p>
              </w:tc>
            </w:tr>
          </w:tbl>
          <w:bookmarkEnd w:id="45"/>
          <w:p/>
        </w:tc>
      </w:tr>
    </w:tbl>
    <w:p>
      <w:pPr>
        <w:pStyle w:val="BodyText"/>
      </w:pPr>
      <w:r>
        <w:t xml:space="preserve">Como se observa, tanto el</w:t>
      </w:r>
      <w:r>
        <w:t xml:space="preserve"> </w:t>
      </w:r>
      <w:r>
        <w:rPr>
          <w:b/>
          <w:bCs/>
        </w:rPr>
        <w:t xml:space="preserve">Canadian FWI</w:t>
      </w:r>
      <w:r>
        <w:t xml:space="preserve"> </w:t>
      </w:r>
      <w:r>
        <w:t xml:space="preserve">como el</w:t>
      </w:r>
      <w:r>
        <w:t xml:space="preserve"> </w:t>
      </w:r>
      <w:r>
        <w:rPr>
          <w:b/>
          <w:bCs/>
        </w:rPr>
        <w:t xml:space="preserve">INPE Risco de Fogo</w:t>
      </w:r>
      <w:r>
        <w:t xml:space="preserve"> </w:t>
      </w:r>
      <w:r>
        <w:t xml:space="preserve">obtienen un ROC-AUC inferior a 0,50 en la Región Oriental (</w:t>
      </w:r>
      <m:oMath>
        <m:r>
          <m:t>0</m:t>
        </m:r>
        <m:r>
          <m:rPr>
            <m:sty m:val="p"/>
          </m:rPr>
          <m:t>,</m:t>
        </m:r>
        <m:r>
          <m:t>389</m:t>
        </m:r>
      </m:oMath>
      <w:r>
        <w:t xml:space="preserve"> </w:t>
      </w:r>
      <w:r>
        <w:t xml:space="preserve">y</w:t>
      </w:r>
      <w:r>
        <w:t xml:space="preserve"> </w:t>
      </w:r>
      <m:oMath>
        <m:r>
          <m:t>0</m:t>
        </m:r>
        <m:r>
          <m:rPr>
            <m:sty m:val="p"/>
          </m:rPr>
          <m:t>,</m:t>
        </m:r>
        <m:r>
          <m:t>399</m:t>
        </m:r>
      </m:oMath>
      <w:r>
        <w:t xml:space="preserve">, respectivamente). Esto indica que en regímenes subtropicales húmedos con fuerte actividad humana, los índices canónicos invierten el ranking de peligro, clasificando erróneamente días con condiciones ideales de quema de pasturas como de</w:t>
      </w:r>
      <w:r>
        <w:t xml:space="preserve"> </w:t>
      </w:r>
      <w:r>
        <w:t xml:space="preserve">“bajo riesgo”</w:t>
      </w:r>
      <w:r>
        <w:t xml:space="preserve">.</w:t>
      </w:r>
      <w:r>
        <w:t xml:space="preserve"> </w:t>
      </w:r>
      <w:r>
        <w:rPr>
          <w:rStyle w:val="VerbatimChar"/>
        </w:rPr>
        <w:t xml:space="preserve">Incendios_PY</w:t>
      </w:r>
      <w:r>
        <w:t xml:space="preserve"> </w:t>
      </w:r>
      <w:r>
        <w:t xml:space="preserve">supera a ambos sistemas por más de 38 puntos porcentuales de ROC-AUC.</w:t>
      </w:r>
    </w:p>
    <w:bookmarkEnd w:id="46"/>
    <w:bookmarkStart w:id="48" w:name="explicabilidad-biofísica-con-treeshap"/>
    <w:p>
      <w:pPr>
        <w:pStyle w:val="Heading2"/>
      </w:pPr>
      <w:r>
        <w:t xml:space="preserve">5.3 5.3 Explicabilidad Biofísica con TreeSHAP</w:t>
      </w:r>
    </w:p>
    <w:p>
      <w:pPr>
        <w:pStyle w:val="FirstParagraph"/>
      </w:pPr>
      <w:r>
        <w:t xml:space="preserve">Para abrir la</w:t>
      </w:r>
      <w:r>
        <w:t xml:space="preserve"> </w:t>
      </w:r>
      <w:r>
        <w:t xml:space="preserve">“caja negra”</w:t>
      </w:r>
      <w:r>
        <w:t xml:space="preserve"> </w:t>
      </w:r>
      <w:r>
        <w:t xml:space="preserve">del modelo de ignición primaria y verificar que el ensamble aprendió relaciones ecológicas genuinas, aplicamos la descomposición analítica de Shapley para árboles (</w:t>
      </w:r>
      <w:r>
        <w:rPr>
          <w:i/>
          <w:iCs/>
        </w:rPr>
        <w:t xml:space="preserve">TreeSHAP</w:t>
      </w:r>
      <w:r>
        <w:t xml:space="preserve">)</w:t>
      </w:r>
      <w:r>
        <w:t xml:space="preserve"> </w:t>
      </w:r>
      <w:r>
        <w:t xml:space="preserve">(Lundberg et al., 2020)</w:t>
      </w:r>
      <w:r>
        <w:t xml:space="preserve">. La</w:t>
      </w:r>
      <w:r>
        <w:t xml:space="preserve"> </w:t>
      </w:r>
      <w:hyperlink w:anchor="tbl-shap">
        <w:r>
          <w:rPr>
            <w:rStyle w:val="Hyperlink"/>
          </w:rPr>
          <w:t xml:space="preserve">Tabla 4</w:t>
        </w:r>
      </w:hyperlink>
      <w:r>
        <w:t xml:space="preserve"> </w:t>
      </w:r>
      <w:r>
        <w:t xml:space="preserve">presenta las variables de mayor impacto en cada región.</w:t>
      </w:r>
    </w:p>
    <w:tbl>
      <w:tblPr>
        <w:tblStyle w:val="Table"/>
        <w:tblW w:type="pct" w:w="5000"/>
        <w:tblLayout w:type="fixed"/>
        <w:tblLook w:firstRow="0" w:lastRow="0" w:firstColumn="0" w:lastColumn="0" w:noHBand="0" w:noVBand="0" w:val="0000"/>
      </w:tblPr>
      <w:tblGrid>
        <w:gridCol w:w="7920"/>
      </w:tblGrid>
      <w:tr>
        <w:tc>
          <w:tcPr/>
          <w:bookmarkStart w:id="47" w:name="tbl-shap"/>
          <w:p>
            <w:pPr>
              <w:jc w:val="center"/>
            </w:pPr>
            <w:pPr>
              <w:jc w:val="left"/>
              <w:spacing w:before="200"/>
              <w:pStyle w:val="ImageCaption"/>
            </w:pPr>
            <w:r>
              <w:t xml:space="preserve">Tabla 4: Ranking de importancia biofísica global según valores medios absolutos TreeSHAP (</w:t>
            </w:r>
            <m:oMath>
              <m:r>
                <m:rPr>
                  <m:sty m:val="p"/>
                </m:rPr>
                <m:t>|</m:t>
              </m:r>
              <m:r>
                <m:rPr>
                  <m:nor/>
                  <m:sty m:val="p"/>
                </m:rPr>
                <m:t>SHAP</m:t>
              </m:r>
              <m:r>
                <m:rPr>
                  <m:sty m:val="p"/>
                </m:rPr>
                <m:t>|</m:t>
              </m:r>
            </m:oMath>
            <w: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jc w:val="center"/>
                  </w:pPr>
                  <w:r>
                    <w:t xml:space="preserve">Ranking</w:t>
                  </w:r>
                </w:p>
              </w:tc>
              <w:tc>
                <w:tcPr/>
                <w:p>
                  <w:pPr>
                    <w:pStyle w:val="Compact"/>
                    <w:jc w:val="left"/>
                    <w:jc w:val="center"/>
                  </w:pPr>
                  <w:r>
                    <w:t xml:space="preserve">Región Occidental (Chaco)</w:t>
                  </w:r>
                </w:p>
              </w:tc>
              <w:tc>
                <w:tcPr/>
                <w:p>
                  <w:pPr>
                    <w:pStyle w:val="Compact"/>
                    <w:jc w:val="left"/>
                    <w:jc w:val="center"/>
                  </w:pPr>
                  <w:r>
                    <w:t xml:space="preserve">Región Oriental</w:t>
                  </w:r>
                </w:p>
              </w:tc>
            </w:tr>
            <w:tr>
              <w:tc>
                <w:tcPr/>
                <w:p>
                  <w:pPr>
                    <w:pStyle w:val="Compact"/>
                    <w:jc w:val="center"/>
                    <w:jc w:val="center"/>
                  </w:pPr>
                  <w:r>
                    <w:rPr>
                      <w:b/>
                      <w:bCs/>
                    </w:rPr>
                    <w:t xml:space="preserve">1</w:t>
                  </w:r>
                </w:p>
              </w:tc>
              <w:tc>
                <w:tcPr/>
                <w:p>
                  <w:pPr>
                    <w:pStyle w:val="Compact"/>
                    <w:jc w:val="left"/>
                    <w:jc w:val="center"/>
                  </w:pPr>
                  <w:r>
                    <w:t xml:space="preserve">Déficit de Presión de Vapor Máximo (</w:t>
                  </w:r>
                  <m:oMath>
                    <m:r>
                      <m:t>V</m:t>
                    </m:r>
                    <m:r>
                      <m:t>P</m:t>
                    </m:r>
                    <m:sSub>
                      <m:e>
                        <m:r>
                          <m:t>D</m:t>
                        </m:r>
                      </m:e>
                      <m:sub>
                        <m:r>
                          <m:rPr>
                            <m:nor/>
                            <m:sty m:val="p"/>
                          </m:rPr>
                          <m:t>max</m:t>
                        </m:r>
                      </m:sub>
                    </m:sSub>
                  </m:oMath>
                  <w:r>
                    <w:t xml:space="preserve">)</w:t>
                  </w:r>
                </w:p>
              </w:tc>
              <w:tc>
                <w:tcPr/>
                <w:p>
                  <w:pPr>
                    <w:pStyle w:val="Compact"/>
                    <w:jc w:val="left"/>
                    <w:jc w:val="center"/>
                  </w:pPr>
                  <w:r>
                    <w:t xml:space="preserve">Índice de Humedad Fina FWI (</w:t>
                  </w:r>
                  <m:oMath>
                    <m:r>
                      <m:t>F</m:t>
                    </m:r>
                    <m:r>
                      <m:t>F</m:t>
                    </m:r>
                    <m:r>
                      <m:t>M</m:t>
                    </m:r>
                    <m:r>
                      <m:t>C</m:t>
                    </m:r>
                  </m:oMath>
                  <w:r>
                    <w:t xml:space="preserve">)</w:t>
                  </w:r>
                </w:p>
              </w:tc>
            </w:tr>
            <w:tr>
              <w:tc>
                <w:tcPr/>
                <w:p>
                  <w:pPr>
                    <w:pStyle w:val="Compact"/>
                    <w:jc w:val="center"/>
                    <w:jc w:val="center"/>
                  </w:pPr>
                  <w:r>
                    <w:rPr>
                      <w:b/>
                      <w:bCs/>
                    </w:rPr>
                    <w:t xml:space="preserve">2</w:t>
                  </w:r>
                </w:p>
              </w:tc>
              <w:tc>
                <w:tcPr/>
                <w:p>
                  <w:pPr>
                    <w:pStyle w:val="Compact"/>
                    <w:jc w:val="left"/>
                    <w:jc w:val="center"/>
                  </w:pPr>
                  <w:r>
                    <w:t xml:space="preserve">Velocidad del Viento Máxima (</w:t>
                  </w:r>
                  <m:oMath>
                    <m:sSub>
                      <m:e>
                        <m:r>
                          <m:t>V</m:t>
                        </m:r>
                      </m:e>
                      <m:sub>
                        <m:r>
                          <m:rPr>
                            <m:nor/>
                            <m:sty m:val="p"/>
                          </m:rPr>
                          <m:t>viento</m:t>
                        </m:r>
                      </m:sub>
                    </m:sSub>
                  </m:oMath>
                  <w:r>
                    <w:t xml:space="preserve">)</w:t>
                  </w:r>
                </w:p>
              </w:tc>
              <w:tc>
                <w:tcPr/>
                <w:p>
                  <w:pPr>
                    <w:pStyle w:val="Compact"/>
                    <w:jc w:val="left"/>
                    <w:jc w:val="center"/>
                  </w:pPr>
                  <w:r>
                    <w:t xml:space="preserve">Amplitud Térmica Diaria (</w:t>
                  </w:r>
                  <m:oMath>
                    <m:sSub>
                      <m:e>
                        <m:r>
                          <m:t>T</m:t>
                        </m:r>
                      </m:e>
                      <m:sub>
                        <m:r>
                          <m:rPr>
                            <m:nor/>
                            <m:sty m:val="p"/>
                          </m:rPr>
                          <m:t>max</m:t>
                        </m:r>
                      </m:sub>
                    </m:sSub>
                    <m:r>
                      <m:rPr>
                        <m:sty m:val="p"/>
                      </m:rPr>
                      <m:t>−</m:t>
                    </m:r>
                    <m:sSub>
                      <m:e>
                        <m:r>
                          <m:t>T</m:t>
                        </m:r>
                      </m:e>
                      <m:sub>
                        <m:r>
                          <m:rPr>
                            <m:nor/>
                            <m:sty m:val="p"/>
                          </m:rPr>
                          <m:t>min</m:t>
                        </m:r>
                      </m:sub>
                    </m:sSub>
                  </m:oMath>
                  <w:r>
                    <w:t xml:space="preserve">)</w:t>
                  </w:r>
                </w:p>
              </w:tc>
            </w:tr>
            <w:tr>
              <w:tc>
                <w:tcPr/>
                <w:p>
                  <w:pPr>
                    <w:pStyle w:val="Compact"/>
                    <w:jc w:val="center"/>
                    <w:jc w:val="center"/>
                  </w:pPr>
                  <w:r>
                    <w:rPr>
                      <w:b/>
                      <w:bCs/>
                    </w:rPr>
                    <w:t xml:space="preserve">3</w:t>
                  </w:r>
                </w:p>
              </w:tc>
              <w:tc>
                <w:tcPr/>
                <w:p>
                  <w:pPr>
                    <w:pStyle w:val="Compact"/>
                    <w:jc w:val="left"/>
                    <w:jc w:val="center"/>
                  </w:pPr>
                  <w:r>
                    <w:t xml:space="preserve">Días Secos Consecutivos (</w:t>
                  </w:r>
                  <m:oMath>
                    <m:r>
                      <m:t>C</m:t>
                    </m:r>
                    <m:r>
                      <m:t>D</m:t>
                    </m:r>
                    <m:r>
                      <m:t>D</m:t>
                    </m:r>
                  </m:oMath>
                  <w:r>
                    <w:t xml:space="preserve">)</w:t>
                  </w:r>
                </w:p>
              </w:tc>
              <w:tc>
                <w:tcPr/>
                <w:p>
                  <w:pPr>
                    <w:pStyle w:val="Compact"/>
                    <w:jc w:val="left"/>
                    <w:jc w:val="center"/>
                  </w:pPr>
                  <w:r>
                    <w:t xml:space="preserve">Porcentaje de Pastura Cultivada</w:t>
                  </w:r>
                </w:p>
              </w:tc>
            </w:tr>
            <w:tr>
              <w:tc>
                <w:tcPr/>
                <w:p>
                  <w:pPr>
                    <w:pStyle w:val="Compact"/>
                    <w:jc w:val="center"/>
                    <w:jc w:val="center"/>
                  </w:pPr>
                  <w:r>
                    <w:rPr>
                      <w:b/>
                      <w:bCs/>
                    </w:rPr>
                    <w:t xml:space="preserve">4</w:t>
                  </w:r>
                </w:p>
              </w:tc>
              <w:tc>
                <w:tcPr/>
                <w:p>
                  <w:pPr>
                    <w:pStyle w:val="Compact"/>
                    <w:jc w:val="left"/>
                    <w:jc w:val="center"/>
                  </w:pPr>
                  <w:r>
                    <w:t xml:space="preserve">Proporción de Bosque Seco MapBiomas</w:t>
                  </w:r>
                </w:p>
              </w:tc>
              <w:tc>
                <w:tcPr/>
                <w:p>
                  <w:pPr>
                    <w:pStyle w:val="Compact"/>
                    <w:jc w:val="left"/>
                    <w:jc w:val="center"/>
                  </w:pPr>
                  <w:r>
                    <w:t xml:space="preserve">Déficit de Presión de Vapor (</w:t>
                  </w:r>
                  <m:oMath>
                    <m:r>
                      <m:t>V</m:t>
                    </m:r>
                    <m:r>
                      <m:t>P</m:t>
                    </m:r>
                    <m:sSub>
                      <m:e>
                        <m:r>
                          <m:t>D</m:t>
                        </m:r>
                      </m:e>
                      <m:sub>
                        <m:r>
                          <m:rPr>
                            <m:nor/>
                            <m:sty m:val="p"/>
                          </m:rPr>
                          <m:t>max</m:t>
                        </m:r>
                      </m:sub>
                    </m:sSub>
                  </m:oMath>
                  <w:r>
                    <w:t xml:space="preserve">)</w:t>
                  </w:r>
                </w:p>
              </w:tc>
            </w:tr>
            <w:tr>
              <w:tc>
                <w:tcPr/>
                <w:p>
                  <w:pPr>
                    <w:pStyle w:val="Compact"/>
                    <w:jc w:val="center"/>
                    <w:jc w:val="center"/>
                  </w:pPr>
                  <w:r>
                    <w:rPr>
                      <w:b/>
                      <w:bCs/>
                    </w:rPr>
                    <w:t xml:space="preserve">5</w:t>
                  </w:r>
                </w:p>
              </w:tc>
              <w:tc>
                <w:tcPr/>
                <w:p>
                  <w:pPr>
                    <w:pStyle w:val="Compact"/>
                    <w:jc w:val="left"/>
                    <w:jc w:val="center"/>
                  </w:pPr>
                  <w:r>
                    <w:t xml:space="preserve">Índice de Ecotono Perimetral (</w:t>
                  </w:r>
                  <m:oMath>
                    <m:sSub>
                      <m:e>
                        <m:r>
                          <m:rPr>
                            <m:scr m:val="script"/>
                            <m:sty m:val="p"/>
                          </m:rPr>
                          <m:t>E</m:t>
                        </m:r>
                      </m:e>
                      <m:sub>
                        <m:r>
                          <m:t>i</m:t>
                        </m:r>
                      </m:sub>
                    </m:sSub>
                  </m:oMath>
                  <w:r>
                    <w:t xml:space="preserve">)</w:t>
                  </w:r>
                </w:p>
              </w:tc>
              <w:tc>
                <w:tcPr/>
                <w:p>
                  <w:pPr>
                    <w:pStyle w:val="Compact"/>
                    <w:jc w:val="left"/>
                    <w:jc w:val="center"/>
                  </w:pPr>
                  <w:r>
                    <w:t xml:space="preserve">Interacción Viento</w:t>
                  </w:r>
                  <w:r>
                    <w:t xml:space="preserve"> </w:t>
                  </w:r>
                  <m:oMath>
                    <m:r>
                      <m:rPr>
                        <m:sty m:val="p"/>
                      </m:rPr>
                      <m:t>×</m:t>
                    </m:r>
                  </m:oMath>
                  <w:r>
                    <w:t xml:space="preserve"> </w:t>
                  </w:r>
                  <w:r>
                    <w:t xml:space="preserve">Sequedad</w:t>
                  </w:r>
                </w:p>
              </w:tc>
            </w:tr>
          </w:tbl>
          <w:bookmarkEnd w:id="47"/>
          <w:p/>
        </w:tc>
      </w:tr>
    </w:tbl>
    <w:p>
      <w:pPr>
        <w:pStyle w:val="BodyText"/>
      </w:pPr>
      <w:r>
        <w:t xml:space="preserve">En el</w:t>
      </w:r>
      <w:r>
        <w:t xml:space="preserve"> </w:t>
      </w:r>
      <w:r>
        <w:rPr>
          <w:b/>
          <w:bCs/>
        </w:rPr>
        <w:t xml:space="preserve">Chaco</w:t>
      </w:r>
      <w:r>
        <w:t xml:space="preserve">, el factor determinante es el</w:t>
      </w:r>
      <w:r>
        <w:t xml:space="preserve"> </w:t>
      </w:r>
      <w:r>
        <w:rPr>
          <w:b/>
          <w:bCs/>
        </w:rPr>
        <w:t xml:space="preserve">Déficit de Presión de Vapor</w:t>
      </w:r>
      <w:r>
        <w:t xml:space="preserve"> </w:t>
      </w:r>
      <w:r>
        <w:t xml:space="preserve">(</w:t>
      </w:r>
      <m:oMath>
        <m:r>
          <m:t>V</m:t>
        </m:r>
        <m:r>
          <m:t>P</m:t>
        </m:r>
        <m:r>
          <m:t>D</m:t>
        </m:r>
      </m:oMath>
      <w:r>
        <w:t xml:space="preserve">), seguido de la velocidad del viento y los días secos consecutivos. Esto refleja la realidad termodinámica de un bioma xerofítico donde la ignición depende del secado explosivo de la biomasa por aire cálido proveniente del noroeste continental.</w:t>
      </w:r>
    </w:p>
    <w:p>
      <w:pPr>
        <w:pStyle w:val="BodyText"/>
      </w:pPr>
      <w:r>
        <w:t xml:space="preserve">En contraste, en la</w:t>
      </w:r>
      <w:r>
        <w:t xml:space="preserve"> </w:t>
      </w:r>
      <w:r>
        <w:rPr>
          <w:b/>
          <w:bCs/>
        </w:rPr>
        <w:t xml:space="preserve">Región Oriental</w:t>
      </w:r>
      <w:r>
        <w:t xml:space="preserve">, el motor principal es el</w:t>
      </w:r>
      <w:r>
        <w:t xml:space="preserve"> </w:t>
      </w:r>
      <w:r>
        <w:rPr>
          <w:b/>
          <w:bCs/>
        </w:rPr>
        <w:t xml:space="preserve">FFMC</w:t>
      </w:r>
      <w:r>
        <w:t xml:space="preserve"> </w:t>
      </w:r>
      <w:r>
        <w:t xml:space="preserve">y la</w:t>
      </w:r>
      <w:r>
        <w:t xml:space="preserve"> </w:t>
      </w:r>
      <w:r>
        <w:rPr>
          <w:b/>
          <w:bCs/>
        </w:rPr>
        <w:t xml:space="preserve">amplitud térmica</w:t>
      </w:r>
      <w:r>
        <w:t xml:space="preserve">, combinados con la cobertura de pasturas. La amplitud térmica actúa como indicador de cielos despejados e insolación intensa que deseca los pastizales implantados en zonas de frontera agrícola.</w:t>
      </w:r>
    </w:p>
    <w:bookmarkEnd w:id="48"/>
    <w:bookmarkStart w:id="50" w:name="Xd400fc78ef45af2831f753f6a1c6cdfdf24e979"/>
    <w:p>
      <w:pPr>
        <w:pStyle w:val="Heading2"/>
      </w:pPr>
      <w:r>
        <w:t xml:space="preserve">5.4 5.4 Evaluación de Latencia y Rendimiento en Tiempo Real</w:t>
      </w:r>
    </w:p>
    <w:p>
      <w:pPr>
        <w:pStyle w:val="FirstParagraph"/>
      </w:pPr>
      <w:r>
        <w:t xml:space="preserve">El servicio automatizado de alerta (</w:t>
      </w:r>
      <w:hyperlink r:id="rId49">
        <w:r>
          <w:rPr>
            <w:rStyle w:val="VerbatimChar"/>
          </w:rPr>
          <w:t xml:space="preserve">src/alerta.py</w:t>
        </w:r>
      </w:hyperlink>
      <w:r>
        <w:t xml:space="preserve">) se evaluó mediante pruebas de estrés sobre la totalidad del país (</w:t>
      </w:r>
      <m:oMath>
        <m:r>
          <m:t>400.006</m:t>
        </m:r>
      </m:oMath>
      <w:r>
        <w:t xml:space="preserve"> </w:t>
      </w:r>
      <w:r>
        <w:t xml:space="preserve">celdas):</w:t>
      </w:r>
      <w:r>
        <w:t xml:space="preserve"> </w:t>
      </w:r>
      <w:r>
        <w:t xml:space="preserve">-</w:t>
      </w:r>
      <w:r>
        <w:t xml:space="preserve"> </w:t>
      </w:r>
      <w:r>
        <w:rPr>
          <w:b/>
          <w:bCs/>
        </w:rPr>
        <w:t xml:space="preserve">Carga de datos y grilla</w:t>
      </w:r>
      <w:r>
        <w:rPr>
          <w:b/>
          <w:bCs/>
        </w:rPr>
        <w:t xml:space="preserve"> </w:t>
      </w:r>
      <m:oMath>
        <m:r>
          <m:t>O</m:t>
        </m:r>
        <m:r>
          <m:rPr>
            <m:sty m:val="p"/>
          </m:rPr>
          <m:t>(</m:t>
        </m:r>
        <m:r>
          <m:t>1</m:t>
        </m:r>
        <m:r>
          <m:rPr>
            <m:sty m:val="p"/>
          </m:rPr>
          <m:t>)</m:t>
        </m:r>
      </m:oMath>
      <w:r>
        <w:rPr>
          <w:b/>
          <w:bCs/>
        </w:rPr>
        <w:t xml:space="preserve">:</w:t>
      </w:r>
      <w:r>
        <w:t xml:space="preserve"> </w:t>
      </w:r>
      <m:oMath>
        <m:r>
          <m:t>0</m:t>
        </m:r>
        <m:r>
          <m:rPr>
            <m:sty m:val="p"/>
          </m:rPr>
          <m:t>,</m:t>
        </m:r>
        <m:r>
          <m:t>15</m:t>
        </m:r>
        <m:r>
          <m:rPr>
            <m:nor/>
            <m:sty m:val="p"/>
          </m:rPr>
          <m:t> s</m:t>
        </m:r>
      </m:oMath>
      <w:r>
        <w:t xml:space="preserve">.</w:t>
      </w:r>
      <w:r>
        <w:t xml:space="preserve"> </w:t>
      </w:r>
      <w:r>
        <w:t xml:space="preserve">-</w:t>
      </w:r>
      <w:r>
        <w:t xml:space="preserve"> </w:t>
      </w:r>
      <w:r>
        <w:rPr>
          <w:b/>
          <w:bCs/>
        </w:rPr>
        <w:t xml:space="preserve">Gating biofísico de primera etapa:</w:t>
      </w:r>
      <w:r>
        <w:t xml:space="preserve"> </w:t>
      </w:r>
      <m:oMath>
        <m:r>
          <m:t>0</m:t>
        </m:r>
        <m:r>
          <m:rPr>
            <m:sty m:val="p"/>
          </m:rPr>
          <m:t>,</m:t>
        </m:r>
        <m:r>
          <m:t>08</m:t>
        </m:r>
        <m:r>
          <m:rPr>
            <m:nor/>
            <m:sty m:val="p"/>
          </m:rPr>
          <m:t> s</m:t>
        </m:r>
      </m:oMath>
      <w:r>
        <w:t xml:space="preserve">.</w:t>
      </w:r>
      <w:r>
        <w:t xml:space="preserve"> </w:t>
      </w:r>
      <w:r>
        <w:t xml:space="preserve">-</w:t>
      </w:r>
      <w:r>
        <w:t xml:space="preserve"> </w:t>
      </w:r>
      <w:r>
        <w:rPr>
          <w:b/>
          <w:bCs/>
        </w:rPr>
        <w:t xml:space="preserve">Inferencia dual LightGBM (Ignición + Propagación):</w:t>
      </w:r>
      <w:r>
        <w:t xml:space="preserve"> </w:t>
      </w:r>
      <m:oMath>
        <m:r>
          <m:t>0</m:t>
        </m:r>
        <m:r>
          <m:rPr>
            <m:sty m:val="p"/>
          </m:rPr>
          <m:t>,</m:t>
        </m:r>
        <m:r>
          <m:t>42</m:t>
        </m:r>
        <m:r>
          <m:rPr>
            <m:nor/>
            <m:sty m:val="p"/>
          </m:rPr>
          <m:t> s</m:t>
        </m:r>
      </m:oMath>
      <w:r>
        <w:t xml:space="preserve">.</w:t>
      </w:r>
      <w:r>
        <w:t xml:space="preserve"> </w:t>
      </w:r>
      <w:r>
        <w:t xml:space="preserve">-</w:t>
      </w:r>
      <w:r>
        <w:t xml:space="preserve"> </w:t>
      </w:r>
      <w:r>
        <w:rPr>
          <w:b/>
          <w:bCs/>
        </w:rPr>
        <w:t xml:space="preserve">Exportación tabular y GeoTIFF nacional:</w:t>
      </w:r>
      <w:r>
        <w:t xml:space="preserve"> </w:t>
      </w:r>
      <m:oMath>
        <m:r>
          <m:t>0</m:t>
        </m:r>
        <m:r>
          <m:rPr>
            <m:sty m:val="p"/>
          </m:rPr>
          <m:t>,</m:t>
        </m:r>
        <m:r>
          <m:t>10</m:t>
        </m:r>
        <m:r>
          <m:rPr>
            <m:nor/>
            <m:sty m:val="p"/>
          </m:rPr>
          <m:t> s</m:t>
        </m:r>
      </m:oMath>
      <w:r>
        <w:t xml:space="preserve">.</w:t>
      </w:r>
      <w:r>
        <w:t xml:space="preserve"> </w:t>
      </w:r>
      <w:r>
        <w:t xml:space="preserve">-</w:t>
      </w:r>
      <w:r>
        <w:t xml:space="preserve"> </w:t>
      </w:r>
      <w:r>
        <w:rPr>
          <w:b/>
          <w:bCs/>
        </w:rPr>
        <w:t xml:space="preserve">Tiempo total de ejecución de punta a punta:</w:t>
      </w:r>
      <w:r>
        <w:t xml:space="preserve"> </w:t>
      </w:r>
      <m:oMath>
        <m:r>
          <m:t>0</m:t>
        </m:r>
        <m:r>
          <m:rPr>
            <m:sty m:val="p"/>
          </m:rPr>
          <m:t>,</m:t>
        </m:r>
        <m:r>
          <m:t>75</m:t>
        </m:r>
        <m:r>
          <m:rPr>
            <m:nor/>
            <m:sty m:val="p"/>
          </m:rPr>
          <m:t> segundos</m:t>
        </m:r>
      </m:oMath>
      <w:r>
        <w:t xml:space="preserve">.</w:t>
      </w:r>
    </w:p>
    <w:p>
      <w:pPr>
        <w:pStyle w:val="BodyText"/>
      </w:pPr>
      <w:r>
        <w:t xml:space="preserve">Este rendimiento garantiza que una agencia estatal (como el Cuerpo de Bomberos o el INFONA) pueda ejecutar predicciones cada hora si se dispone de pronósticos numéricos de alta frecuencia sin requerir infraestructura de supercómputo.</w:t>
      </w:r>
    </w:p>
    <w:p>
      <w:r>
        <w:pict>
          <v:rect style="width:0;height:1.5pt" o:hralign="center" o:hrstd="t" o:hr="t"/>
        </w:pict>
      </w:r>
    </w:p>
    <w:bookmarkEnd w:id="50"/>
    <w:bookmarkEnd w:id="51"/>
    <w:bookmarkStart w:id="56" w:name="discusión"/>
    <w:p>
      <w:pPr>
        <w:pStyle w:val="Heading1"/>
      </w:pPr>
      <w:r>
        <w:t xml:space="preserve">6. 6. Discusión</w:t>
      </w:r>
    </w:p>
    <w:bookmarkStart w:id="52" w:name="Xda889537f016710562802a3266606dcae09ed30"/>
    <w:p>
      <w:pPr>
        <w:pStyle w:val="Heading2"/>
      </w:pPr>
      <w:r>
        <w:t xml:space="preserve">6.1 6.1 Por qué Fallan los Índices Boreales Canónicos en el Gran Chaco</w:t>
      </w:r>
    </w:p>
    <w:p>
      <w:pPr>
        <w:pStyle w:val="FirstParagraph"/>
      </w:pPr>
      <w:r>
        <w:t xml:space="preserve">Nuestros hallazgos demuestran de forma concluyente que la adopción acrítica del</w:t>
      </w:r>
      <w:r>
        <w:t xml:space="preserve"> </w:t>
      </w:r>
      <w:r>
        <w:rPr>
          <w:b/>
          <w:bCs/>
        </w:rPr>
        <w:t xml:space="preserve">Canadian FWI</w:t>
      </w:r>
      <w:r>
        <w:t xml:space="preserve"> </w:t>
      </w:r>
      <w:r>
        <w:t xml:space="preserve">en Sudamérica genera fallas operativas graves. El FWI fue calibrado originalmente bajo el supuesto de bosques cerrados de coníferas boreales (</w:t>
      </w:r>
      <w:r>
        <w:rPr>
          <w:i/>
          <w:iCs/>
        </w:rPr>
        <w:t xml:space="preserve">Pinus banksiana</w:t>
      </w:r>
      <w:r>
        <w:t xml:space="preserve">), donde el combustible crítico es el mantillo orgánico profundo (</w:t>
      </w:r>
      <w:r>
        <w:rPr>
          <w:i/>
          <w:iCs/>
        </w:rPr>
        <w:t xml:space="preserve">duff layer</w:t>
      </w:r>
      <w:r>
        <w:t xml:space="preserve">) y las tasas de evaporación son moderadas</w:t>
      </w:r>
      <w:r>
        <w:t xml:space="preserve"> </w:t>
      </w:r>
      <w:r>
        <w:t xml:space="preserve">(Van Wagner, 1987)</w:t>
      </w:r>
      <w:r>
        <w:t xml:space="preserve">.</w:t>
      </w:r>
    </w:p>
    <w:p>
      <w:pPr>
        <w:pStyle w:val="BodyText"/>
      </w:pPr>
      <w:r>
        <w:t xml:space="preserve">En el Gran Chaco, el régimen del fuego es radicalmente distinto:</w:t>
      </w:r>
      <w:r>
        <w:t xml:space="preserve"> </w:t>
      </w:r>
      <w:r>
        <w:t xml:space="preserve">1. El combustible dominante es fino (pastizales naturales y gramíneas invasoras en pasturas ganaderas) con tiempos de respuesta de secado de pocas horas, altamente sensibles a picos intradiarios de</w:t>
      </w:r>
      <w:r>
        <w:t xml:space="preserve"> </w:t>
      </w:r>
      <m:oMath>
        <m:r>
          <m:t>V</m:t>
        </m:r>
        <m:r>
          <m:t>P</m:t>
        </m:r>
        <m:r>
          <m:t>D</m:t>
        </m:r>
      </m:oMath>
      <w:r>
        <w:t xml:space="preserve">.</w:t>
      </w:r>
      <w:r>
        <w:t xml:space="preserve"> </w:t>
      </w:r>
      <w:r>
        <w:t xml:space="preserve">2. Las temperaturas extremas (</w:t>
      </w:r>
      <m:oMath>
        <m:r>
          <m:rPr>
            <m:sty m:val="p"/>
          </m:rPr>
          <m:t>&gt;</m:t>
        </m:r>
        <m:sSup>
          <m:e>
            <m:r>
              <m:t>40</m:t>
            </m:r>
          </m:e>
          <m:sup>
            <m:r>
              <m:rPr>
                <m:sty m:val="p"/>
              </m:rPr>
              <m:t>∘</m:t>
            </m:r>
          </m:sup>
        </m:sSup>
        <m:r>
          <m:rPr>
            <m:nor/>
            <m:sty m:val="p"/>
          </m:rPr>
          <m:t>C</m:t>
        </m:r>
      </m:oMath>
      <w:r>
        <w:t xml:space="preserve">) provocan una evaporación acelerada que los índices diarios tradicionales (calculados exclusivamente a las 12:00h locales) subestiman severamente al ignorar el ciclo diurno de la tarde.</w:t>
      </w:r>
      <w:r>
        <w:t xml:space="preserve"> </w:t>
      </w:r>
      <w:r>
        <w:t xml:space="preserve">3. El componente antrópico (quema deliberada de pasturas) se concentra en días donde el FWI aún reporta niveles</w:t>
      </w:r>
      <w:r>
        <w:t xml:space="preserve"> </w:t>
      </w:r>
      <w:r>
        <w:t xml:space="preserve">“moderados”</w:t>
      </w:r>
      <w:r>
        <w:t xml:space="preserve"> </w:t>
      </w:r>
      <w:r>
        <w:t xml:space="preserve">de peligro, provocando que los sistemas oficiales basados en FWI emitan alertas tardías.</w:t>
      </w:r>
    </w:p>
    <w:bookmarkEnd w:id="52"/>
    <w:bookmarkStart w:id="53" w:name="Xe143504139dc7344e78637b6380bb48516f1da7"/>
    <w:p>
      <w:pPr>
        <w:pStyle w:val="Heading2"/>
      </w:pPr>
      <w:r>
        <w:t xml:space="preserve">6.2 6.2 El Valor Científico del Desacoplamiento Honesto</w:t>
      </w:r>
    </w:p>
    <w:p>
      <w:pPr>
        <w:pStyle w:val="FirstParagraph"/>
      </w:pPr>
      <w:r>
        <w:t xml:space="preserve">La literatura de machine learning aplicado al fuego abunda en publicaciones que reportan precisiones superiores al 95 % utilizando modelos únicos que mezclan variables meteorológicas con la distancia a focos del día anterior. Nuestro estudio demuestra que esos modelos sufren de</w:t>
      </w:r>
      <w:r>
        <w:t xml:space="preserve"> </w:t>
      </w:r>
      <w:r>
        <w:rPr>
          <w:b/>
          <w:bCs/>
        </w:rPr>
        <w:t xml:space="preserve">ceguera selectiva ante la ignición primaria</w:t>
      </w:r>
      <w:r>
        <w:t xml:space="preserve">: cuando se elimina el atajo del fuego anterior, su precisión colapsa.</w:t>
      </w:r>
    </w:p>
    <w:p>
      <w:pPr>
        <w:pStyle w:val="BodyText"/>
      </w:pPr>
      <w:r>
        <w:t xml:space="preserve">Al separar analíticamente la</w:t>
      </w:r>
      <w:r>
        <w:t xml:space="preserve"> </w:t>
      </w:r>
      <w:r>
        <w:rPr>
          <w:b/>
          <w:bCs/>
        </w:rPr>
        <w:t xml:space="preserve">Ignición Física</w:t>
      </w:r>
      <w:r>
        <w:t xml:space="preserve"> </w:t>
      </w:r>
      <w:r>
        <w:t xml:space="preserve">de la</w:t>
      </w:r>
      <w:r>
        <w:t xml:space="preserve"> </w:t>
      </w:r>
      <w:r>
        <w:rPr>
          <w:b/>
          <w:bCs/>
        </w:rPr>
        <w:t xml:space="preserve">Propagación Táctica</w:t>
      </w:r>
      <w:r>
        <w:t xml:space="preserve">:</w:t>
      </w:r>
      <w:r>
        <w:t xml:space="preserve"> </w:t>
      </w:r>
      <w:r>
        <w:t xml:space="preserve">- Proveemos a los equipos de prevención y patrullaje territorial una herramienta objetiva que señala dónde el bosque está físicamente a punto de arder, antes de que aparezca la primera llama.</w:t>
      </w:r>
      <w:r>
        <w:t xml:space="preserve"> </w:t>
      </w:r>
      <w:r>
        <w:t xml:space="preserve">- Proveemos a los bomberos en el terreno un modelo táctico de combate capaz de anticipar hacia qué cuadrante avanzará el frente activo en las próximas 24 horas con una precisión del</w:t>
      </w:r>
      <w:r>
        <w:t xml:space="preserve"> </w:t>
      </w:r>
      <m:oMath>
        <m:r>
          <m:t>97</m:t>
        </m:r>
        <m:r>
          <m:rPr>
            <m:sty m:val="p"/>
          </m:rPr>
          <m:t>,</m:t>
        </m:r>
        <m:r>
          <m:t>71</m:t>
        </m:r>
        <m:r>
          <m:rPr>
            <m:nor/>
            <m:sty m:val="p"/>
          </m:rPr>
          <m:t> %</m:t>
        </m:r>
      </m:oMath>
      <w:r>
        <w:t xml:space="preserve">.</w:t>
      </w:r>
    </w:p>
    <w:bookmarkEnd w:id="53"/>
    <w:bookmarkStart w:id="54" w:name="Xcdb6614f49e377e95868282d3e14bf0f8e490ca"/>
    <w:p>
      <w:pPr>
        <w:pStyle w:val="Heading2"/>
      </w:pPr>
      <w:r>
        <w:t xml:space="preserve">6.3 6.3 Eficiencia y Soberanía Tecnológica para el Sur Global</w:t>
      </w:r>
    </w:p>
    <w:p>
      <w:pPr>
        <w:pStyle w:val="FirstParagraph"/>
      </w:pPr>
      <w:r>
        <w:t xml:space="preserve">Una barrera frecuente para la adopción de inteligencia artificial en países en desarrollo es la dependencia de costosos servicios en la nube o clusters de supercómputo inaccesibles para agencias públicas locales.</w:t>
      </w:r>
      <w:r>
        <w:t xml:space="preserve"> </w:t>
      </w:r>
      <w:r>
        <w:rPr>
          <w:rStyle w:val="VerbatimChar"/>
        </w:rPr>
        <w:t xml:space="preserve">Incendios_PY</w:t>
      </w:r>
      <w:r>
        <w:t xml:space="preserve"> </w:t>
      </w:r>
      <w:r>
        <w:t xml:space="preserve">fue deliberadamente concebido para derribar esta barrera:</w:t>
      </w:r>
      <w:r>
        <w:t xml:space="preserve"> </w:t>
      </w:r>
      <w:r>
        <w:t xml:space="preserve">- Al utilizar</w:t>
      </w:r>
      <w:r>
        <w:t xml:space="preserve"> </w:t>
      </w:r>
      <w:r>
        <w:rPr>
          <w:b/>
          <w:bCs/>
        </w:rPr>
        <w:t xml:space="preserve">DuckDB</w:t>
      </w:r>
      <w:r>
        <w:t xml:space="preserve"> </w:t>
      </w:r>
      <w:r>
        <w:t xml:space="preserve">y</w:t>
      </w:r>
      <w:r>
        <w:t xml:space="preserve"> </w:t>
      </w:r>
      <w:r>
        <w:rPr>
          <w:b/>
          <w:bCs/>
        </w:rPr>
        <w:t xml:space="preserve">Polars</w:t>
      </w:r>
      <w:r>
        <w:t xml:space="preserve">, el pipeline procesa la historia decenal completa en menos de 4 GB de RAM.</w:t>
      </w:r>
      <w:r>
        <w:t xml:space="preserve"> </w:t>
      </w:r>
      <w:r>
        <w:t xml:space="preserve">- El modelo completo puede reentrenarse en menos de 6 minutos en cualquier computadora portátil moderna (incluyendo procesadores ARM64 de consumo como Apple Silicon M-Series).</w:t>
      </w:r>
      <w:r>
        <w:t xml:space="preserve"> </w:t>
      </w:r>
      <w:r>
        <w:t xml:space="preserve">- Todo el código es 100 % abierto, sin dependencias propietarias, asegurando transferibilidad institucional directa hacia el</w:t>
      </w:r>
      <w:r>
        <w:t xml:space="preserve"> </w:t>
      </w:r>
      <w:r>
        <w:rPr>
          <w:b/>
          <w:bCs/>
        </w:rPr>
        <w:t xml:space="preserve">MADES</w:t>
      </w:r>
      <w:r>
        <w:t xml:space="preserve">, el</w:t>
      </w:r>
      <w:r>
        <w:t xml:space="preserve"> </w:t>
      </w:r>
      <w:r>
        <w:rPr>
          <w:b/>
          <w:bCs/>
        </w:rPr>
        <w:t xml:space="preserve">INFONA</w:t>
      </w:r>
      <w:r>
        <w:t xml:space="preserve"> </w:t>
      </w:r>
      <w:r>
        <w:t xml:space="preserve">y los</w:t>
      </w:r>
      <w:r>
        <w:t xml:space="preserve"> </w:t>
      </w:r>
      <w:r>
        <w:rPr>
          <w:b/>
          <w:bCs/>
        </w:rPr>
        <w:t xml:space="preserve">Cuerpos de Bomberos Voluntarios del Paraguay</w:t>
      </w:r>
      <w:r>
        <w:t xml:space="preserve">.</w:t>
      </w:r>
    </w:p>
    <w:bookmarkEnd w:id="54"/>
    <w:bookmarkStart w:id="55" w:name="limitaciones"/>
    <w:p>
      <w:pPr>
        <w:pStyle w:val="Heading2"/>
      </w:pPr>
      <w:r>
        <w:t xml:space="preserve">6.4 6.4 Limitaciones</w:t>
      </w:r>
    </w:p>
    <w:p>
      <w:pPr>
        <w:pStyle w:val="FirstParagraph"/>
      </w:pPr>
      <w:r>
        <w:t xml:space="preserve">El marco actual presenta dos limitaciones que deben reconocerse:</w:t>
      </w:r>
      <w:r>
        <w:t xml:space="preserve"> </w:t>
      </w:r>
      <w:r>
        <w:t xml:space="preserve">1.</w:t>
      </w:r>
      <w:r>
        <w:t xml:space="preserve"> </w:t>
      </w:r>
      <w:r>
        <w:rPr>
          <w:b/>
          <w:bCs/>
        </w:rPr>
        <w:t xml:space="preserve">Resolución de la Entrada Meteorológica:</w:t>
      </w:r>
      <w:r>
        <w:t xml:space="preserve"> </w:t>
      </w:r>
      <w:r>
        <w:t xml:space="preserve">El reanálisis ERA5-Land opera a</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lo que implica que las variaciones microclimáticas locales (como brisas de valles o islas de calor locales) son suavizadas espacialmente.</w:t>
      </w:r>
      <w:r>
        <w:t xml:space="preserve"> </w:t>
      </w:r>
      <w:r>
        <w:t xml:space="preserve">2.</w:t>
      </w:r>
      <w:r>
        <w:t xml:space="preserve"> </w:t>
      </w:r>
      <w:r>
        <w:rPr>
          <w:b/>
          <w:bCs/>
        </w:rPr>
        <w:t xml:space="preserve">Dependencia de la Cobertura de Nubes:</w:t>
      </w:r>
      <w:r>
        <w:t xml:space="preserve"> </w:t>
      </w:r>
      <w:r>
        <w:t xml:space="preserve">El sensor VIIRS opera en el espectro óptico e infrarrojo térmico, lo que significa que coberturas nubosas densas pueden impedir temporalmente la detección de focos en la fecha</w:t>
      </w:r>
      <w:r>
        <w:t xml:space="preserve"> </w:t>
      </w:r>
      <m:oMath>
        <m:r>
          <m:t>t</m:t>
        </m:r>
        <m:r>
          <m:rPr>
            <m:sty m:val="p"/>
          </m:rPr>
          <m:t>−</m:t>
        </m:r>
        <m:r>
          <m:t>1</m:t>
        </m:r>
      </m:oMath>
      <w:r>
        <w:t xml:space="preserve">, reduciendo transitoriamente la sensibilidad de la capa de propagación.</w:t>
      </w:r>
    </w:p>
    <w:p>
      <w:r>
        <w:pict>
          <v:rect style="width:0;height:1.5pt" o:hralign="center" o:hrstd="t" o:hr="t"/>
        </w:pict>
      </w:r>
    </w:p>
    <w:bookmarkEnd w:id="55"/>
    <w:bookmarkEnd w:id="56"/>
    <w:bookmarkStart w:id="58" w:name="conclusiones-y-trabajo-futuro"/>
    <w:p>
      <w:pPr>
        <w:pStyle w:val="Heading1"/>
      </w:pPr>
      <w:r>
        <w:t xml:space="preserve">7. 7. Conclusiones y Trabajo Futuro</w:t>
      </w:r>
    </w:p>
    <w:p>
      <w:pPr>
        <w:pStyle w:val="FirstParagraph"/>
      </w:pPr>
      <w:r>
        <w:t xml:space="preserve">Este trabajo introduce un marco computacional riguroso, desacoplado y reproducible para la predicción del peligro de incendios a escala soberana en Paraguay. Las conclusiones principales son:</w:t>
      </w:r>
    </w:p>
    <w:p>
      <w:pPr>
        <w:pStyle w:val="Compact"/>
        <w:numPr>
          <w:ilvl w:val="0"/>
          <w:numId w:val="1008"/>
        </w:numPr>
      </w:pPr>
      <w:r>
        <w:t xml:space="preserve">El cribado biofísico de primera etapa (</w:t>
      </w:r>
      <w:r>
        <w:rPr>
          <w:i/>
          <w:iCs/>
        </w:rPr>
        <w:t xml:space="preserve">Two-Stage Gating</w:t>
      </w:r>
      <w:r>
        <w:t xml:space="preserve">) reduce la dimensionalidad en un 92 % sin sacrificar la detección de incendios reales.</w:t>
      </w:r>
    </w:p>
    <w:p>
      <w:pPr>
        <w:pStyle w:val="Compact"/>
        <w:numPr>
          <w:ilvl w:val="0"/>
          <w:numId w:val="1008"/>
        </w:numPr>
      </w:pPr>
      <w:r>
        <w:t xml:space="preserve">El desacoplamiento entre Ignición Física y Propagación Táctica elimina el sesgo de atajo espacial, logrando una precisión del</w:t>
      </w:r>
      <w:r>
        <w:t xml:space="preserve"> </w:t>
      </w:r>
      <m:oMath>
        <m:r>
          <m:t>97</m:t>
        </m:r>
        <m:r>
          <m:rPr>
            <m:sty m:val="p"/>
          </m:rPr>
          <m:t>,</m:t>
        </m:r>
        <m:r>
          <m:t>71</m:t>
        </m:r>
        <m:r>
          <m:rPr>
            <m:nor/>
            <m:sty m:val="p"/>
          </m:rPr>
          <m:t> %</m:t>
        </m:r>
      </m:oMath>
      <w:r>
        <w:t xml:space="preserve"> </w:t>
      </w:r>
      <w:r>
        <w:t xml:space="preserve">en propagación y superando al Canadian FWI por más de 38 puntos porcentuales de ROC-AUC en ignición.</w:t>
      </w:r>
    </w:p>
    <w:p>
      <w:pPr>
        <w:pStyle w:val="Compact"/>
        <w:numPr>
          <w:ilvl w:val="0"/>
          <w:numId w:val="1008"/>
        </w:numPr>
      </w:pPr>
      <w:r>
        <w:t xml:space="preserve">El déficit de presión de vapor (</w:t>
      </w:r>
      <m:oMath>
        <m:r>
          <m:t>V</m:t>
        </m:r>
        <m:r>
          <m:t>P</m:t>
        </m:r>
        <m:r>
          <m:t>D</m:t>
        </m:r>
      </m:oMath>
      <w:r>
        <w:t xml:space="preserve">) es el principal forzante físico en el Chaco semiárido, mientras que el contenido de humedad del combustible fino (</w:t>
      </w:r>
      <m:oMath>
        <m:r>
          <m:t>F</m:t>
        </m:r>
        <m:r>
          <m:t>F</m:t>
        </m:r>
        <m:r>
          <m:t>M</m:t>
        </m:r>
        <m:r>
          <m:t>C</m:t>
        </m:r>
      </m:oMath>
      <w:r>
        <w:t xml:space="preserve">) gobierna la Región Oriental.</w:t>
      </w:r>
    </w:p>
    <w:p>
      <w:pPr>
        <w:pStyle w:val="Compact"/>
        <w:numPr>
          <w:ilvl w:val="0"/>
          <w:numId w:val="1008"/>
        </w:numPr>
      </w:pPr>
      <w:r>
        <w:t xml:space="preserve">El pipeline analítico ejecuta la inferencia nacional completa en</w:t>
      </w:r>
      <w:r>
        <w:t xml:space="preserve"> </w:t>
      </w:r>
      <m:oMath>
        <m:r>
          <m:t>0</m:t>
        </m:r>
        <m:r>
          <m:rPr>
            <m:sty m:val="p"/>
          </m:rPr>
          <m:t>,</m:t>
        </m:r>
        <m:r>
          <m:t>75</m:t>
        </m:r>
      </m:oMath>
      <w:r>
        <w:t xml:space="preserve"> </w:t>
      </w:r>
      <w:r>
        <w:t xml:space="preserve">segundos, permitiendo su despliegue operativo en tiempo real a costo computacional nulo.</w:t>
      </w:r>
    </w:p>
    <w:bookmarkStart w:id="57" w:name="Xdae893e2915d113180b7060a282cadd6c130de3"/>
    <w:p>
      <w:pPr>
        <w:pStyle w:val="Heading3"/>
      </w:pPr>
      <w:r>
        <w:t xml:space="preserve">7.0.1 Trabajo Futuro: Verificación Satelital Tri-Modal</w:t>
      </w:r>
    </w:p>
    <w:p>
      <w:pPr>
        <w:pStyle w:val="FirstParagraph"/>
      </w:pPr>
      <w:r>
        <w:t xml:space="preserve">Como evolución inmediata, proponemos la integración del sistema de predicción con un pipeline automatizado de</w:t>
      </w:r>
      <w:r>
        <w:t xml:space="preserve"> </w:t>
      </w:r>
      <w:r>
        <w:rPr>
          <w:b/>
          <w:bCs/>
        </w:rPr>
        <w:t xml:space="preserve">verificación satelital tri-modal multiespectral</w:t>
      </w:r>
      <w:r>
        <w:t xml:space="preserve">:</w:t>
      </w:r>
      <w:r>
        <w:t xml:space="preserve"> </w:t>
      </w:r>
      <w:r>
        <w:t xml:space="preserve">-</w:t>
      </w:r>
      <w:r>
        <w:t xml:space="preserve"> </w:t>
      </w:r>
      <w:r>
        <w:rPr>
          <w:b/>
          <w:bCs/>
        </w:rPr>
        <w:t xml:space="preserve">Modo 1 (Regional Sinóptico):</w:t>
      </w:r>
      <w:r>
        <w:t xml:space="preserve"> </w:t>
      </w:r>
      <w:r>
        <w:t xml:space="preserve">Cartografía nacional diaria del índice de peligro a 1 km².</w:t>
      </w:r>
      <w:r>
        <w:t xml:space="preserve"> </w:t>
      </w:r>
      <w:r>
        <w:t xml:space="preserve">-</w:t>
      </w:r>
      <w:r>
        <w:t xml:space="preserve"> </w:t>
      </w:r>
      <w:r>
        <w:rPr>
          <w:b/>
          <w:bCs/>
        </w:rPr>
        <w:t xml:space="preserve">Modo 2 (Focal VIIRS 375 m):</w:t>
      </w:r>
      <w:r>
        <w:t xml:space="preserve"> </w:t>
      </w:r>
      <w:r>
        <w:t xml:space="preserve">Detección de anomalías térmicas y clusters de propagación activa.</w:t>
      </w:r>
      <w:r>
        <w:t xml:space="preserve"> </w:t>
      </w:r>
      <w:r>
        <w:t xml:space="preserve">-</w:t>
      </w:r>
      <w:r>
        <w:t xml:space="preserve"> </w:t>
      </w:r>
      <w:r>
        <w:rPr>
          <w:b/>
          <w:bCs/>
        </w:rPr>
        <w:t xml:space="preserve">Modo 3 (Infrarrojo de Onda Corta SWIR / Sentinel-2 / Landsat-9 a 20 m):</w:t>
      </w:r>
      <w:r>
        <w:t xml:space="preserve"> </w:t>
      </w:r>
      <w:r>
        <w:t xml:space="preserve">Inspección de alta resolución para la delimitación precisa de cicatrices de quemado (</w:t>
      </w:r>
      <w:r>
        <w:rPr>
          <w:i/>
          <w:iCs/>
        </w:rPr>
        <w:t xml:space="preserve">burn scars</w:t>
      </w:r>
      <w:r>
        <w:t xml:space="preserve">) y cálculo del índice normalizado de área quemada (</w:t>
      </w:r>
      <m:oMath>
        <m:r>
          <m:t>N</m:t>
        </m:r>
        <m:r>
          <m:t>B</m:t>
        </m:r>
        <m:r>
          <m:t>R</m:t>
        </m:r>
      </m:oMath>
      <w:r>
        <w:t xml:space="preserve">).</w:t>
      </w:r>
    </w:p>
    <w:p>
      <w:r>
        <w:pict>
          <v:rect style="width:0;height:1.5pt" o:hralign="center" o:hrstd="t" o:hr="t"/>
        </w:pict>
      </w:r>
    </w:p>
    <w:bookmarkEnd w:id="57"/>
    <w:bookmarkEnd w:id="58"/>
    <w:bookmarkStart w:id="61" w:name="Xce78c41521918f7ee75d0354003d52e87d74cef"/>
    <w:p>
      <w:pPr>
        <w:pStyle w:val="Heading1"/>
      </w:pPr>
      <w:r>
        <w:t xml:space="preserve">8. 8. Disponibilidad del Código Computacional (Computer Code Availability)</w:t>
      </w:r>
    </w:p>
    <w:p>
      <w:pPr>
        <w:pStyle w:val="FirstParagraph"/>
      </w:pPr>
      <w:r>
        <w:t xml:space="preserve">En cumplimiento de las políticas obligatorias de reproducibilidad de</w:t>
      </w:r>
      <w:r>
        <w:t xml:space="preserve"> </w:t>
      </w:r>
      <w:r>
        <w:rPr>
          <w:i/>
          <w:iCs/>
        </w:rPr>
        <w:t xml:space="preserve">Computers &amp; Geosciences</w:t>
      </w:r>
      <w:r>
        <w:t xml:space="preserve">, la</w:t>
      </w:r>
      <w:r>
        <w:t xml:space="preserve"> </w:t>
      </w:r>
      <w:hyperlink w:anchor="tbl-code">
        <w:r>
          <w:rPr>
            <w:rStyle w:val="Hyperlink"/>
          </w:rPr>
          <w:t xml:space="preserve">Tabla 5</w:t>
        </w:r>
      </w:hyperlink>
      <w:r>
        <w:t xml:space="preserve"> </w:t>
      </w:r>
      <w:r>
        <w:t xml:space="preserve">detalla los metadatos completos del software.</w:t>
      </w:r>
    </w:p>
    <w:tbl>
      <w:tblPr>
        <w:tblStyle w:val="Table"/>
        <w:tblW w:type="pct" w:w="5000"/>
        <w:tblLayout w:type="fixed"/>
        <w:tblLook w:firstRow="0" w:lastRow="0" w:firstColumn="0" w:lastColumn="0" w:noHBand="0" w:noVBand="0" w:val="0000"/>
      </w:tblPr>
      <w:tblGrid>
        <w:gridCol w:w="7920"/>
      </w:tblGrid>
      <w:tr>
        <w:tc>
          <w:tcPr/>
          <w:bookmarkStart w:id="60" w:name="tbl-code"/>
          <w:p>
            <w:pPr>
              <w:jc w:val="center"/>
            </w:pPr>
            <w:pPr>
              <w:jc w:val="left"/>
              <w:spacing w:before="200"/>
              <w:pStyle w:val="ImageCaption"/>
            </w:pPr>
            <w:r>
              <w:t xml:space="preserve">Tabla 5: Tabla canónica de disponibilidad de código computacional según las directrices de</w:t>
            </w:r>
            <w:r>
              <w:t xml:space="preserve"> </w:t>
            </w:r>
            <w:r>
              <w:rPr>
                <w:i/>
                <w:iCs/>
              </w:rPr>
              <w:t xml:space="preserve">Computers &amp; Geosciences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Metadato Obligatorio</w:t>
                  </w:r>
                </w:p>
              </w:tc>
              <w:tc>
                <w:tcPr/>
                <w:p>
                  <w:pPr>
                    <w:pStyle w:val="Compact"/>
                    <w:jc w:val="left"/>
                    <w:jc w:val="center"/>
                  </w:pPr>
                  <w:r>
                    <w:t xml:space="preserve">Especificación</w:t>
                  </w:r>
                </w:p>
              </w:tc>
            </w:tr>
            <w:tr>
              <w:tc>
                <w:tcPr/>
                <w:p>
                  <w:pPr>
                    <w:pStyle w:val="Compact"/>
                    <w:jc w:val="left"/>
                    <w:jc w:val="center"/>
                  </w:pPr>
                  <w:r>
                    <w:rPr>
                      <w:b/>
                      <w:bCs/>
                    </w:rPr>
                    <w:t xml:space="preserve">Nombre del Programa / Código:</w:t>
                  </w:r>
                </w:p>
              </w:tc>
              <w:tc>
                <w:tcPr/>
                <w:p>
                  <w:pPr>
                    <w:pStyle w:val="Compact"/>
                    <w:jc w:val="left"/>
                    <w:jc w:val="center"/>
                  </w:pPr>
                  <w:r>
                    <w:rPr>
                      <w:rStyle w:val="VerbatimChar"/>
                    </w:rPr>
                    <w:t xml:space="preserve">Incendios_PY</w:t>
                  </w:r>
                </w:p>
              </w:tc>
            </w:tr>
            <w:tr>
              <w:tc>
                <w:tcPr/>
                <w:p>
                  <w:pPr>
                    <w:pStyle w:val="Compact"/>
                    <w:jc w:val="left"/>
                    <w:jc w:val="center"/>
                  </w:pPr>
                  <w:r>
                    <w:rPr>
                      <w:b/>
                      <w:bCs/>
                    </w:rPr>
                    <w:t xml:space="preserve">Desarrollador / Contacto:</w:t>
                  </w:r>
                </w:p>
              </w:tc>
              <w:tc>
                <w:tcPr/>
                <w:p>
                  <w:pPr>
                    <w:pStyle w:val="Compact"/>
                    <w:jc w:val="left"/>
                    <w:jc w:val="center"/>
                  </w:pPr>
                  <w:r>
                    <w:t xml:space="preserve">[Anonimizado para revisión doble ciego] (Contacto vía correspondencia editorial)</w:t>
                  </w:r>
                </w:p>
              </w:tc>
            </w:tr>
            <w:tr>
              <w:tc>
                <w:tcPr/>
                <w:p>
                  <w:pPr>
                    <w:pStyle w:val="Compact"/>
                    <w:jc w:val="left"/>
                    <w:jc w:val="center"/>
                  </w:pPr>
                  <w:r>
                    <w:rPr>
                      <w:b/>
                      <w:bCs/>
                    </w:rPr>
                    <w:t xml:space="preserve">Año de Primera Disponibilidad:</w:t>
                  </w:r>
                </w:p>
              </w:tc>
              <w:tc>
                <w:tcPr/>
                <w:p>
                  <w:pPr>
                    <w:pStyle w:val="Compact"/>
                    <w:jc w:val="left"/>
                    <w:jc w:val="center"/>
                  </w:pPr>
                  <w:r>
                    <w:t xml:space="preserve">2026</w:t>
                  </w:r>
                </w:p>
              </w:tc>
            </w:tr>
            <w:tr>
              <w:tc>
                <w:tcPr/>
                <w:p>
                  <w:pPr>
                    <w:pStyle w:val="Compact"/>
                    <w:jc w:val="left"/>
                    <w:jc w:val="center"/>
                  </w:pPr>
                  <w:r>
                    <w:rPr>
                      <w:b/>
                      <w:bCs/>
                    </w:rPr>
                    <w:t xml:space="preserve">Plataforma de Hardware:</w:t>
                  </w:r>
                </w:p>
              </w:tc>
              <w:tc>
                <w:tcPr/>
                <w:p>
                  <w:pPr>
                    <w:pStyle w:val="Compact"/>
                    <w:jc w:val="left"/>
                    <w:jc w:val="center"/>
                  </w:pPr>
                  <w:r>
                    <w:t xml:space="preserve">x86_64 o ARM64 (Apple Silicon M-Series o Intel/AMD);</w:t>
                  </w:r>
                  <w:r>
                    <w:t xml:space="preserve"> </w:t>
                  </w:r>
                  <m:oMath>
                    <m:r>
                      <m:rPr>
                        <m:sty m:val="p"/>
                      </m:rPr>
                      <m:t>≥</m:t>
                    </m:r>
                    <m:r>
                      <m:t>8</m:t>
                    </m:r>
                    <m:r>
                      <m:rPr>
                        <m:nor/>
                        <m:sty m:val="p"/>
                      </m:rPr>
                      <m:t> GB</m:t>
                    </m:r>
                  </m:oMath>
                  <w:r>
                    <w:t xml:space="preserve"> </w:t>
                  </w:r>
                  <w:r>
                    <w:t xml:space="preserve">RAM.</w:t>
                  </w:r>
                </w:p>
              </w:tc>
            </w:tr>
            <w:tr>
              <w:tc>
                <w:tcPr/>
                <w:p>
                  <w:pPr>
                    <w:pStyle w:val="Compact"/>
                    <w:jc w:val="left"/>
                    <w:jc w:val="center"/>
                  </w:pPr>
                  <w:r>
                    <w:rPr>
                      <w:b/>
                      <w:bCs/>
                    </w:rPr>
                    <w:t xml:space="preserve">Sistema Operativo:</w:t>
                  </w:r>
                </w:p>
              </w:tc>
              <w:tc>
                <w:tcPr/>
                <w:p>
                  <w:pPr>
                    <w:pStyle w:val="Compact"/>
                    <w:jc w:val="left"/>
                    <w:jc w:val="center"/>
                  </w:pPr>
                  <w:r>
                    <w:t xml:space="preserve">Multiplataforma: macOS (13+), Linux (Ubuntu 22.04+), Windows 11 (WSL2).</w:t>
                  </w:r>
                </w:p>
              </w:tc>
            </w:tr>
            <w:tr>
              <w:tc>
                <w:tcPr/>
                <w:p>
                  <w:pPr>
                    <w:pStyle w:val="Compact"/>
                    <w:jc w:val="left"/>
                    <w:jc w:val="center"/>
                  </w:pPr>
                  <w:r>
                    <w:rPr>
                      <w:b/>
                      <w:bCs/>
                    </w:rPr>
                    <w:t xml:space="preserve">Lenguaje de Programación:</w:t>
                  </w:r>
                </w:p>
              </w:tc>
              <w:tc>
                <w:tcPr/>
                <w:p>
                  <w:pPr>
                    <w:pStyle w:val="Compact"/>
                    <w:jc w:val="left"/>
                    <w:jc w:val="center"/>
                  </w:pPr>
                  <w:r>
                    <w:t xml:space="preserve">Python</w:t>
                  </w:r>
                  <w:r>
                    <w:t xml:space="preserve"> </w:t>
                  </w:r>
                  <m:oMath>
                    <m:r>
                      <m:rPr>
                        <m:sty m:val="p"/>
                      </m:rPr>
                      <m:t>≥</m:t>
                    </m:r>
                    <m:r>
                      <m:t>3.11</m:t>
                    </m:r>
                  </m:oMath>
                  <w:r>
                    <w:t xml:space="preserve"> </w:t>
                  </w:r>
                  <w:r>
                    <w:t xml:space="preserve">(con módulos vectorizados en C++ y Rust).</w:t>
                  </w:r>
                </w:p>
              </w:tc>
            </w:tr>
            <w:tr>
              <w:tc>
                <w:tcPr/>
                <w:p>
                  <w:pPr>
                    <w:pStyle w:val="Compact"/>
                    <w:jc w:val="left"/>
                    <w:jc w:val="center"/>
                  </w:pPr>
                  <w:r>
                    <w:rPr>
                      <w:b/>
                      <w:bCs/>
                    </w:rPr>
                    <w:t xml:space="preserve">Bibliotecas y Dependencias:</w:t>
                  </w:r>
                </w:p>
              </w:tc>
              <w:tc>
                <w:tcPr/>
                <w:p>
                  <w:pPr>
                    <w:pStyle w:val="Compact"/>
                    <w:jc w:val="left"/>
                    <w:jc w:val="center"/>
                  </w:pPr>
                  <w:r>
                    <w:t xml:space="preserve">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SciPy</w:t>
                  </w:r>
                  <w:r>
                    <w:t xml:space="preserve"> </w:t>
                  </w:r>
                  <m:oMath>
                    <m:r>
                      <m:rPr>
                        <m:sty m:val="p"/>
                      </m:rPr>
                      <m:t>≥</m:t>
                    </m:r>
                    <m:r>
                      <m:t>1.11</m:t>
                    </m:r>
                  </m:oMath>
                  <w:r>
                    <w:t xml:space="preserve">, Quarto</w:t>
                  </w:r>
                  <w:r>
                    <w:t xml:space="preserve"> </w:t>
                  </w:r>
                  <m:oMath>
                    <m:r>
                      <m:rPr>
                        <m:sty m:val="p"/>
                      </m:rPr>
                      <m:t>≥</m:t>
                    </m:r>
                    <m:r>
                      <m:t>1.5</m:t>
                    </m:r>
                  </m:oMath>
                  <w:r>
                    <w:t xml:space="preserve">.</w:t>
                  </w:r>
                </w:p>
              </w:tc>
            </w:tr>
            <w:tr>
              <w:tc>
                <w:tcPr/>
                <w:p>
                  <w:pPr>
                    <w:pStyle w:val="Compact"/>
                    <w:jc w:val="left"/>
                    <w:jc w:val="center"/>
                  </w:pPr>
                  <w:r>
                    <w:rPr>
                      <w:b/>
                      <w:bCs/>
                    </w:rPr>
                    <w:t xml:space="preserve">Disponibilidad y Costo:</w:t>
                  </w:r>
                </w:p>
              </w:tc>
              <w:tc>
                <w:tcPr/>
                <w:p>
                  <w:pPr>
                    <w:pStyle w:val="Compact"/>
                    <w:jc w:val="left"/>
                    <w:jc w:val="center"/>
                  </w:pPr>
                  <w:r>
                    <w:t xml:space="preserve">Código abierto gratuito bajo Licencia MIT.</w:t>
                  </w:r>
                </w:p>
              </w:tc>
            </w:tr>
            <w:tr>
              <w:tc>
                <w:tcPr/>
                <w:p>
                  <w:pPr>
                    <w:pStyle w:val="Compact"/>
                    <w:jc w:val="left"/>
                    <w:jc w:val="center"/>
                  </w:pPr>
                  <w:r>
                    <w:rPr>
                      <w:b/>
                      <w:bCs/>
                    </w:rPr>
                    <w:t xml:space="preserve">Enlace al Repositorio de Código:</w:t>
                  </w:r>
                </w:p>
              </w:tc>
              <w:tc>
                <w:tcPr/>
                <w:p>
                  <w:pPr>
                    <w:pStyle w:val="Compact"/>
                    <w:jc w:val="left"/>
                    <w:jc w:val="center"/>
                  </w:pPr>
                  <w:hyperlink r:id="rId59">
                    <w:r>
                      <w:rPr>
                        <w:rStyle w:val="Hyperlink"/>
                      </w:rPr>
                      <w:t xml:space="preserve">https://github.com/sanchezmartin093-code/Incendios_PY</w:t>
                    </w:r>
                  </w:hyperlink>
                  <w:r>
                    <w:t xml:space="preserve"> </w:t>
                  </w:r>
                  <w:r>
                    <w:t xml:space="preserve">(versión anonimizada disponible para revisores).</w:t>
                  </w:r>
                </w:p>
              </w:tc>
            </w:tr>
          </w:tbl>
          <w:bookmarkEnd w:id="60"/>
          <w:p/>
        </w:tc>
      </w:tr>
    </w:tbl>
    <w:p>
      <w:r>
        <w:pict>
          <v:rect style="width:0;height:1.5pt" o:hralign="center" o:hrstd="t" o:hr="t"/>
        </w:pict>
      </w:r>
    </w:p>
    <w:bookmarkEnd w:id="61"/>
    <w:bookmarkStart w:id="96" w:name="referencias"/>
    <w:p>
      <w:pPr>
        <w:pStyle w:val="Heading1"/>
      </w:pPr>
      <w:r>
        <w:t xml:space="preserve">Referencias</w:t>
      </w:r>
    </w:p>
    <w:bookmarkStart w:id="95" w:name="refs"/>
    <w:bookmarkStart w:id="63"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2">
        <w:r>
          <w:rPr>
            <w:rStyle w:val="Hyperlink"/>
          </w:rPr>
          <w:t xml:space="preserve">https://doi.org/10.1111/gcb.13521</w:t>
        </w:r>
      </w:hyperlink>
    </w:p>
    <w:bookmarkEnd w:id="63"/>
    <w:bookmarkStart w:id="65"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64">
        <w:r>
          <w:rPr>
            <w:rStyle w:val="Hyperlink"/>
          </w:rPr>
          <w:t xml:space="preserve">https://doi.org/10.1145/2939672.2939785</w:t>
        </w:r>
      </w:hyperlink>
    </w:p>
    <w:bookmarkEnd w:id="65"/>
    <w:bookmarkStart w:id="67"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66">
        <w:r>
          <w:rPr>
            <w:rStyle w:val="Hyperlink"/>
          </w:rPr>
          <w:t xml:space="preserve">https://doi.org/10.1038/ncomms8537</w:t>
        </w:r>
      </w:hyperlink>
    </w:p>
    <w:bookmarkEnd w:id="67"/>
    <w:bookmarkStart w:id="68"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68"/>
    <w:bookmarkStart w:id="70"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69">
        <w:r>
          <w:rPr>
            <w:rStyle w:val="Hyperlink"/>
          </w:rPr>
          <w:t xml:space="preserve">https://doi.org/10.1038/s42256-019-0138-9</w:t>
        </w:r>
      </w:hyperlink>
    </w:p>
    <w:bookmarkEnd w:id="70"/>
    <w:bookmarkStart w:id="72"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4 de los Mapas Anuales de Cobertura y Uso del Suelo del Gran Chaco Americano</w:t>
      </w:r>
      <w:r>
        <w:t xml:space="preserve">.</w:t>
      </w:r>
      <w:r>
        <w:t xml:space="preserve"> </w:t>
      </w:r>
      <w:hyperlink r:id="rId71">
        <w:r>
          <w:rPr>
            <w:rStyle w:val="Hyperlink"/>
          </w:rPr>
          <w:t xml:space="preserve">https://chaco.mapbiomas.org/</w:t>
        </w:r>
      </w:hyperlink>
      <w:r>
        <w:t xml:space="preserve">.</w:t>
      </w:r>
    </w:p>
    <w:bookmarkEnd w:id="72"/>
    <w:bookmarkStart w:id="74"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73">
        <w:r>
          <w:rPr>
            <w:rStyle w:val="Hyperlink"/>
          </w:rPr>
          <w:t xml:space="preserve">https://doi.org/10.5194/essd-13-4349-2021</w:t>
        </w:r>
      </w:hyperlink>
    </w:p>
    <w:bookmarkEnd w:id="74"/>
    <w:bookmarkStart w:id="76"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75">
        <w:r>
          <w:rPr>
            <w:rStyle w:val="Hyperlink"/>
          </w:rPr>
          <w:t xml:space="preserve">https://doi.org/10.1145/1102351.1102430</w:t>
        </w:r>
      </w:hyperlink>
    </w:p>
    <w:bookmarkEnd w:id="76"/>
    <w:bookmarkStart w:id="77"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77"/>
    <w:bookmarkStart w:id="79"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78">
        <w:r>
          <w:rPr>
            <w:rStyle w:val="Hyperlink"/>
          </w:rPr>
          <w:t xml:space="preserve">https://doi.org/10.1038/s41467-020-18321-y</w:t>
        </w:r>
      </w:hyperlink>
    </w:p>
    <w:bookmarkEnd w:id="79"/>
    <w:bookmarkStart w:id="81"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80">
        <w:r>
          <w:rPr>
            <w:rStyle w:val="Hyperlink"/>
          </w:rPr>
          <w:t xml:space="preserve">https://doi.org/10.1145/3299869.3320212</w:t>
        </w:r>
      </w:hyperlink>
    </w:p>
    <w:bookmarkEnd w:id="81"/>
    <w:bookmarkStart w:id="83"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82">
        <w:r>
          <w:rPr>
            <w:rStyle w:val="Hyperlink"/>
          </w:rPr>
          <w:t xml:space="preserve">https://doi.org/10.1111/ecog.02881</w:t>
        </w:r>
      </w:hyperlink>
    </w:p>
    <w:bookmarkEnd w:id="83"/>
    <w:bookmarkStart w:id="85"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84">
        <w:r>
          <w:rPr>
            <w:rStyle w:val="Hyperlink"/>
          </w:rPr>
          <w:t xml:space="preserve">https://doi.org/10.5772/28441</w:t>
        </w:r>
      </w:hyperlink>
    </w:p>
    <w:bookmarkEnd w:id="85"/>
    <w:bookmarkStart w:id="87"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86">
        <w:r>
          <w:rPr>
            <w:rStyle w:val="Hyperlink"/>
          </w:rPr>
          <w:t xml:space="preserve">https://doi.org/10.1016/j.rse.2013.12.008</w:t>
        </w:r>
      </w:hyperlink>
    </w:p>
    <w:bookmarkEnd w:id="87"/>
    <w:bookmarkStart w:id="89"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88">
        <w:r>
          <w:rPr>
            <w:rStyle w:val="Hyperlink"/>
          </w:rPr>
          <w:t xml:space="preserve">http://queimadas.dgi.inpe.br</w:t>
        </w:r>
      </w:hyperlink>
    </w:p>
    <w:bookmarkEnd w:id="89"/>
    <w:bookmarkStart w:id="91"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0">
        <w:r>
          <w:rPr>
            <w:rStyle w:val="Hyperlink"/>
          </w:rPr>
          <w:t xml:space="preserve">https://doi.org/10.5558/tfc65258-4</w:t>
        </w:r>
      </w:hyperlink>
    </w:p>
    <w:bookmarkEnd w:id="91"/>
    <w:bookmarkStart w:id="93"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92">
        <w:r>
          <w:rPr>
            <w:rStyle w:val="Hyperlink"/>
          </w:rPr>
          <w:t xml:space="preserve">https://doi.org/10.1016/j.jaridenv.2014.11.009</w:t>
        </w:r>
      </w:hyperlink>
    </w:p>
    <w:bookmarkEnd w:id="93"/>
    <w:bookmarkStart w:id="94"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49" Target="file:///Users/martinsanchez/Documents/Proyectos_PY/Incendios_PY/src/alerta.py" TargetMode="External" /><Relationship Type="http://schemas.openxmlformats.org/officeDocument/2006/relationships/hyperlink" Id="rId88" Target="http://queimadas.dgi.inpe.br" TargetMode="External" /><Relationship Type="http://schemas.openxmlformats.org/officeDocument/2006/relationships/hyperlink" Id="rId71" Target="https://chaco.mapbiomas.org/" TargetMode="External" /><Relationship Type="http://schemas.openxmlformats.org/officeDocument/2006/relationships/hyperlink" Id="rId92" Target="https://doi.org/10.1016/j.jaridenv.2014.11.009" TargetMode="External" /><Relationship Type="http://schemas.openxmlformats.org/officeDocument/2006/relationships/hyperlink" Id="rId86" Target="https://doi.org/10.1016/j.rse.2013.12.008" TargetMode="External" /><Relationship Type="http://schemas.openxmlformats.org/officeDocument/2006/relationships/hyperlink" Id="rId66" Target="https://doi.org/10.1038/ncomms8537" TargetMode="External" /><Relationship Type="http://schemas.openxmlformats.org/officeDocument/2006/relationships/hyperlink" Id="rId78" Target="https://doi.org/10.1038/s41467-020-18321-y" TargetMode="External" /><Relationship Type="http://schemas.openxmlformats.org/officeDocument/2006/relationships/hyperlink" Id="rId69" Target="https://doi.org/10.1038/s42256-019-0138-9" TargetMode="External" /><Relationship Type="http://schemas.openxmlformats.org/officeDocument/2006/relationships/hyperlink" Id="rId82" Target="https://doi.org/10.1111/ecog.02881" TargetMode="External" /><Relationship Type="http://schemas.openxmlformats.org/officeDocument/2006/relationships/hyperlink" Id="rId62" Target="https://doi.org/10.1111/gcb.13521" TargetMode="External" /><Relationship Type="http://schemas.openxmlformats.org/officeDocument/2006/relationships/hyperlink" Id="rId75" Target="https://doi.org/10.1145/1102351.1102430" TargetMode="External" /><Relationship Type="http://schemas.openxmlformats.org/officeDocument/2006/relationships/hyperlink" Id="rId64" Target="https://doi.org/10.1145/2939672.2939785" TargetMode="External" /><Relationship Type="http://schemas.openxmlformats.org/officeDocument/2006/relationships/hyperlink" Id="rId80" Target="https://doi.org/10.1145/3299869.3320212" TargetMode="External" /><Relationship Type="http://schemas.openxmlformats.org/officeDocument/2006/relationships/hyperlink" Id="rId73" Target="https://doi.org/10.5194/essd-13-4349-2021" TargetMode="External" /><Relationship Type="http://schemas.openxmlformats.org/officeDocument/2006/relationships/hyperlink" Id="rId90" Target="https://doi.org/10.5558/tfc65258-4" TargetMode="External" /><Relationship Type="http://schemas.openxmlformats.org/officeDocument/2006/relationships/hyperlink" Id="rId84" Target="https://doi.org/10.5772/28441" TargetMode="External" /><Relationship Type="http://schemas.openxmlformats.org/officeDocument/2006/relationships/hyperlink" Id="rId5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49" Target="file:///Users/martinsanchez/Documents/Proyectos_PY/Incendios_PY/src/alerta.py" TargetMode="External" /><Relationship Type="http://schemas.openxmlformats.org/officeDocument/2006/relationships/hyperlink" Id="rId88" Target="http://queimadas.dgi.inpe.br" TargetMode="External" /><Relationship Type="http://schemas.openxmlformats.org/officeDocument/2006/relationships/hyperlink" Id="rId71" Target="https://chaco.mapbiomas.org/" TargetMode="External" /><Relationship Type="http://schemas.openxmlformats.org/officeDocument/2006/relationships/hyperlink" Id="rId92" Target="https://doi.org/10.1016/j.jaridenv.2014.11.009" TargetMode="External" /><Relationship Type="http://schemas.openxmlformats.org/officeDocument/2006/relationships/hyperlink" Id="rId86" Target="https://doi.org/10.1016/j.rse.2013.12.008" TargetMode="External" /><Relationship Type="http://schemas.openxmlformats.org/officeDocument/2006/relationships/hyperlink" Id="rId66" Target="https://doi.org/10.1038/ncomms8537" TargetMode="External" /><Relationship Type="http://schemas.openxmlformats.org/officeDocument/2006/relationships/hyperlink" Id="rId78" Target="https://doi.org/10.1038/s41467-020-18321-y" TargetMode="External" /><Relationship Type="http://schemas.openxmlformats.org/officeDocument/2006/relationships/hyperlink" Id="rId69" Target="https://doi.org/10.1038/s42256-019-0138-9" TargetMode="External" /><Relationship Type="http://schemas.openxmlformats.org/officeDocument/2006/relationships/hyperlink" Id="rId82" Target="https://doi.org/10.1111/ecog.02881" TargetMode="External" /><Relationship Type="http://schemas.openxmlformats.org/officeDocument/2006/relationships/hyperlink" Id="rId62" Target="https://doi.org/10.1111/gcb.13521" TargetMode="External" /><Relationship Type="http://schemas.openxmlformats.org/officeDocument/2006/relationships/hyperlink" Id="rId75" Target="https://doi.org/10.1145/1102351.1102430" TargetMode="External" /><Relationship Type="http://schemas.openxmlformats.org/officeDocument/2006/relationships/hyperlink" Id="rId64" Target="https://doi.org/10.1145/2939672.2939785" TargetMode="External" /><Relationship Type="http://schemas.openxmlformats.org/officeDocument/2006/relationships/hyperlink" Id="rId80" Target="https://doi.org/10.1145/3299869.3320212" TargetMode="External" /><Relationship Type="http://schemas.openxmlformats.org/officeDocument/2006/relationships/hyperlink" Id="rId73" Target="https://doi.org/10.5194/essd-13-4349-2021" TargetMode="External" /><Relationship Type="http://schemas.openxmlformats.org/officeDocument/2006/relationships/hyperlink" Id="rId90" Target="https://doi.org/10.5558/tfc65258-4" TargetMode="External" /><Relationship Type="http://schemas.openxmlformats.org/officeDocument/2006/relationships/hyperlink" Id="rId84" Target="https://doi.org/10.5772/28441" TargetMode="External" /><Relationship Type="http://schemas.openxmlformats.org/officeDocument/2006/relationships/hyperlink" Id="rId5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Desacoplando el Peligro Biofísico de Ignición y la Propagación Táctica de Incendios Forestales en el Gran Chaco mediante GeoAI Multiescala (2015–2025)</dc:title>
  <dc:creator/>
  <dc:language>es</dc:language>
  <cp:keywords/>
  <dcterms:created xsi:type="dcterms:W3CDTF">2026-10-25T01:33:21Z</dcterms:created>
  <dcterms:modified xsi:type="dcterms:W3CDTF">2026-10-25T01:33:21Z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2026-10-24</vt:lpwstr>
  </property>
  <property fmtid="{D5CDD505-2E9C-101B-9397-08002B2CF9AE}" pid="7" name="date-modified">
    <vt:lpwstr>2026-10-24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Un marco computacional reproducible de dos etapas para la predicción a 24 horas y benchmarking internacional frente a Canadian FWI e INPE</vt:lpwstr>
  </property>
  <property fmtid="{D5CDD505-2E9C-101B-9397-08002B2CF9AE}" pid="14" name="tbl-cap-location">
    <vt:lpwstr>top</vt:lpwstr>
  </property>
  <property fmtid="{D5CDD505-2E9C-101B-9397-08002B2CF9AE}" pid="15" name="toc-title">
    <vt:lpwstr>Contenido del Manuscrito</vt:lpwstr>
  </property>
</Properties>
</file>